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71" w:name="content"/>
    <w:bookmarkStart w:id="170" w:name="X296b5e6ddc543ff617e884c35be27380e5ce5da"/>
    <w:p>
      <w:pPr>
        <w:pStyle w:val="Heading1"/>
      </w:pPr>
      <w:r>
        <w:t xml:space="preserve">Ankylosing Spondylitis and Axial Spondyloarthritis: Mechanisms, Flare Initiation, Resolution Biology, and Non-Pharmaceutical Routes Toward Remission</w:t>
      </w:r>
    </w:p>
    <w:bookmarkStart w:id="24" w:name="executive-synthesis"/>
    <w:p>
      <w:pPr>
        <w:pStyle w:val="Heading2"/>
      </w:pPr>
      <w:r>
        <w:t xml:space="preserve">Executive synthesis</w:t>
      </w:r>
    </w:p>
    <w:p>
      <w:pPr>
        <w:pStyle w:val="FirstParagraph"/>
      </w:pPr>
      <w:r>
        <w:t xml:space="preserve">Ankylosing spondylitis, now usually described as</w:t>
      </w:r>
      <w:r>
        <w:t xml:space="preserve"> </w:t>
      </w:r>
      <w:r>
        <w:rPr>
          <w:b/>
          <w:bCs/>
        </w:rPr>
        <w:t xml:space="preserve">radiographic axial spondyloarthritis (r-axSpA)</w:t>
      </w:r>
      <w:r>
        <w:t xml:space="preserve">, is best classified as an</w:t>
      </w:r>
      <w:r>
        <w:t xml:space="preserve"> </w:t>
      </w:r>
      <w:r>
        <w:rPr>
          <w:b/>
          <w:bCs/>
        </w:rPr>
        <w:t xml:space="preserve">immune-mediated inflammatory disease with both autoinflammatory and autoimmune features</w:t>
      </w:r>
      <w:r>
        <w:t xml:space="preserve">, rather than a textbook autoantibody-mediated autoimmune disease. Its biology is unusually centered on the</w:t>
      </w:r>
      <w:r>
        <w:t xml:space="preserve"> </w:t>
      </w:r>
      <w:r>
        <w:rPr>
          <w:b/>
          <w:bCs/>
        </w:rPr>
        <w:t xml:space="preserve">enthesis—the tendon/ligament-to-bone attachment apparatus—and adjacent bone</w:t>
      </w:r>
      <w:r>
        <w:t xml:space="preserve">, with strong involvement of HLA class-I biology, mucosal immunity, innate-like lymphocytes, the IL-17/TNF cytokine network, biomechanical tissue stress, and abnormal repair/osteogenesis. The disease spectrum also includes non-radiographic axSpA, in which typical clinical/MRI disease exists without definite radiographic sacroiliitis.</w:t>
      </w:r>
      <w:r>
        <w:t xml:space="preserve"> </w:t>
      </w:r>
      <w:hyperlink r:id="rId10">
        <w:r>
          <w:rPr>
            <w:rStyle w:val="Hyperlink"/>
          </w:rPr>
          <w:t xml:space="preserve">[1]</w:t>
        </w:r>
      </w:hyperlink>
    </w:p>
    <w:p>
      <w:pPr>
        <w:pStyle w:val="BodyText"/>
      </w:pPr>
      <w:r>
        <w:t xml:space="preserve">The most defensible causal model is not:</w:t>
      </w:r>
    </w:p>
    <w:p>
      <w:pPr>
        <w:pStyle w:val="BlockText"/>
      </w:pPr>
      <w:r>
        <w:t xml:space="preserve">HLA-B27 → autoimmune attack on the spine.</w:t>
      </w:r>
    </w:p>
    <w:p>
      <w:pPr>
        <w:pStyle w:val="FirstParagraph"/>
      </w:pPr>
      <w:r>
        <w:t xml:space="preserve">It is closer to:</w:t>
      </w:r>
    </w:p>
    <w:p>
      <w:pPr>
        <w:pStyle w:val="BlockText"/>
      </w:pPr>
      <w:r>
        <w:rPr>
          <w:b/>
          <w:bCs/>
        </w:rPr>
        <w:t xml:space="preserve">polygenic susceptibility, dominated by HLA-B27 and antigen-processing genes → altered host–microbial/mucosal immune interactions and/or abnormal HLA-B27 biology → expansion or lowering of the activation threshold of IL-17-capable immune populations → local activation at mechanically stressed entheses and sacroiliac/spinal tissues → TNF/IL-17/myeloid amplification → recurrent inflammatory episodes → partially independent tissue-repair and osteogenic programs.</w:t>
      </w:r>
    </w:p>
    <w:p>
      <w:pPr>
        <w:pStyle w:val="FirstParagraph"/>
      </w:pPr>
      <w:r>
        <w:t xml:space="preserve">HLA-B27 contributes through several non-mutually-exclusive mechanisms: antigen presentation, ERAP1-dependent peptide processing, cell-surface HLA-B27 heavy-chain homodimers engaging receptors such as KIR3DL2, and possibly intracellular misfolding/ER-stress biology. None explains the disease alone, and the fact that most HLA-B27-positive people never develop axSpA is strong evidence that</w:t>
      </w:r>
      <w:r>
        <w:t xml:space="preserve"> </w:t>
      </w:r>
      <w:r>
        <w:rPr>
          <w:b/>
          <w:bCs/>
        </w:rPr>
        <w:t xml:space="preserve">additional genetic, microbial, mucosal, environmental and tissue-level conditions must converge</w:t>
      </w:r>
      <w:r>
        <w:t xml:space="preserve">.</w:t>
      </w:r>
      <w:r>
        <w:t xml:space="preserve"> </w:t>
      </w:r>
      <w:hyperlink r:id="rId11">
        <w:r>
          <w:rPr>
            <w:rStyle w:val="Hyperlink"/>
          </w:rPr>
          <w:t xml:space="preserve">[2]</w:t>
        </w:r>
      </w:hyperlink>
    </w:p>
    <w:p>
      <w:pPr>
        <w:pStyle w:val="BodyText"/>
      </w:pPr>
      <w:r>
        <w:t xml:space="preserve">Among inflammatory effector pathways,</w:t>
      </w:r>
      <w:r>
        <w:t xml:space="preserve"> </w:t>
      </w:r>
      <w:r>
        <w:rPr>
          <w:b/>
          <w:bCs/>
        </w:rPr>
        <w:t xml:space="preserve">IL-17A and TNF have the strongest causal human evidence</w:t>
      </w:r>
      <w:r>
        <w:t xml:space="preserve"> </w:t>
      </w:r>
      <w:r>
        <w:t xml:space="preserve">because inhibiting either can substantially reduce axSpA disease activity. IL-23 is more complicated. It strongly induces type-3 immunity experimentally and seems important in several candidate initiation mechanisms, yet IL-23 inhibitors unexpectedly failed in established axial disease even though they work in psoriasis, peripheral PsA and inflammatory bowel disease. A leading interpretation is that IL-23 can help create an IL-17-dominant inflammatory state but may become dispensable once IL-17-producing tissue-resident or innate-like cells are established. That is one of the most informative “failed hypotheses” in modern SpA research.</w:t>
      </w:r>
      <w:r>
        <w:t xml:space="preserve"> </w:t>
      </w:r>
      <w:hyperlink r:id="rId12">
        <w:r>
          <w:rPr>
            <w:rStyle w:val="Hyperlink"/>
          </w:rPr>
          <w:t xml:space="preserve">[3]</w:t>
        </w:r>
      </w:hyperlink>
    </w:p>
    <w:p>
      <w:pPr>
        <w:pStyle w:val="BodyText"/>
      </w:pPr>
      <w:r>
        <w:t xml:space="preserve">The</w:t>
      </w:r>
      <w:r>
        <w:t xml:space="preserve"> </w:t>
      </w:r>
      <w:r>
        <w:rPr>
          <w:b/>
          <w:bCs/>
        </w:rPr>
        <w:t xml:space="preserve">gut–joint connection is biologically credible but incompletely causal</w:t>
      </w:r>
      <w:r>
        <w:t xml:space="preserve">. Subclinical intestinal inflammation is common; HLA-B27 status and disease activity are associated with microbiome differences; intestinal tryptophan and other metabolic pathways are altered; and animal models can require microbes for disease expression. Yet human microbiome signatures vary considerably by cohort and geography, disease treatment itself changes the microbiome, probiotic trials have been negative, and there is still no validated microbial composition that clinicians can use to determine an individual's AS driver. A 2024 meta-analysis of 47 AS microbiome studies supported lower diversity/dysbiosis overall, but heterogeneity remains substantial.</w:t>
      </w:r>
      <w:r>
        <w:t xml:space="preserve"> </w:t>
      </w:r>
      <w:hyperlink r:id="rId13">
        <w:r>
          <w:rPr>
            <w:rStyle w:val="Hyperlink"/>
          </w:rPr>
          <w:t xml:space="preserve">[4]</w:t>
        </w:r>
      </w:hyperlink>
    </w:p>
    <w:p>
      <w:pPr>
        <w:pStyle w:val="BodyText"/>
      </w:pPr>
      <w:r>
        <w:t xml:space="preserve">Likewise,</w:t>
      </w:r>
      <w:r>
        <w:t xml:space="preserve"> </w:t>
      </w:r>
      <w:r>
        <w:rPr>
          <w:b/>
          <w:bCs/>
        </w:rPr>
        <w:t xml:space="preserve">Klebsiella remains an interesting but unproven hypothesis</w:t>
      </w:r>
      <w:r>
        <w:t xml:space="preserve">. A modern meta-analysis supports an association between</w:t>
      </w:r>
      <w:r>
        <w:t xml:space="preserve"> </w:t>
      </w:r>
      <w:r>
        <w:rPr>
          <w:i/>
          <w:iCs/>
        </w:rPr>
        <w:t xml:space="preserve">Klebsiella pneumoniae</w:t>
      </w:r>
      <w:r>
        <w:t xml:space="preserve"> </w:t>
      </w:r>
      <w:r>
        <w:t xml:space="preserve">and AS, and molecular-mimicry/antibody findings remain biologically provocative. But older studies found anti-Klebsiella responses were not AS-specific, epidemiological causality has never been established, and the classic low-starch intervention evidence is essentially an old uncontrolled study rather than a replicated therapeutic programme. A registered trial was designed specifically to test ≥40% starch reduction, microbiome/Klebsiella changes and disease activity, but as of this review I did not identify definitive peer-reviewed efficacy results establishing the hypothesis.</w:t>
      </w:r>
      <w:r>
        <w:t xml:space="preserve"> </w:t>
      </w:r>
      <w:hyperlink r:id="rId14">
        <w:r>
          <w:rPr>
            <w:rStyle w:val="Hyperlink"/>
          </w:rPr>
          <w:t xml:space="preserve">[5]</w:t>
        </w:r>
      </w:hyperlink>
    </w:p>
    <w:p>
      <w:pPr>
        <w:pStyle w:val="BodyText"/>
      </w:pPr>
      <w:r>
        <w:t xml:space="preserve">The</w:t>
      </w:r>
      <w:r>
        <w:t xml:space="preserve"> </w:t>
      </w:r>
      <w:r>
        <w:rPr>
          <w:b/>
          <w:bCs/>
        </w:rPr>
        <w:t xml:space="preserve">flare switch is considerably less understood than chronic pathogenesis</w:t>
      </w:r>
      <w:r>
        <w:t xml:space="preserve">. Direct prospective studies sampling patients immediately before an objectively verified flare are scarce. Human data make abrupt psychological stress, GI perturbation, infections and local mechanical overloading plausible triggers in subsets, but much of the evidence is observational. Poor sleep, inactivity, autonomic abnormalities and metabolic deterioration may often be</w:t>
      </w:r>
      <w:r>
        <w:t xml:space="preserve"> </w:t>
      </w:r>
      <w:r>
        <w:rPr>
          <w:b/>
          <w:bCs/>
        </w:rPr>
        <w:t xml:space="preserve">amplifiers or consequences</w:t>
      </w:r>
      <w:r>
        <w:t xml:space="preserve"> </w:t>
      </w:r>
      <w:r>
        <w:t xml:space="preserve">rather than true initiating events. Smoking and obesity look more like chronic permissive conditions that raise inflammatory/progression risk than discrete switches.</w:t>
      </w:r>
      <w:r>
        <w:t xml:space="preserve"> </w:t>
      </w:r>
      <w:hyperlink r:id="rId15">
        <w:r>
          <w:rPr>
            <w:rStyle w:val="Hyperlink"/>
          </w:rPr>
          <w:t xml:space="preserve">[6]</w:t>
        </w:r>
      </w:hyperlink>
    </w:p>
    <w:p>
      <w:pPr>
        <w:pStyle w:val="BodyText"/>
      </w:pPr>
      <w:r>
        <w:t xml:space="preserve">A particularly plausible flare architecture is therefore:</w:t>
      </w:r>
    </w:p>
    <w:p>
      <w:pPr>
        <w:pStyle w:val="BodyText"/>
      </w:pPr>
      <w:r>
        <w:rPr>
          <w:b/>
          <w:bCs/>
        </w:rPr>
        <w:t xml:space="preserve">mucosal disturbance or mechanical microdamage → danger/microbial signals → macrophage/neutrophil/innate-like lymphocyte activation → rapid IL-17/TNF/chemokine amplification → entheseal and marrow inflammation → pain, stiffness and systemic sickness behaviour → impaired sleep/reduced movement/stress → further amplification.</w:t>
      </w:r>
    </w:p>
    <w:p>
      <w:pPr>
        <w:pStyle w:val="BodyText"/>
      </w:pPr>
      <w:r>
        <w:t xml:space="preserve">Another plausible architecture is simply</w:t>
      </w:r>
      <w:r>
        <w:t xml:space="preserve"> </w:t>
      </w:r>
      <w:r>
        <w:rPr>
          <w:b/>
          <w:bCs/>
        </w:rPr>
        <w:t xml:space="preserve">endogenous reactivation of residual tissue inflammation</w:t>
      </w:r>
      <w:r>
        <w:t xml:space="preserve"> </w:t>
      </w:r>
      <w:r>
        <w:t xml:space="preserve">without an identifiable external trigger. Flare studies show that short periods of worsening are common and heterogeneous, which argues against assuming that every flare has a discrete food, infection or stressor behind it.</w:t>
      </w:r>
      <w:r>
        <w:t xml:space="preserve"> </w:t>
      </w:r>
      <w:hyperlink r:id="rId16">
        <w:r>
          <w:rPr>
            <w:rStyle w:val="Hyperlink"/>
          </w:rPr>
          <w:t xml:space="preserve">[7]</w:t>
        </w:r>
      </w:hyperlink>
    </w:p>
    <w:p>
      <w:pPr>
        <w:pStyle w:val="BodyText"/>
      </w:pPr>
      <w:r>
        <w:t xml:space="preserve">Inflammation also does not stop merely because inflammatory cytokines “run out.” Normal resolution is an active biological program involving</w:t>
      </w:r>
      <w:r>
        <w:t xml:space="preserve"> </w:t>
      </w:r>
      <w:r>
        <w:rPr>
          <w:b/>
          <w:bCs/>
        </w:rPr>
        <w:t xml:space="preserve">efferocytosis, regulatory T cells, macrophage state transitions, IL-10, specialized pro-resolving lipid mediators, metabolic rewiring and tissue repair</w:t>
      </w:r>
      <w:r>
        <w:t xml:space="preserve">. These mechanisms are well demonstrated in immunology generally, but evidence for a specific resolution defect in AS remains preliminary. The most AS-relevant evidence is altered Treg/Th17 biology and macrophage dysregulation. Direct human studies of resolvins, maresins or efferocytosis in AS are notably lacking.</w:t>
      </w:r>
      <w:r>
        <w:t xml:space="preserve"> </w:t>
      </w:r>
      <w:hyperlink r:id="rId17">
        <w:r>
          <w:rPr>
            <w:rStyle w:val="Hyperlink"/>
          </w:rPr>
          <w:t xml:space="preserve">[8]</w:t>
        </w:r>
      </w:hyperlink>
    </w:p>
    <w:p>
      <w:pPr>
        <w:pStyle w:val="BodyText"/>
      </w:pPr>
      <w:r>
        <w:t xml:space="preserve">There is also an important paradox:</w:t>
      </w:r>
      <w:r>
        <w:t xml:space="preserve"> </w:t>
      </w:r>
      <w:r>
        <w:rPr>
          <w:b/>
          <w:bCs/>
        </w:rPr>
        <w:t xml:space="preserve">resolution/repair biology may help explain why inflammation can fall while pathological bone formation continues</w:t>
      </w:r>
      <w:r>
        <w:t xml:space="preserve">. TGF-β, BMP, Wnt signalling and osteogenic mesenchymal-cell programs are simultaneously “repair” systems and potential drivers of ankylosis. Thus, suppression or spontaneous termination of inflammation need not reverse the structural programme already initiated at an enthesis.</w:t>
      </w:r>
      <w:r>
        <w:t xml:space="preserve"> </w:t>
      </w:r>
      <w:hyperlink r:id="rId18">
        <w:r>
          <w:rPr>
            <w:rStyle w:val="Hyperlink"/>
          </w:rPr>
          <w:t xml:space="preserve">[9]</w:t>
        </w:r>
      </w:hyperlink>
    </w:p>
    <w:p>
      <w:pPr>
        <w:pStyle w:val="BodyText"/>
      </w:pPr>
      <w:r>
        <w:t xml:space="preserve">On non-pharmaceutical treatment, the evidence is much less revolutionary than the mechanistic possibilities.</w:t>
      </w:r>
      <w:r>
        <w:t xml:space="preserve"> </w:t>
      </w:r>
      <w:r>
        <w:rPr>
          <w:b/>
          <w:bCs/>
        </w:rPr>
        <w:t xml:space="preserve">Structured exercise/physiotherapy has by far the strongest AS-specific evidence</w:t>
      </w:r>
      <w:r>
        <w:t xml:space="preserve">, including randomized trials showing improvements in disease activity, physical function and, in some studies, inflammatory/immune measures. Smoking avoidance/cessation is strongly justified by prognosis. Maintaining healthy body composition is biologically and observationally sensible, especially in obesity, although direct axSpA weight-loss trials demonstrating remission are lacking. Mediterranean-style diets have preliminary AS-specific human support and much stronger general cardiometabolic evidence, but have not been shown to induce objective AS remission.</w:t>
      </w:r>
      <w:r>
        <w:t xml:space="preserve"> </w:t>
      </w:r>
      <w:hyperlink r:id="rId19">
        <w:r>
          <w:rPr>
            <w:rStyle w:val="Hyperlink"/>
          </w:rPr>
          <w:t xml:space="preserve">[10]</w:t>
        </w:r>
      </w:hyperlink>
    </w:p>
    <w:p>
      <w:pPr>
        <w:pStyle w:val="BodyText"/>
      </w:pPr>
      <w:r>
        <w:t xml:space="preserve">For microbiome treatments, probiotics have already delivered an important negative result: an AS/SpA randomized trial did not demonstrate meaningful efficacy. FMT is more experimentally interesting: a published AS-plus-ulcerative-colitis case showed rapid symptomatic and CRP improvement after FMT, while randomized axSpA trials are ongoing. This is firmly experimental; FMT carries clinically meaningful infectious and procedural risks and should not be treated as a lifestyle intervention.</w:t>
      </w:r>
      <w:r>
        <w:t xml:space="preserve"> </w:t>
      </w:r>
      <w:hyperlink r:id="rId20">
        <w:r>
          <w:rPr>
            <w:rStyle w:val="Hyperlink"/>
          </w:rPr>
          <w:t xml:space="preserve">[11]</w:t>
        </w:r>
      </w:hyperlink>
    </w:p>
    <w:p>
      <w:pPr>
        <w:pStyle w:val="BodyText"/>
      </w:pPr>
      <w:r>
        <w:t xml:space="preserve">For nutraceuticals, an old 24-patient omega-3 trial suggested a possible signal only at</w:t>
      </w:r>
      <w:r>
        <w:t xml:space="preserve"> </w:t>
      </w:r>
      <w:r>
        <w:rPr>
          <w:b/>
          <w:bCs/>
        </w:rPr>
        <w:t xml:space="preserve">4.55 g/day omega-3</w:t>
      </w:r>
      <w:r>
        <w:t xml:space="preserve">, but the evidence is too small to infer disease modification. Vitamin-D deficiency correlates with worse AS activity in observational studies, but evidence that supplementation suppresses AS inflammation independently of correcting deficiency is poor. Curcumin, Boswellia, NAC, glutathione, quercetin, resveratrol, berberine, zinc, selenium, magnesium and glycine all have attractive biochemical mechanisms; none currently has convincing replicated AS-specific evidence for remission.</w:t>
      </w:r>
      <w:r>
        <w:t xml:space="preserve"> </w:t>
      </w:r>
      <w:hyperlink r:id="rId21">
        <w:r>
          <w:rPr>
            <w:rStyle w:val="Hyperlink"/>
          </w:rPr>
          <w:t xml:space="preserve">[12]</w:t>
        </w:r>
      </w:hyperlink>
    </w:p>
    <w:p>
      <w:pPr>
        <w:pStyle w:val="BodyText"/>
      </w:pPr>
      <w:r>
        <w:t xml:space="preserve">Most importantly,</w:t>
      </w:r>
      <w:r>
        <w:t xml:space="preserve"> </w:t>
      </w:r>
      <w:r>
        <w:rPr>
          <w:b/>
          <w:bCs/>
        </w:rPr>
        <w:t xml:space="preserve">drug-free remission does occur naturally in some early axSpA patients</w:t>
      </w:r>
      <w:r>
        <w:t xml:space="preserve">, but this does not establish a lifestyle cure. In the DESIR early-axSpA cohort, 25% were in ASDAS-CRP remission at five years and 32 individuals—about 7% of the entire analysed cohort—were in drug-free remission without NSAIDs, conventional DMARDs or TNF inhibitors at the five-year assessment. Lower baseline activity and lower BMI were among associated features. Such observations prove that spontaneous or treatment-independent low inflammatory states are biologically possible, but do not identify what caused them.</w:t>
      </w:r>
      <w:r>
        <w:t xml:space="preserve"> </w:t>
      </w:r>
      <w:hyperlink r:id="rId22">
        <w:r>
          <w:rPr>
            <w:rStyle w:val="Hyperlink"/>
          </w:rPr>
          <w:t xml:space="preserve">[13]</w:t>
        </w:r>
      </w:hyperlink>
    </w:p>
    <w:p>
      <w:pPr>
        <w:pStyle w:val="BodyText"/>
      </w:pPr>
      <w:r>
        <w:t xml:space="preserve">Published “natural remission” cases exist, including a striking HLA-B27-positive case with objectively reported inflammatory-marker and sacroiliac-MRI improvement after adalimumab withdrawal followed by a dietary/supplement programme. But it was a</w:t>
      </w:r>
      <w:r>
        <w:t xml:space="preserve"> </w:t>
      </w:r>
      <w:r>
        <w:rPr>
          <w:b/>
          <w:bCs/>
        </w:rPr>
        <w:t xml:space="preserve">single patient who had already responded to a biologic, changed multiple interventions simultaneously, and had no control condition</w:t>
      </w:r>
      <w:r>
        <w:t xml:space="preserve">. It is therefore valuable hypothesis-generating evidence, not evidence that supplements or elimination diets induce remission. PMID 34715506.</w:t>
      </w:r>
      <w:r>
        <w:t xml:space="preserve"> </w:t>
      </w:r>
      <w:hyperlink r:id="rId23">
        <w:r>
          <w:rPr>
            <w:rStyle w:val="Hyperlink"/>
          </w:rPr>
          <w:t xml:space="preserve">[14]</w:t>
        </w:r>
      </w:hyperlink>
    </w:p>
    <w:p>
      <w:pPr>
        <w:pStyle w:val="BodyText"/>
      </w:pPr>
      <w:r>
        <w:t xml:space="preserve">The conclusion from the total evidence is therefore deliberately asymmetric:</w:t>
      </w:r>
    </w:p>
    <w:p>
      <w:pPr>
        <w:pStyle w:val="BodyText"/>
      </w:pPr>
      <w:r>
        <w:rPr>
          <w:b/>
          <w:bCs/>
        </w:rPr>
        <w:t xml:space="preserve">There is strong evidence that non-pharmaceutical measures can improve function, symptoms, general health and probably modestly influence inflammatory physiology. There is not yet strong evidence that any non-pharmaceutical protocol reliably reproduces the objective anti-inflammatory and disease-controlling effects of established pharmacological therapy or prevents long-term structural progression.</w:t>
      </w:r>
    </w:p>
    <w:p>
      <w:pPr>
        <w:pStyle w:val="BodyText"/>
      </w:pPr>
      <w:r>
        <w:t xml:space="preserve">Throughout this report:</w:t>
      </w:r>
    </w:p>
    <w:p>
      <w:pPr>
        <w:pStyle w:val="BodyText"/>
      </w:pPr>
      <w:r>
        <w:rPr>
          <w:b/>
          <w:bCs/>
        </w:rPr>
        <w:t xml:space="preserve">A — Strong:</w:t>
      </w:r>
      <w:r>
        <w:t xml:space="preserve"> </w:t>
      </w:r>
      <w:r>
        <w:t xml:space="preserve">replicated human evidence/RCT/meta-analysis plus strong mechanistic support.</w:t>
      </w:r>
      <w:r>
        <w:br/>
      </w:r>
      <w:r>
        <w:rPr>
          <w:b/>
          <w:bCs/>
        </w:rPr>
        <w:t xml:space="preserve">B — Moderate:</w:t>
      </w:r>
      <w:r>
        <w:t xml:space="preserve"> </w:t>
      </w:r>
      <w:r>
        <w:t xml:space="preserve">meaningful human evidence with coherent mechanism.</w:t>
      </w:r>
      <w:r>
        <w:br/>
      </w:r>
      <w:r>
        <w:rPr>
          <w:b/>
          <w:bCs/>
        </w:rPr>
        <w:t xml:space="preserve">C — Preliminary:</w:t>
      </w:r>
      <w:r>
        <w:t xml:space="preserve"> </w:t>
      </w:r>
      <w:r>
        <w:t xml:space="preserve">small or inconsistent human studies.</w:t>
      </w:r>
      <w:r>
        <w:br/>
      </w:r>
      <w:r>
        <w:rPr>
          <w:b/>
          <w:bCs/>
        </w:rPr>
        <w:t xml:space="preserve">D — Speculative:</w:t>
      </w:r>
      <w:r>
        <w:t xml:space="preserve"> </w:t>
      </w:r>
      <w:r>
        <w:t xml:space="preserve">animal, cellular or indirect cross-disease evidence.</w:t>
      </w:r>
      <w:r>
        <w:br/>
      </w:r>
      <w:r>
        <w:rPr>
          <w:b/>
          <w:bCs/>
        </w:rPr>
        <w:t xml:space="preserve">E — Anecdotal:</w:t>
      </w:r>
      <w:r>
        <w:t xml:space="preserve"> </w:t>
      </w:r>
      <w:r>
        <w:t xml:space="preserve">individual case/self-report/uncontrolled experience.</w:t>
      </w:r>
    </w:p>
    <w:p>
      <w:pPr>
        <w:pStyle w:val="BodyText"/>
      </w:pPr>
      <w:r>
        <w:t xml:space="preserve">Grades refer to the particular claim being made. A mechanism can be</w:t>
      </w:r>
      <w:r>
        <w:t xml:space="preserve"> </w:t>
      </w:r>
      <w:r>
        <w:rPr>
          <w:b/>
          <w:bCs/>
        </w:rPr>
        <w:t xml:space="preserve">A for biological relevance but D for lifestyle modifiability</w:t>
      </w:r>
      <w:r>
        <w:t xml:space="preserve">.</w:t>
      </w:r>
    </w:p>
    <w:bookmarkEnd w:id="24"/>
    <w:bookmarkStart w:id="56" w:name="X9efd93032a37d3fe079d45760615e083434a111"/>
    <w:p>
      <w:pPr>
        <w:pStyle w:val="Heading2"/>
      </w:pPr>
      <w:r>
        <w:t xml:space="preserve">Disease identity, mechanisms, and tissue biology</w:t>
      </w:r>
    </w:p>
    <w:p>
      <w:pPr>
        <w:pStyle w:val="FirstParagraph"/>
      </w:pPr>
      <w:r>
        <w:rPr>
          <w:b/>
          <w:bCs/>
        </w:rPr>
        <w:t xml:space="preserve">Part I — Why AS is unusual among immune-mediated diseases</w:t>
      </w:r>
    </w:p>
    <w:p>
      <w:pPr>
        <w:pStyle w:val="BodyText"/>
      </w:pPr>
      <w:r>
        <w:t xml:space="preserve">The cleanest terminology is</w:t>
      </w:r>
      <w:r>
        <w:t xml:space="preserve"> </w:t>
      </w:r>
      <w:r>
        <w:rPr>
          <w:b/>
          <w:bCs/>
        </w:rPr>
        <w:t xml:space="preserve">immune-mediated inflammatory disease with a mixed autoinflammatory/autoimmune architecture</w:t>
      </w:r>
      <w:r>
        <w:t xml:space="preserve">. AS lacks the canonical disease-defining autoantibody pattern seen in diseases such as seropositive rheumatoid arthritis or lupus, while innate immune cells, barrier tissues and non-conventional T-cell populations are unusually prominent. Yet the extraordinary HLA-B27 association, ERAP1 genetics and evidence for HLA-dependent T-cell biology mean it cannot simply be reduced to a purely innate autoinflammatory syndrome either.</w:t>
      </w:r>
      <w:r>
        <w:t xml:space="preserve"> </w:t>
      </w:r>
      <w:r>
        <w:rPr>
          <w:b/>
          <w:bCs/>
        </w:rPr>
        <w:t xml:space="preserve">Confidence: A that it is immune-mediated; B that “hybrid autoimmunity/autoinflammation” is the most informative conceptual description.</w:t>
      </w:r>
      <w:r>
        <w:t xml:space="preserve"> </w:t>
      </w:r>
      <w:hyperlink r:id="rId10">
        <w:r>
          <w:rPr>
            <w:rStyle w:val="Hyperlink"/>
          </w:rPr>
          <w:t xml:space="preserve">[15]</w:t>
        </w:r>
      </w:hyperlink>
    </w:p>
    <w:p>
      <w:pPr>
        <w:pStyle w:val="BodyText"/>
      </w:pPr>
      <w:r>
        <w:t xml:space="preserve">Compared with</w:t>
      </w:r>
      <w:r>
        <w:t xml:space="preserve"> </w:t>
      </w:r>
      <w:r>
        <w:rPr>
          <w:b/>
          <w:bCs/>
        </w:rPr>
        <w:t xml:space="preserve">rheumatoid arthritis</w:t>
      </w:r>
      <w:r>
        <w:t xml:space="preserve">, AS is less dominated by autoantibody-positive synovial autoimmunity and more by HLA class-I biology, entheses, axial bone marrow and osteoproliferation. RA typically drives marginal erosion and joint destruction; axSpA has the distinctive coexistence of inflammatory damage and subsequent or parallel new bone formation.</w:t>
      </w:r>
      <w:r>
        <w:t xml:space="preserve"> </w:t>
      </w:r>
      <w:hyperlink r:id="rId25">
        <w:r>
          <w:rPr>
            <w:rStyle w:val="Hyperlink"/>
          </w:rPr>
          <w:t xml:space="preserve">[16]</w:t>
        </w:r>
      </w:hyperlink>
    </w:p>
    <w:p>
      <w:pPr>
        <w:pStyle w:val="BodyText"/>
      </w:pPr>
      <w:r>
        <w:t xml:space="preserve">Compared with</w:t>
      </w:r>
      <w:r>
        <w:t xml:space="preserve"> </w:t>
      </w:r>
      <w:r>
        <w:rPr>
          <w:b/>
          <w:bCs/>
        </w:rPr>
        <w:t xml:space="preserve">psoriasis/PsA</w:t>
      </w:r>
      <w:r>
        <w:t xml:space="preserve">, axSpA shares much of the IL-23/IL-17, tissue-resident and enthesis biology. A crucial difference is that blocking IL-23 is highly effective for psoriasis and useful for peripheral PsA but has failed in established axial SpA, whereas IL-17 blockade is effective in axial disease. This suggests that apparently related “type-3” immune diseases can have different cytokine dependencies in different tissues.</w:t>
      </w:r>
      <w:r>
        <w:t xml:space="preserve"> </w:t>
      </w:r>
      <w:hyperlink r:id="rId26">
        <w:r>
          <w:rPr>
            <w:rStyle w:val="Hyperlink"/>
          </w:rPr>
          <w:t xml:space="preserve">[17]</w:t>
        </w:r>
      </w:hyperlink>
    </w:p>
    <w:p>
      <w:pPr>
        <w:pStyle w:val="BodyText"/>
      </w:pPr>
      <w:r>
        <w:t xml:space="preserve">Compared with</w:t>
      </w:r>
      <w:r>
        <w:t xml:space="preserve"> </w:t>
      </w:r>
      <w:r>
        <w:rPr>
          <w:b/>
          <w:bCs/>
        </w:rPr>
        <w:t xml:space="preserve">IBD</w:t>
      </w:r>
      <w:r>
        <w:t xml:space="preserve">, axSpA appears to use the gut as an important immune interface without requiring clinically evident bowel disease. The relationship is mechanistically asymmetric: bowel inflammation can coexist with and perhaps prime joint disease, while IL-17 is protective in some aspects of intestinal barrier biology even though it is pathogenic in the axial skeleton. That tissue-specificity cautions against treating a cytokine pathway as uniformly “bad.”</w:t>
      </w:r>
      <w:r>
        <w:t xml:space="preserve"> </w:t>
      </w:r>
      <w:hyperlink r:id="rId27">
        <w:r>
          <w:rPr>
            <w:rStyle w:val="Hyperlink"/>
          </w:rPr>
          <w:t xml:space="preserve">[18]</w:t>
        </w:r>
      </w:hyperlink>
    </w:p>
    <w:p>
      <w:pPr>
        <w:pStyle w:val="BodyText"/>
      </w:pPr>
      <w:r>
        <w:t xml:space="preserve">Compared with</w:t>
      </w:r>
      <w:r>
        <w:t xml:space="preserve"> </w:t>
      </w:r>
      <w:r>
        <w:rPr>
          <w:b/>
          <w:bCs/>
        </w:rPr>
        <w:t xml:space="preserve">lupus</w:t>
      </w:r>
      <w:r>
        <w:t xml:space="preserve">, AS lacks the defining systemic autoantibody/immune-complex phenotype and widespread B-cell-driven humoral autoimmunity. Compared with</w:t>
      </w:r>
      <w:r>
        <w:t xml:space="preserve"> </w:t>
      </w:r>
      <w:r>
        <w:rPr>
          <w:b/>
          <w:bCs/>
        </w:rPr>
        <w:t xml:space="preserve">multiple sclerosis</w:t>
      </w:r>
      <w:r>
        <w:t xml:space="preserve">, it lacks a single organ-specific CNS autoantigen paradigm and instead couples barrier/mucosal immunity with mechanically stressed musculoskeletal tissues. These distinctions are why classifying AS simply as another classic autoimmune disease obscures much of its biology.</w:t>
      </w:r>
      <w:r>
        <w:t xml:space="preserve"> </w:t>
      </w:r>
      <w:hyperlink r:id="rId25">
        <w:r>
          <w:rPr>
            <w:rStyle w:val="Hyperlink"/>
          </w:rPr>
          <w:t xml:space="preserve">[19]</w:t>
        </w:r>
      </w:hyperlink>
    </w:p>
    <w:bookmarkStart w:id="30" w:name="X53705afd21607ec543dba3d5b0d53cfb3a46b6b"/>
    <w:p>
      <w:pPr>
        <w:pStyle w:val="Heading3"/>
      </w:pPr>
      <w:r>
        <w:t xml:space="preserve">The enthesis is not just an innocent target</w:t>
      </w:r>
    </w:p>
    <w:p>
      <w:pPr>
        <w:pStyle w:val="FirstParagraph"/>
      </w:pPr>
      <w:r>
        <w:t xml:space="preserve">The enthesis is a mechanically specialized organ that must distribute very high forces across tendon, fibrocartilage, bone, bursa and adjacent marrow. Mechanical loading produces cellular deformation, extracellular-matrix turnover and occasional microdamage even in health. Experimental SpA models and human entheseal studies suggest that genetically/immune-primed individuals may convert these otherwise manageable signals into inappropriate inflammatory activation.</w:t>
      </w:r>
      <w:r>
        <w:t xml:space="preserve"> </w:t>
      </w:r>
      <w:hyperlink r:id="rId28">
        <w:r>
          <w:rPr>
            <w:rStyle w:val="Hyperlink"/>
          </w:rPr>
          <w:t xml:space="preserve">[20]</w:t>
        </w:r>
      </w:hyperlink>
    </w:p>
    <w:p>
      <w:pPr>
        <w:pStyle w:val="BodyText"/>
      </w:pPr>
      <w:r>
        <w:t xml:space="preserve">Human entheses contain immune populations capable of responding locally. γδ T cells isolated from entheseal tissue can produce IL-17, and animal work identified RORγt-positive entheseal T cells capable of responding to IL-23. This provides a plausible mechanism by which a systemic susceptibility is translated into inflammation specifically at mechanically stressed interfaces. Sherlock et al.,</w:t>
      </w:r>
      <w:r>
        <w:t xml:space="preserve"> </w:t>
      </w:r>
      <w:r>
        <w:rPr>
          <w:i/>
          <w:iCs/>
        </w:rPr>
        <w:t xml:space="preserve">Nature Medicine</w:t>
      </w:r>
      <w:r>
        <w:t xml:space="preserve"> </w:t>
      </w:r>
      <w:r>
        <w:t xml:space="preserve">2012, DOI 10.1038/nm.2817.</w:t>
      </w:r>
      <w:r>
        <w:t xml:space="preserve"> </w:t>
      </w:r>
      <w:hyperlink r:id="rId29">
        <w:r>
          <w:rPr>
            <w:rStyle w:val="Hyperlink"/>
          </w:rPr>
          <w:t xml:space="preserve">[21]</w:t>
        </w:r>
      </w:hyperlink>
    </w:p>
    <w:p>
      <w:pPr>
        <w:pStyle w:val="BodyText"/>
      </w:pPr>
      <w:r>
        <w:t xml:space="preserve">That model explains the apparent exercise paradox:</w:t>
      </w:r>
      <w:r>
        <w:t xml:space="preserve"> </w:t>
      </w:r>
      <w:r>
        <w:rPr>
          <w:b/>
          <w:bCs/>
        </w:rPr>
        <w:t xml:space="preserve">mechanical loading is not a binary inflammatory signal</w:t>
      </w:r>
      <w:r>
        <w:t xml:space="preserve">. Excessive, novel, repetitive or poorly distributed local load may generate danger signals at a susceptible enthesis, while appropriately progressed exercise improves muscle capacity, load distribution, metabolic function and cardiorespiratory fitness and reduces clinical disease burden. The dose, tissue adaptation state and systemic immune context matter more than “movement versus no movement.”</w:t>
      </w:r>
      <w:r>
        <w:t xml:space="preserve"> </w:t>
      </w:r>
      <w:hyperlink r:id="rId28">
        <w:r>
          <w:rPr>
            <w:rStyle w:val="Hyperlink"/>
          </w:rPr>
          <w:t xml:space="preserve">[22]</w:t>
        </w:r>
      </w:hyperlink>
    </w:p>
    <w:bookmarkEnd w:id="30"/>
    <w:bookmarkStart w:id="31" w:name="why-inflammation-and-new-bone-coexist"/>
    <w:p>
      <w:pPr>
        <w:pStyle w:val="Heading3"/>
      </w:pPr>
      <w:r>
        <w:t xml:space="preserve">Why inflammation and new bone coexist</w:t>
      </w:r>
    </w:p>
    <w:p>
      <w:pPr>
        <w:pStyle w:val="FirstParagraph"/>
      </w:pPr>
      <w:r>
        <w:t xml:space="preserve">AS is not simply “inflammation causing bone to grow.” A better model has several stages:</w:t>
      </w:r>
    </w:p>
    <w:p>
      <w:pPr>
        <w:pStyle w:val="BodyText"/>
      </w:pPr>
      <w:r>
        <w:rPr>
          <w:b/>
          <w:bCs/>
        </w:rPr>
        <w:t xml:space="preserve">inflammation/microdamage → tissue injury → repair programme → altered mesenchymal-cell differentiation and osteoblast activity → syndesmophyte/new-bone formation.</w:t>
      </w:r>
    </w:p>
    <w:p>
      <w:pPr>
        <w:pStyle w:val="BodyText"/>
      </w:pPr>
      <w:r>
        <w:t xml:space="preserve">Wnt signalling, BMP pathways, DKK-1 and sclerostin influence osteoblast differentiation; RANK/RANKL affects osteoclastogenesis; inflammatory mediators change those signalling relationships. Because repair pathways can become partially autonomous from active inflammation, structural progression may occur after an inflammatory lesion has quietened.</w:t>
      </w:r>
      <w:r>
        <w:t xml:space="preserve"> </w:t>
      </w:r>
      <w:hyperlink r:id="rId18">
        <w:r>
          <w:rPr>
            <w:rStyle w:val="Hyperlink"/>
          </w:rPr>
          <w:t xml:space="preserve">[23]</w:t>
        </w:r>
      </w:hyperlink>
    </w:p>
    <w:p>
      <w:pPr>
        <w:pStyle w:val="BodyText"/>
      </w:pPr>
      <w:r>
        <w:t xml:space="preserve">This also means a biologically successful anti-inflammatory intervention cannot automatically be assumed to reverse ankylosis.</w:t>
      </w:r>
      <w:r>
        <w:t xml:space="preserve"> </w:t>
      </w:r>
      <w:r>
        <w:rPr>
          <w:b/>
          <w:bCs/>
        </w:rPr>
        <w:t xml:space="preserve">Inflammatory control and structural repair are overlapping but non-identical targets.</w:t>
      </w:r>
    </w:p>
    <w:bookmarkEnd w:id="31"/>
    <w:bookmarkStart w:id="55" w:name="X110aa83ea834e4c1ca5998d60ed009774ab5bc4"/>
    <w:p>
      <w:pPr>
        <w:pStyle w:val="Heading3"/>
      </w:pPr>
      <w:r>
        <w:t xml:space="preserve">HLA-B27: necessary neither for disease nor sufficient for it</w:t>
      </w:r>
    </w:p>
    <w:p>
      <w:pPr>
        <w:pStyle w:val="FirstParagraph"/>
      </w:pPr>
      <w:r>
        <w:t xml:space="preserve">HLA-B27 is among the strongest common-disease HLA associations in medicine, but the majority of carriers never develop AS. This immediately falsifies any model in which HLA-B27 alone is the disease. HLA-B27-negative axSpA is also well documented.</w:t>
      </w:r>
      <w:r>
        <w:t xml:space="preserve"> </w:t>
      </w:r>
      <w:hyperlink r:id="rId32">
        <w:r>
          <w:rPr>
            <w:rStyle w:val="Hyperlink"/>
          </w:rPr>
          <w:t xml:space="preserve">[24]</w:t>
        </w:r>
      </w:hyperlink>
    </w:p>
    <w:p>
      <w:pPr>
        <w:pStyle w:val="BodyText"/>
      </w:pPr>
      <w:r>
        <w:t xml:space="preserve">Four HLA-B27 mechanisms remain scientifically credible:</w:t>
      </w:r>
    </w:p>
    <w:p>
      <w:pPr>
        <w:pStyle w:val="Compact"/>
        <w:numPr>
          <w:ilvl w:val="0"/>
          <w:numId w:val="1001"/>
        </w:numPr>
      </w:pPr>
      <w:r>
        <w:rPr>
          <w:b/>
          <w:bCs/>
        </w:rPr>
        <w:t xml:space="preserve">Canonical antigen presentation.</w:t>
      </w:r>
      <w:r>
        <w:t xml:space="preserve"> </w:t>
      </w:r>
      <w:r>
        <w:t xml:space="preserve">Particular HLA-B27 peptide repertoires may activate pathogenic CD8 or other T-cell responses. ERAP1, which trims peptides before loading on HLA class I, genetically and functionally interacts with HLA-B27, supporting this route.</w:t>
      </w:r>
      <w:r>
        <w:t xml:space="preserve"> </w:t>
      </w:r>
      <w:hyperlink r:id="rId33">
        <w:r>
          <w:rPr>
            <w:rStyle w:val="Hyperlink"/>
          </w:rPr>
          <w:t xml:space="preserve">[25]</w:t>
        </w:r>
      </w:hyperlink>
    </w:p>
    <w:p>
      <w:pPr>
        <w:pStyle w:val="Compact"/>
        <w:numPr>
          <w:ilvl w:val="0"/>
          <w:numId w:val="1001"/>
        </w:numPr>
      </w:pPr>
      <w:r>
        <w:rPr>
          <w:b/>
          <w:bCs/>
        </w:rPr>
        <w:t xml:space="preserve">Misfolding/ER stress.</w:t>
      </w:r>
      <w:r>
        <w:t xml:space="preserve"> </w:t>
      </w:r>
      <w:r>
        <w:t xml:space="preserve">HLA-B27 has an unusual tendency to fold inefficiently, potentially activating ER stress/unfolded-protein responses and altering inflammatory cytokine production. Human findings are less consistent than the strongest animal-model data, so this remains plausible rather than settled. PMID 23993278; PMID 26567900.</w:t>
      </w:r>
      <w:r>
        <w:t xml:space="preserve"> </w:t>
      </w:r>
      <w:hyperlink r:id="rId11">
        <w:r>
          <w:rPr>
            <w:rStyle w:val="Hyperlink"/>
          </w:rPr>
          <w:t xml:space="preserve">[26]</w:t>
        </w:r>
      </w:hyperlink>
    </w:p>
    <w:p>
      <w:pPr>
        <w:pStyle w:val="Compact"/>
        <w:numPr>
          <w:ilvl w:val="0"/>
          <w:numId w:val="1001"/>
        </w:numPr>
      </w:pPr>
      <w:r>
        <w:rPr>
          <w:b/>
          <w:bCs/>
        </w:rPr>
        <w:t xml:space="preserve">Cell-surface homodimers.</w:t>
      </w:r>
      <w:r>
        <w:t xml:space="preserve"> </w:t>
      </w:r>
      <w:r>
        <w:t xml:space="preserve">Free HLA-B27 heavy chains can form homodimers recognized by receptors such as KIR3DL2; KIR3DL2-positive Th17 cells are increased in AS. PMID 21248258; Wong-Baeza et al. DOI 10.4049/jimmunol.1202926.</w:t>
      </w:r>
      <w:r>
        <w:t xml:space="preserve"> </w:t>
      </w:r>
      <w:hyperlink r:id="rId34">
        <w:r>
          <w:rPr>
            <w:rStyle w:val="Hyperlink"/>
          </w:rPr>
          <w:t xml:space="preserve">[27]</w:t>
        </w:r>
      </w:hyperlink>
    </w:p>
    <w:p>
      <w:pPr>
        <w:pStyle w:val="Compact"/>
        <w:numPr>
          <w:ilvl w:val="0"/>
          <w:numId w:val="1001"/>
        </w:numPr>
      </w:pPr>
      <w:r>
        <w:rPr>
          <w:b/>
          <w:bCs/>
        </w:rPr>
        <w:t xml:space="preserve">Microbiome/mucosal effects.</w:t>
      </w:r>
      <w:r>
        <w:t xml:space="preserve"> </w:t>
      </w:r>
      <w:r>
        <w:t xml:space="preserve">HLA molecules themselves can influence microbial ecology and mucosal immune selection; animal HLA-B27 disease is strikingly microbiota-dependent. Whether one reproducible HLA-B27 microbiome signature exists in humans remains unresolved.</w:t>
      </w:r>
      <w:r>
        <w:t xml:space="preserve"> </w:t>
      </w:r>
      <w:hyperlink r:id="rId35">
        <w:r>
          <w:rPr>
            <w:rStyle w:val="Hyperlink"/>
          </w:rPr>
          <w:t xml:space="preserve">[28]</w:t>
        </w:r>
      </w:hyperlink>
    </w:p>
    <w:p>
      <w:pPr>
        <w:pStyle w:val="FirstParagraph"/>
      </w:pPr>
      <w:r>
        <w:rPr>
          <w:b/>
          <w:bCs/>
        </w:rPr>
        <w:t xml:space="preserve">Part II — Mechanistic map of 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Current interpretation</w:t>
            </w:r>
          </w:p>
        </w:tc>
        <w:tc>
          <w:tcPr/>
          <w:p>
            <w:pPr>
              <w:pStyle w:val="Compact"/>
              <w:jc w:val="right"/>
            </w:pPr>
            <w:r>
              <w:t xml:space="preserve">AS-specific evidence</w:t>
            </w:r>
          </w:p>
        </w:tc>
        <w:tc>
          <w:tcPr/>
          <w:p>
            <w:pPr>
              <w:pStyle w:val="Compact"/>
              <w:jc w:val="right"/>
            </w:pPr>
            <w:r>
              <w:t xml:space="preserve">Grade</w:t>
            </w:r>
          </w:p>
        </w:tc>
      </w:tr>
      <w:tr>
        <w:tc>
          <w:tcPr/>
          <w:p>
            <w:pPr>
              <w:pStyle w:val="Compact"/>
            </w:pPr>
            <w:r>
              <w:rPr>
                <w:b/>
                <w:bCs/>
              </w:rPr>
              <w:t xml:space="preserve">HLA-B27</w:t>
            </w:r>
          </w:p>
        </w:tc>
        <w:tc>
          <w:tcPr/>
          <w:p>
            <w:pPr>
              <w:pStyle w:val="Compact"/>
            </w:pPr>
            <w:r>
              <w:t xml:space="preserve">Major susceptibility factor acting through several possible mechanisms rather than one pathway</w:t>
            </w:r>
          </w:p>
        </w:tc>
        <w:tc>
          <w:tcPr/>
          <w:p>
            <w:pPr>
              <w:pStyle w:val="Compact"/>
              <w:jc w:val="right"/>
            </w:pPr>
            <w:r>
              <w:t xml:space="preserve">Very strong genetics/human biology</w:t>
            </w:r>
          </w:p>
        </w:tc>
        <w:tc>
          <w:tcPr/>
          <w:p>
            <w:pPr>
              <w:pStyle w:val="Compact"/>
              <w:jc w:val="right"/>
            </w:pPr>
            <w:r>
              <w:rPr>
                <w:b/>
                <w:bCs/>
              </w:rPr>
              <w:t xml:space="preserve">A</w:t>
            </w:r>
            <w:r>
              <w:t xml:space="preserve"> </w:t>
            </w:r>
            <w:hyperlink r:id="rId11">
              <w:r>
                <w:rPr>
                  <w:rStyle w:val="Hyperlink"/>
                </w:rPr>
                <w:t xml:space="preserve">[29]</w:t>
              </w:r>
            </w:hyperlink>
          </w:p>
        </w:tc>
      </w:tr>
      <w:tr>
        <w:tc>
          <w:tcPr/>
          <w:p>
            <w:pPr>
              <w:pStyle w:val="Compact"/>
            </w:pPr>
            <w:r>
              <w:rPr>
                <w:b/>
                <w:bCs/>
              </w:rPr>
              <w:t xml:space="preserve">ERAP1/antigen processing</w:t>
            </w:r>
          </w:p>
        </w:tc>
        <w:tc>
          <w:tcPr/>
          <w:p>
            <w:pPr>
              <w:pStyle w:val="Compact"/>
            </w:pPr>
            <w:r>
              <w:t xml:space="preserve">Changes class-I peptide repertoire and HLA-B27 stability</w:t>
            </w:r>
          </w:p>
        </w:tc>
        <w:tc>
          <w:tcPr/>
          <w:p>
            <w:pPr>
              <w:pStyle w:val="Compact"/>
              <w:jc w:val="right"/>
            </w:pPr>
            <w:r>
              <w:t xml:space="preserve">Human genetics + functional data</w:t>
            </w:r>
          </w:p>
        </w:tc>
        <w:tc>
          <w:tcPr/>
          <w:p>
            <w:pPr>
              <w:pStyle w:val="Compact"/>
              <w:jc w:val="right"/>
            </w:pPr>
            <w:r>
              <w:rPr>
                <w:b/>
                <w:bCs/>
              </w:rPr>
              <w:t xml:space="preserve">A/B</w:t>
            </w:r>
            <w:r>
              <w:t xml:space="preserve"> </w:t>
            </w:r>
            <w:hyperlink r:id="rId33">
              <w:r>
                <w:rPr>
                  <w:rStyle w:val="Hyperlink"/>
                </w:rPr>
                <w:t xml:space="preserve">[25]</w:t>
              </w:r>
            </w:hyperlink>
          </w:p>
        </w:tc>
      </w:tr>
      <w:tr>
        <w:tc>
          <w:tcPr/>
          <w:p>
            <w:pPr>
              <w:pStyle w:val="Compact"/>
            </w:pPr>
            <w:r>
              <w:rPr>
                <w:b/>
                <w:bCs/>
              </w:rPr>
              <w:t xml:space="preserve">Pathogenic antigen presentation</w:t>
            </w:r>
          </w:p>
        </w:tc>
        <w:tc>
          <w:tcPr/>
          <w:p>
            <w:pPr>
              <w:pStyle w:val="Compact"/>
            </w:pPr>
            <w:r>
              <w:t xml:space="preserve">Attractive explanation for HLA association; exact dominant arthritogenic antigen remains elusive</w:t>
            </w:r>
          </w:p>
        </w:tc>
        <w:tc>
          <w:tcPr/>
          <w:p>
            <w:pPr>
              <w:pStyle w:val="Compact"/>
              <w:jc w:val="right"/>
            </w:pPr>
            <w:r>
              <w:t xml:space="preserve">Indirect human evidence</w:t>
            </w:r>
          </w:p>
        </w:tc>
        <w:tc>
          <w:tcPr/>
          <w:p>
            <w:pPr>
              <w:pStyle w:val="Compact"/>
              <w:jc w:val="right"/>
            </w:pPr>
            <w:r>
              <w:rPr>
                <w:b/>
                <w:bCs/>
              </w:rPr>
              <w:t xml:space="preserve">B/C</w:t>
            </w:r>
          </w:p>
        </w:tc>
      </w:tr>
      <w:tr>
        <w:tc>
          <w:tcPr/>
          <w:p>
            <w:pPr>
              <w:pStyle w:val="Compact"/>
            </w:pPr>
            <w:r>
              <w:rPr>
                <w:b/>
                <w:bCs/>
              </w:rPr>
              <w:t xml:space="preserve">HLA-B27 misfolding/UPR</w:t>
            </w:r>
          </w:p>
        </w:tc>
        <w:tc>
          <w:tcPr/>
          <w:p>
            <w:pPr>
              <w:pStyle w:val="Compact"/>
            </w:pPr>
            <w:r>
              <w:t xml:space="preserve">Can generate ER stress and inflammatory signalling</w:t>
            </w:r>
          </w:p>
        </w:tc>
        <w:tc>
          <w:tcPr/>
          <w:p>
            <w:pPr>
              <w:pStyle w:val="Compact"/>
              <w:jc w:val="right"/>
            </w:pPr>
            <w:r>
              <w:t xml:space="preserve">Strong models; inconsistent human cellular evidence</w:t>
            </w:r>
          </w:p>
        </w:tc>
        <w:tc>
          <w:tcPr/>
          <w:p>
            <w:pPr>
              <w:pStyle w:val="Compact"/>
              <w:jc w:val="right"/>
            </w:pPr>
            <w:r>
              <w:rPr>
                <w:b/>
                <w:bCs/>
              </w:rPr>
              <w:t xml:space="preserve">B/C</w:t>
            </w:r>
            <w:r>
              <w:t xml:space="preserve"> </w:t>
            </w:r>
            <w:hyperlink r:id="rId11">
              <w:r>
                <w:rPr>
                  <w:rStyle w:val="Hyperlink"/>
                </w:rPr>
                <w:t xml:space="preserve">[30]</w:t>
              </w:r>
            </w:hyperlink>
          </w:p>
        </w:tc>
      </w:tr>
      <w:tr>
        <w:tc>
          <w:tcPr/>
          <w:p>
            <w:pPr>
              <w:pStyle w:val="Compact"/>
            </w:pPr>
            <w:r>
              <w:rPr>
                <w:b/>
                <w:bCs/>
              </w:rPr>
              <w:t xml:space="preserve">HLA-B27 homodimer/KIR3DL2</w:t>
            </w:r>
          </w:p>
        </w:tc>
        <w:tc>
          <w:tcPr/>
          <w:p>
            <w:pPr>
              <w:pStyle w:val="Compact"/>
            </w:pPr>
            <w:r>
              <w:t xml:space="preserve">Supports Th17 survival/activation and innate-like receptor interactions</w:t>
            </w:r>
          </w:p>
        </w:tc>
        <w:tc>
          <w:tcPr/>
          <w:p>
            <w:pPr>
              <w:pStyle w:val="Compact"/>
              <w:jc w:val="right"/>
            </w:pPr>
            <w:r>
              <w:t xml:space="preserve">Human cellular data</w:t>
            </w:r>
          </w:p>
        </w:tc>
        <w:tc>
          <w:tcPr/>
          <w:p>
            <w:pPr>
              <w:pStyle w:val="Compact"/>
              <w:jc w:val="right"/>
            </w:pPr>
            <w:r>
              <w:rPr>
                <w:b/>
                <w:bCs/>
              </w:rPr>
              <w:t xml:space="preserve">B</w:t>
            </w:r>
            <w:r>
              <w:t xml:space="preserve"> </w:t>
            </w:r>
            <w:hyperlink r:id="rId34">
              <w:r>
                <w:rPr>
                  <w:rStyle w:val="Hyperlink"/>
                </w:rPr>
                <w:t xml:space="preserve">[27]</w:t>
              </w:r>
            </w:hyperlink>
          </w:p>
        </w:tc>
      </w:tr>
      <w:tr>
        <w:tc>
          <w:tcPr/>
          <w:p>
            <w:pPr>
              <w:pStyle w:val="Compact"/>
            </w:pPr>
            <w:r>
              <w:rPr>
                <w:b/>
                <w:bCs/>
              </w:rPr>
              <w:t xml:space="preserve">TNF</w:t>
            </w:r>
          </w:p>
        </w:tc>
        <w:tc>
          <w:tcPr/>
          <w:p>
            <w:pPr>
              <w:pStyle w:val="Compact"/>
            </w:pPr>
            <w:r>
              <w:t xml:space="preserve">Central inflammatory amplifier affecting myeloid cells, endothelium and stromal tissue</w:t>
            </w:r>
          </w:p>
        </w:tc>
        <w:tc>
          <w:tcPr/>
          <w:p>
            <w:pPr>
              <w:pStyle w:val="Compact"/>
              <w:jc w:val="right"/>
            </w:pPr>
            <w:r>
              <w:t xml:space="preserve">Strong therapeutic and mechanistic evidence</w:t>
            </w:r>
          </w:p>
        </w:tc>
        <w:tc>
          <w:tcPr/>
          <w:p>
            <w:pPr>
              <w:pStyle w:val="Compact"/>
              <w:jc w:val="right"/>
            </w:pPr>
            <w:r>
              <w:rPr>
                <w:b/>
                <w:bCs/>
              </w:rPr>
              <w:t xml:space="preserve">A</w:t>
            </w:r>
          </w:p>
        </w:tc>
      </w:tr>
      <w:tr>
        <w:tc>
          <w:tcPr/>
          <w:p>
            <w:pPr>
              <w:pStyle w:val="Compact"/>
            </w:pPr>
            <w:r>
              <w:rPr>
                <w:b/>
                <w:bCs/>
              </w:rPr>
              <w:t xml:space="preserve">IL-17A</w:t>
            </w:r>
          </w:p>
        </w:tc>
        <w:tc>
          <w:tcPr/>
          <w:p>
            <w:pPr>
              <w:pStyle w:val="Compact"/>
            </w:pPr>
            <w:r>
              <w:t xml:space="preserve">Central effector at enthesis, bone and other affected tissues</w:t>
            </w:r>
          </w:p>
        </w:tc>
        <w:tc>
          <w:tcPr/>
          <w:p>
            <w:pPr>
              <w:pStyle w:val="Compact"/>
              <w:jc w:val="right"/>
            </w:pPr>
            <w:r>
              <w:t xml:space="preserve">Strong therapeutic + cellular evidence</w:t>
            </w:r>
          </w:p>
        </w:tc>
        <w:tc>
          <w:tcPr/>
          <w:p>
            <w:pPr>
              <w:pStyle w:val="Compact"/>
              <w:jc w:val="right"/>
            </w:pPr>
            <w:r>
              <w:rPr>
                <w:b/>
                <w:bCs/>
              </w:rPr>
              <w:t xml:space="preserve">A</w:t>
            </w:r>
            <w:r>
              <w:t xml:space="preserve"> </w:t>
            </w:r>
            <w:hyperlink r:id="rId12">
              <w:r>
                <w:rPr>
                  <w:rStyle w:val="Hyperlink"/>
                </w:rPr>
                <w:t xml:space="preserve">[31]</w:t>
              </w:r>
            </w:hyperlink>
          </w:p>
        </w:tc>
      </w:tr>
      <w:tr>
        <w:tc>
          <w:tcPr/>
          <w:p>
            <w:pPr>
              <w:pStyle w:val="Compact"/>
            </w:pPr>
            <w:r>
              <w:rPr>
                <w:b/>
                <w:bCs/>
              </w:rPr>
              <w:t xml:space="preserve">IL-23</w:t>
            </w:r>
          </w:p>
        </w:tc>
        <w:tc>
          <w:tcPr/>
          <w:p>
            <w:pPr>
              <w:pStyle w:val="Compact"/>
            </w:pPr>
            <w:r>
              <w:t xml:space="preserve">Important inducer of type-3 immunity; probably more important to initiation/subsets than established axial maintenance</w:t>
            </w:r>
          </w:p>
        </w:tc>
        <w:tc>
          <w:tcPr/>
          <w:p>
            <w:pPr>
              <w:pStyle w:val="Compact"/>
              <w:jc w:val="right"/>
            </w:pPr>
            <w:r>
              <w:t xml:space="preserve">Strong models; human therapeutic contradiction</w:t>
            </w:r>
          </w:p>
        </w:tc>
        <w:tc>
          <w:tcPr/>
          <w:p>
            <w:pPr>
              <w:pStyle w:val="Compact"/>
              <w:jc w:val="right"/>
            </w:pPr>
            <w:r>
              <w:rPr>
                <w:b/>
                <w:bCs/>
              </w:rPr>
              <w:t xml:space="preserve">B for initiation; low for established maintenance</w:t>
            </w:r>
            <w:r>
              <w:t xml:space="preserve"> </w:t>
            </w:r>
            <w:hyperlink r:id="rId26">
              <w:r>
                <w:rPr>
                  <w:rStyle w:val="Hyperlink"/>
                </w:rPr>
                <w:t xml:space="preserve">[17]</w:t>
              </w:r>
            </w:hyperlink>
          </w:p>
        </w:tc>
      </w:tr>
      <w:tr>
        <w:tc>
          <w:tcPr/>
          <w:p>
            <w:pPr>
              <w:pStyle w:val="Compact"/>
            </w:pPr>
            <w:r>
              <w:rPr>
                <w:b/>
                <w:bCs/>
              </w:rPr>
              <w:t xml:space="preserve">Th17 cells</w:t>
            </w:r>
          </w:p>
        </w:tc>
        <w:tc>
          <w:tcPr/>
          <w:p>
            <w:pPr>
              <w:pStyle w:val="Compact"/>
            </w:pPr>
            <w:r>
              <w:t xml:space="preserve">One source of IL-17; altered Th17/Treg balance described</w:t>
            </w:r>
          </w:p>
        </w:tc>
        <w:tc>
          <w:tcPr/>
          <w:p>
            <w:pPr>
              <w:pStyle w:val="Compact"/>
              <w:jc w:val="right"/>
            </w:pPr>
            <w:r>
              <w:t xml:space="preserve">Human blood/tissue data</w:t>
            </w:r>
          </w:p>
        </w:tc>
        <w:tc>
          <w:tcPr/>
          <w:p>
            <w:pPr>
              <w:pStyle w:val="Compact"/>
              <w:jc w:val="right"/>
            </w:pPr>
            <w:r>
              <w:rPr>
                <w:b/>
                <w:bCs/>
              </w:rPr>
              <w:t xml:space="preserve">B</w:t>
            </w:r>
            <w:r>
              <w:t xml:space="preserve"> </w:t>
            </w:r>
            <w:hyperlink r:id="rId17">
              <w:r>
                <w:rPr>
                  <w:rStyle w:val="Hyperlink"/>
                </w:rPr>
                <w:t xml:space="preserve">[32]</w:t>
              </w:r>
            </w:hyperlink>
          </w:p>
        </w:tc>
      </w:tr>
      <w:tr>
        <w:tc>
          <w:tcPr/>
          <w:p>
            <w:pPr>
              <w:pStyle w:val="Compact"/>
            </w:pPr>
            <w:r>
              <w:rPr>
                <w:b/>
                <w:bCs/>
              </w:rPr>
              <w:t xml:space="preserve">γδ T cells</w:t>
            </w:r>
          </w:p>
        </w:tc>
        <w:tc>
          <w:tcPr/>
          <w:p>
            <w:pPr>
              <w:pStyle w:val="Compact"/>
            </w:pPr>
            <w:r>
              <w:t xml:space="preserve">Rapid IL-17-capable tissue-resident/innate-like cells at entheses</w:t>
            </w:r>
          </w:p>
        </w:tc>
        <w:tc>
          <w:tcPr/>
          <w:p>
            <w:pPr>
              <w:pStyle w:val="Compact"/>
              <w:jc w:val="right"/>
            </w:pPr>
            <w:r>
              <w:t xml:space="preserve">Human enthesis evidence</w:t>
            </w:r>
          </w:p>
        </w:tc>
        <w:tc>
          <w:tcPr/>
          <w:p>
            <w:pPr>
              <w:pStyle w:val="Compact"/>
              <w:jc w:val="right"/>
            </w:pPr>
            <w:r>
              <w:rPr>
                <w:b/>
                <w:bCs/>
              </w:rPr>
              <w:t xml:space="preserve">B</w:t>
            </w:r>
            <w:r>
              <w:t xml:space="preserve"> </w:t>
            </w:r>
            <w:hyperlink r:id="rId29">
              <w:r>
                <w:rPr>
                  <w:rStyle w:val="Hyperlink"/>
                </w:rPr>
                <w:t xml:space="preserve">[33]</w:t>
              </w:r>
            </w:hyperlink>
          </w:p>
        </w:tc>
      </w:tr>
      <w:tr>
        <w:tc>
          <w:tcPr/>
          <w:p>
            <w:pPr>
              <w:pStyle w:val="Compact"/>
            </w:pPr>
            <w:r>
              <w:rPr>
                <w:b/>
                <w:bCs/>
              </w:rPr>
              <w:t xml:space="preserve">MAIT cells</w:t>
            </w:r>
          </w:p>
        </w:tc>
        <w:tc>
          <w:tcPr/>
          <w:p>
            <w:pPr>
              <w:pStyle w:val="Compact"/>
            </w:pPr>
            <w:r>
              <w:t xml:space="preserve">Mucosal-origin innate-like T cells; IL-7 can prime IL-17 production</w:t>
            </w:r>
          </w:p>
        </w:tc>
        <w:tc>
          <w:tcPr/>
          <w:p>
            <w:pPr>
              <w:pStyle w:val="Compact"/>
              <w:jc w:val="right"/>
            </w:pPr>
            <w:r>
              <w:t xml:space="preserve">Human AS data; PMID 27165176</w:t>
            </w:r>
          </w:p>
        </w:tc>
        <w:tc>
          <w:tcPr/>
          <w:p>
            <w:pPr>
              <w:pStyle w:val="Compact"/>
              <w:jc w:val="right"/>
            </w:pPr>
            <w:r>
              <w:rPr>
                <w:b/>
                <w:bCs/>
              </w:rPr>
              <w:t xml:space="preserve">B</w:t>
            </w:r>
            <w:r>
              <w:t xml:space="preserve"> </w:t>
            </w:r>
            <w:hyperlink r:id="rId36">
              <w:r>
                <w:rPr>
                  <w:rStyle w:val="Hyperlink"/>
                </w:rPr>
                <w:t xml:space="preserve">[34]</w:t>
              </w:r>
            </w:hyperlink>
          </w:p>
        </w:tc>
      </w:tr>
      <w:tr>
        <w:tc>
          <w:tcPr/>
          <w:p>
            <w:pPr>
              <w:pStyle w:val="Compact"/>
            </w:pPr>
            <w:r>
              <w:rPr>
                <w:b/>
                <w:bCs/>
              </w:rPr>
              <w:t xml:space="preserve">ILC3</w:t>
            </w:r>
          </w:p>
        </w:tc>
        <w:tc>
          <w:tcPr/>
          <w:p>
            <w:pPr>
              <w:pStyle w:val="Compact"/>
            </w:pPr>
            <w:r>
              <w:t xml:space="preserve">IL-17/IL-22-producing barrier cells; gut-to-blood/bone-marrow trafficking proposed</w:t>
            </w:r>
          </w:p>
        </w:tc>
        <w:tc>
          <w:tcPr/>
          <w:p>
            <w:pPr>
              <w:pStyle w:val="Compact"/>
              <w:jc w:val="right"/>
            </w:pPr>
            <w:r>
              <w:t xml:space="preserve">Human AS observational tissue data; PMID 25902790</w:t>
            </w:r>
          </w:p>
        </w:tc>
        <w:tc>
          <w:tcPr/>
          <w:p>
            <w:pPr>
              <w:pStyle w:val="Compact"/>
              <w:jc w:val="right"/>
            </w:pPr>
            <w:r>
              <w:rPr>
                <w:b/>
                <w:bCs/>
              </w:rPr>
              <w:t xml:space="preserve">B/C</w:t>
            </w:r>
            <w:r>
              <w:t xml:space="preserve"> </w:t>
            </w:r>
            <w:hyperlink r:id="rId37">
              <w:r>
                <w:rPr>
                  <w:rStyle w:val="Hyperlink"/>
                </w:rPr>
                <w:t xml:space="preserve">[35]</w:t>
              </w:r>
            </w:hyperlink>
          </w:p>
        </w:tc>
      </w:tr>
      <w:tr>
        <w:tc>
          <w:tcPr/>
          <w:p>
            <w:pPr>
              <w:pStyle w:val="Compact"/>
            </w:pPr>
            <w:r>
              <w:rPr>
                <w:b/>
                <w:bCs/>
              </w:rPr>
              <w:t xml:space="preserve">Neutrophils</w:t>
            </w:r>
          </w:p>
        </w:tc>
        <w:tc>
          <w:tcPr/>
          <w:p>
            <w:pPr>
              <w:pStyle w:val="Compact"/>
            </w:pPr>
            <w:r>
              <w:t xml:space="preserve">Recruitment and inflammatory amplification; CARD9-dependent neutrophil–Th17 interaction recently demonstrated</w:t>
            </w:r>
          </w:p>
        </w:tc>
        <w:tc>
          <w:tcPr/>
          <w:p>
            <w:pPr>
              <w:pStyle w:val="Compact"/>
              <w:jc w:val="right"/>
            </w:pPr>
            <w:r>
              <w:t xml:space="preserve">Emerging human functional data</w:t>
            </w:r>
          </w:p>
        </w:tc>
        <w:tc>
          <w:tcPr/>
          <w:p>
            <w:pPr>
              <w:pStyle w:val="Compact"/>
              <w:jc w:val="right"/>
            </w:pPr>
            <w:r>
              <w:rPr>
                <w:b/>
                <w:bCs/>
              </w:rPr>
              <w:t xml:space="preserve">B/C</w:t>
            </w:r>
            <w:r>
              <w:t xml:space="preserve"> </w:t>
            </w:r>
            <w:hyperlink r:id="rId38">
              <w:r>
                <w:rPr>
                  <w:rStyle w:val="Hyperlink"/>
                </w:rPr>
                <w:t xml:space="preserve">[36]</w:t>
              </w:r>
            </w:hyperlink>
          </w:p>
        </w:tc>
      </w:tr>
      <w:tr>
        <w:tc>
          <w:tcPr/>
          <w:p>
            <w:pPr>
              <w:pStyle w:val="Compact"/>
            </w:pPr>
            <w:r>
              <w:rPr>
                <w:b/>
                <w:bCs/>
              </w:rPr>
              <w:t xml:space="preserve">Macrophages/monocytes</w:t>
            </w:r>
          </w:p>
        </w:tc>
        <w:tc>
          <w:tcPr/>
          <w:p>
            <w:pPr>
              <w:pStyle w:val="Compact"/>
            </w:pPr>
            <w:r>
              <w:t xml:space="preserve">TNF, IL-23, chemokines, ATP/P2X7/NLRP3 signalling; also resolution/remodelling</w:t>
            </w:r>
          </w:p>
        </w:tc>
        <w:tc>
          <w:tcPr/>
          <w:p>
            <w:pPr>
              <w:pStyle w:val="Compact"/>
              <w:jc w:val="right"/>
            </w:pPr>
            <w:r>
              <w:t xml:space="preserve">Substantial human cellular evidence</w:t>
            </w:r>
          </w:p>
        </w:tc>
        <w:tc>
          <w:tcPr/>
          <w:p>
            <w:pPr>
              <w:pStyle w:val="Compact"/>
              <w:jc w:val="right"/>
            </w:pPr>
            <w:r>
              <w:rPr>
                <w:b/>
                <w:bCs/>
              </w:rPr>
              <w:t xml:space="preserve">B</w:t>
            </w:r>
            <w:r>
              <w:t xml:space="preserve"> </w:t>
            </w:r>
            <w:hyperlink r:id="rId39">
              <w:r>
                <w:rPr>
                  <w:rStyle w:val="Hyperlink"/>
                </w:rPr>
                <w:t xml:space="preserve">[37]</w:t>
              </w:r>
            </w:hyperlink>
          </w:p>
        </w:tc>
      </w:tr>
      <w:tr>
        <w:tc>
          <w:tcPr/>
          <w:p>
            <w:pPr>
              <w:pStyle w:val="Compact"/>
            </w:pPr>
            <w:r>
              <w:rPr>
                <w:b/>
                <w:bCs/>
              </w:rPr>
              <w:t xml:space="preserve">GM-CSF</w:t>
            </w:r>
          </w:p>
        </w:tc>
        <w:tc>
          <w:tcPr/>
          <w:p>
            <w:pPr>
              <w:pStyle w:val="Compact"/>
            </w:pPr>
            <w:r>
              <w:t xml:space="preserve">Can prime inflammatory monocytes and is elevated in active disease</w:t>
            </w:r>
          </w:p>
        </w:tc>
        <w:tc>
          <w:tcPr/>
          <w:p>
            <w:pPr>
              <w:pStyle w:val="Compact"/>
              <w:jc w:val="right"/>
            </w:pPr>
            <w:r>
              <w:t xml:space="preserve">Human mechanistic data but anti-GM-CSF trial negative</w:t>
            </w:r>
          </w:p>
        </w:tc>
        <w:tc>
          <w:tcPr/>
          <w:p>
            <w:pPr>
              <w:pStyle w:val="Compact"/>
              <w:jc w:val="right"/>
            </w:pPr>
            <w:r>
              <w:rPr>
                <w:b/>
                <w:bCs/>
              </w:rPr>
              <w:t xml:space="preserve">C as therapeutic driver</w:t>
            </w:r>
            <w:r>
              <w:t xml:space="preserve"> </w:t>
            </w:r>
            <w:hyperlink r:id="rId39">
              <w:r>
                <w:rPr>
                  <w:rStyle w:val="Hyperlink"/>
                </w:rPr>
                <w:t xml:space="preserve">[38]</w:t>
              </w:r>
            </w:hyperlink>
          </w:p>
        </w:tc>
      </w:tr>
      <w:tr>
        <w:tc>
          <w:tcPr/>
          <w:p>
            <w:pPr>
              <w:pStyle w:val="Compact"/>
            </w:pPr>
            <w:r>
              <w:rPr>
                <w:b/>
                <w:bCs/>
              </w:rPr>
              <w:t xml:space="preserve">IL-1/IL-18–inflammasome</w:t>
            </w:r>
          </w:p>
        </w:tc>
        <w:tc>
          <w:tcPr/>
          <w:p>
            <w:pPr>
              <w:pStyle w:val="Compact"/>
            </w:pPr>
            <w:r>
              <w:t xml:space="preserve">DAMP/ATP/microbial signalling can activate NLRP3 and pyroptotic pathways</w:t>
            </w:r>
          </w:p>
        </w:tc>
        <w:tc>
          <w:tcPr/>
          <w:p>
            <w:pPr>
              <w:pStyle w:val="Compact"/>
              <w:jc w:val="right"/>
            </w:pPr>
            <w:r>
              <w:t xml:space="preserve">Human PBMC/monocyte evidence; therapeutic causality unresolved</w:t>
            </w:r>
          </w:p>
        </w:tc>
        <w:tc>
          <w:tcPr/>
          <w:p>
            <w:pPr>
              <w:pStyle w:val="Compact"/>
              <w:jc w:val="right"/>
            </w:pPr>
            <w:r>
              <w:rPr>
                <w:b/>
                <w:bCs/>
              </w:rPr>
              <w:t xml:space="preserve">B/C</w:t>
            </w:r>
            <w:r>
              <w:t xml:space="preserve"> </w:t>
            </w:r>
            <w:hyperlink r:id="rId40">
              <w:r>
                <w:rPr>
                  <w:rStyle w:val="Hyperlink"/>
                </w:rPr>
                <w:t xml:space="preserve">[39]</w:t>
              </w:r>
            </w:hyperlink>
          </w:p>
        </w:tc>
      </w:tr>
      <w:tr>
        <w:tc>
          <w:tcPr/>
          <w:p>
            <w:pPr>
              <w:pStyle w:val="Compact"/>
            </w:pPr>
            <w:r>
              <w:rPr>
                <w:b/>
                <w:bCs/>
              </w:rPr>
              <w:t xml:space="preserve">IL-6</w:t>
            </w:r>
          </w:p>
        </w:tc>
        <w:tc>
          <w:tcPr/>
          <w:p>
            <w:pPr>
              <w:pStyle w:val="Compact"/>
            </w:pPr>
            <w:r>
              <w:t xml:space="preserve">Elevated in inflammation but less disease-specific than TNF/IL-17</w:t>
            </w:r>
          </w:p>
        </w:tc>
        <w:tc>
          <w:tcPr/>
          <w:p>
            <w:pPr>
              <w:pStyle w:val="Compact"/>
              <w:jc w:val="right"/>
            </w:pPr>
            <w:r>
              <w:t xml:space="preserve">Human association; limited causal therapeutic importance</w:t>
            </w:r>
          </w:p>
        </w:tc>
        <w:tc>
          <w:tcPr/>
          <w:p>
            <w:pPr>
              <w:pStyle w:val="Compact"/>
              <w:jc w:val="right"/>
            </w:pPr>
            <w:r>
              <w:rPr>
                <w:b/>
                <w:bCs/>
              </w:rPr>
              <w:t xml:space="preserve">C</w:t>
            </w:r>
          </w:p>
        </w:tc>
      </w:tr>
      <w:tr>
        <w:tc>
          <w:tcPr/>
          <w:p>
            <w:pPr>
              <w:pStyle w:val="Compact"/>
            </w:pPr>
            <w:r>
              <w:rPr>
                <w:b/>
                <w:bCs/>
              </w:rPr>
              <w:t xml:space="preserve">Treg cells</w:t>
            </w:r>
          </w:p>
        </w:tc>
        <w:tc>
          <w:tcPr/>
          <w:p>
            <w:pPr>
              <w:pStyle w:val="Compact"/>
            </w:pPr>
            <w:r>
              <w:t xml:space="preserve">Potential failure of suppression/resolution; Th17/Treg balance may matter</w:t>
            </w:r>
          </w:p>
        </w:tc>
        <w:tc>
          <w:tcPr/>
          <w:p>
            <w:pPr>
              <w:pStyle w:val="Compact"/>
              <w:jc w:val="right"/>
            </w:pPr>
            <w:r>
              <w:t xml:space="preserve">Limited/inconsistent AS studies</w:t>
            </w:r>
          </w:p>
        </w:tc>
        <w:tc>
          <w:tcPr/>
          <w:p>
            <w:pPr>
              <w:pStyle w:val="Compact"/>
              <w:jc w:val="right"/>
            </w:pPr>
            <w:r>
              <w:rPr>
                <w:b/>
                <w:bCs/>
              </w:rPr>
              <w:t xml:space="preserve">C</w:t>
            </w:r>
            <w:r>
              <w:t xml:space="preserve"> </w:t>
            </w:r>
            <w:hyperlink r:id="rId17">
              <w:r>
                <w:rPr>
                  <w:rStyle w:val="Hyperlink"/>
                </w:rPr>
                <w:t xml:space="preserve">[32]</w:t>
              </w:r>
            </w:hyperlink>
          </w:p>
        </w:tc>
      </w:tr>
      <w:tr>
        <w:tc>
          <w:tcPr/>
          <w:p>
            <w:pPr>
              <w:pStyle w:val="Compact"/>
            </w:pPr>
            <w:r>
              <w:rPr>
                <w:b/>
                <w:bCs/>
              </w:rPr>
              <w:t xml:space="preserve">NK/KIR interactions</w:t>
            </w:r>
          </w:p>
        </w:tc>
        <w:tc>
          <w:tcPr/>
          <w:p>
            <w:pPr>
              <w:pStyle w:val="Compact"/>
            </w:pPr>
            <w:r>
              <w:t xml:space="preserve">Relevant because HLA-B27 can engage killer-cell immunoglobulin-like receptors</w:t>
            </w:r>
          </w:p>
        </w:tc>
        <w:tc>
          <w:tcPr/>
          <w:p>
            <w:pPr>
              <w:pStyle w:val="Compact"/>
              <w:jc w:val="right"/>
            </w:pPr>
            <w:r>
              <w:t xml:space="preserve">Genetic/cellular rationale</w:t>
            </w:r>
          </w:p>
        </w:tc>
        <w:tc>
          <w:tcPr/>
          <w:p>
            <w:pPr>
              <w:pStyle w:val="Compact"/>
              <w:jc w:val="right"/>
            </w:pPr>
            <w:r>
              <w:rPr>
                <w:b/>
                <w:bCs/>
              </w:rPr>
              <w:t xml:space="preserve">B/C</w:t>
            </w:r>
            <w:r>
              <w:t xml:space="preserve"> </w:t>
            </w:r>
            <w:hyperlink r:id="rId34">
              <w:r>
                <w:rPr>
                  <w:rStyle w:val="Hyperlink"/>
                </w:rPr>
                <w:t xml:space="preserve">[40]</w:t>
              </w:r>
            </w:hyperlink>
          </w:p>
        </w:tc>
      </w:tr>
      <w:tr>
        <w:tc>
          <w:tcPr/>
          <w:p>
            <w:pPr>
              <w:pStyle w:val="Compact"/>
            </w:pPr>
            <w:r>
              <w:rPr>
                <w:b/>
                <w:bCs/>
              </w:rPr>
              <w:t xml:space="preserve">JAK/STAT</w:t>
            </w:r>
          </w:p>
        </w:tc>
        <w:tc>
          <w:tcPr/>
          <w:p>
            <w:pPr>
              <w:pStyle w:val="Compact"/>
            </w:pPr>
            <w:r>
              <w:t xml:space="preserve">Transduces multiple cytokines; clinically validated by JAK-inhibitor efficacy but is not one upstream disease pathway</w:t>
            </w:r>
          </w:p>
        </w:tc>
        <w:tc>
          <w:tcPr/>
          <w:p>
            <w:pPr>
              <w:pStyle w:val="Compact"/>
              <w:jc w:val="right"/>
            </w:pPr>
            <w:r>
              <w:t xml:space="preserve">Strong therapeutic relevance</w:t>
            </w:r>
          </w:p>
        </w:tc>
        <w:tc>
          <w:tcPr/>
          <w:p>
            <w:pPr>
              <w:pStyle w:val="Compact"/>
              <w:jc w:val="right"/>
            </w:pPr>
            <w:r>
              <w:rPr>
                <w:b/>
                <w:bCs/>
              </w:rPr>
              <w:t xml:space="preserve">A for signalling relevance</w:t>
            </w:r>
          </w:p>
        </w:tc>
      </w:tr>
      <w:tr>
        <w:tc>
          <w:tcPr/>
          <w:p>
            <w:pPr>
              <w:pStyle w:val="Compact"/>
            </w:pPr>
            <w:r>
              <w:rPr>
                <w:b/>
                <w:bCs/>
              </w:rPr>
              <w:t xml:space="preserve">Prostaglandins/eicosanoids</w:t>
            </w:r>
          </w:p>
        </w:tc>
        <w:tc>
          <w:tcPr/>
          <w:p>
            <w:pPr>
              <w:pStyle w:val="Compact"/>
            </w:pPr>
            <w:r>
              <w:t xml:space="preserve">COX-derived inflammatory mediators contribute pain/inflammation; lipid mediator balance also participates in resolution</w:t>
            </w:r>
          </w:p>
        </w:tc>
        <w:tc>
          <w:tcPr/>
          <w:p>
            <w:pPr>
              <w:pStyle w:val="Compact"/>
              <w:jc w:val="right"/>
            </w:pPr>
            <w:r>
              <w:t xml:space="preserve">Human clinical/biochemical evidence</w:t>
            </w:r>
          </w:p>
        </w:tc>
        <w:tc>
          <w:tcPr/>
          <w:p>
            <w:pPr>
              <w:pStyle w:val="Compact"/>
              <w:jc w:val="right"/>
            </w:pPr>
            <w:r>
              <w:rPr>
                <w:b/>
                <w:bCs/>
              </w:rPr>
              <w:t xml:space="preserve">B</w:t>
            </w:r>
            <w:r>
              <w:t xml:space="preserve"> </w:t>
            </w:r>
            <w:hyperlink r:id="rId41">
              <w:r>
                <w:rPr>
                  <w:rStyle w:val="Hyperlink"/>
                </w:rPr>
                <w:t xml:space="preserve">[41]</w:t>
              </w:r>
            </w:hyperlink>
          </w:p>
        </w:tc>
      </w:tr>
      <w:tr>
        <w:tc>
          <w:tcPr/>
          <w:p>
            <w:pPr>
              <w:pStyle w:val="Compact"/>
            </w:pPr>
            <w:r>
              <w:rPr>
                <w:b/>
                <w:bCs/>
              </w:rPr>
              <w:t xml:space="preserve">Oxidative stress/ROS</w:t>
            </w:r>
          </w:p>
        </w:tc>
        <w:tc>
          <w:tcPr/>
          <w:p>
            <w:pPr>
              <w:pStyle w:val="Compact"/>
            </w:pPr>
            <w:r>
              <w:t xml:space="preserve">Can amplify NF-κB, NLRP3 and mitochondrial injury</w:t>
            </w:r>
          </w:p>
        </w:tc>
        <w:tc>
          <w:tcPr/>
          <w:p>
            <w:pPr>
              <w:pStyle w:val="Compact"/>
              <w:jc w:val="right"/>
            </w:pPr>
            <w:r>
              <w:t xml:space="preserve">Human association + experimental tissue evidence; substantial reverse causality</w:t>
            </w:r>
          </w:p>
        </w:tc>
        <w:tc>
          <w:tcPr/>
          <w:p>
            <w:pPr>
              <w:pStyle w:val="Compact"/>
              <w:jc w:val="right"/>
            </w:pPr>
            <w:r>
              <w:rPr>
                <w:b/>
                <w:bCs/>
              </w:rPr>
              <w:t xml:space="preserve">C</w:t>
            </w:r>
            <w:r>
              <w:t xml:space="preserve"> </w:t>
            </w:r>
            <w:hyperlink r:id="rId42">
              <w:r>
                <w:rPr>
                  <w:rStyle w:val="Hyperlink"/>
                </w:rPr>
                <w:t xml:space="preserve">[42]</w:t>
              </w:r>
            </w:hyperlink>
          </w:p>
        </w:tc>
      </w:tr>
      <w:tr>
        <w:tc>
          <w:tcPr/>
          <w:p>
            <w:pPr>
              <w:pStyle w:val="Compact"/>
            </w:pPr>
            <w:r>
              <w:rPr>
                <w:b/>
                <w:bCs/>
              </w:rPr>
              <w:t xml:space="preserve">Mitochondrial/immunometabolic changes</w:t>
            </w:r>
          </w:p>
        </w:tc>
        <w:tc>
          <w:tcPr/>
          <w:p>
            <w:pPr>
              <w:pStyle w:val="Compact"/>
            </w:pPr>
            <w:r>
              <w:t xml:space="preserve">Altered glycolysis, redox and metabolites may stabilize inflammatory cell phenotypes</w:t>
            </w:r>
          </w:p>
        </w:tc>
        <w:tc>
          <w:tcPr/>
          <w:p>
            <w:pPr>
              <w:pStyle w:val="Compact"/>
              <w:jc w:val="right"/>
            </w:pPr>
            <w:r>
              <w:t xml:space="preserve">Human metabolomics + experimental evidence</w:t>
            </w:r>
          </w:p>
        </w:tc>
        <w:tc>
          <w:tcPr/>
          <w:p>
            <w:pPr>
              <w:pStyle w:val="Compact"/>
              <w:jc w:val="right"/>
            </w:pPr>
            <w:r>
              <w:rPr>
                <w:b/>
                <w:bCs/>
              </w:rPr>
              <w:t xml:space="preserve">C</w:t>
            </w:r>
            <w:r>
              <w:t xml:space="preserve"> </w:t>
            </w:r>
            <w:hyperlink r:id="rId43">
              <w:r>
                <w:rPr>
                  <w:rStyle w:val="Hyperlink"/>
                </w:rPr>
                <w:t xml:space="preserve">[43]</w:t>
              </w:r>
            </w:hyperlink>
          </w:p>
        </w:tc>
      </w:tr>
      <w:tr>
        <w:tc>
          <w:tcPr/>
          <w:p>
            <w:pPr>
              <w:pStyle w:val="Compact"/>
            </w:pPr>
            <w:r>
              <w:rPr>
                <w:b/>
                <w:bCs/>
              </w:rPr>
              <w:t xml:space="preserve">Complement</w:t>
            </w:r>
          </w:p>
        </w:tc>
        <w:tc>
          <w:tcPr/>
          <w:p>
            <w:pPr>
              <w:pStyle w:val="Compact"/>
            </w:pPr>
            <w:r>
              <w:t xml:space="preserve">Plausible amplifier of innate inflammation but not a dominant validated axSpA driver</w:t>
            </w:r>
          </w:p>
        </w:tc>
        <w:tc>
          <w:tcPr/>
          <w:p>
            <w:pPr>
              <w:pStyle w:val="Compact"/>
              <w:jc w:val="right"/>
            </w:pPr>
            <w:r>
              <w:t xml:space="preserve">Limited direct causal evidence</w:t>
            </w:r>
          </w:p>
        </w:tc>
        <w:tc>
          <w:tcPr/>
          <w:p>
            <w:pPr>
              <w:pStyle w:val="Compact"/>
              <w:jc w:val="right"/>
            </w:pPr>
            <w:r>
              <w:rPr>
                <w:b/>
                <w:bCs/>
              </w:rPr>
              <w:t xml:space="preserve">C/D</w:t>
            </w:r>
          </w:p>
        </w:tc>
      </w:tr>
      <w:tr>
        <w:tc>
          <w:tcPr/>
          <w:p>
            <w:pPr>
              <w:pStyle w:val="Compact"/>
            </w:pPr>
            <w:r>
              <w:rPr>
                <w:b/>
                <w:bCs/>
              </w:rPr>
              <w:t xml:space="preserve">Endothelial signalling</w:t>
            </w:r>
          </w:p>
        </w:tc>
        <w:tc>
          <w:tcPr/>
          <w:p>
            <w:pPr>
              <w:pStyle w:val="Compact"/>
            </w:pPr>
            <w:r>
              <w:t xml:space="preserve">Facilitates leukocyte recruitment; vascular dysfunction/comorbidity accompanies systemic inflammation</w:t>
            </w:r>
          </w:p>
        </w:tc>
        <w:tc>
          <w:tcPr/>
          <w:p>
            <w:pPr>
              <w:pStyle w:val="Compact"/>
              <w:jc w:val="right"/>
            </w:pPr>
            <w:r>
              <w:t xml:space="preserve">Human association</w:t>
            </w:r>
          </w:p>
        </w:tc>
        <w:tc>
          <w:tcPr/>
          <w:p>
            <w:pPr>
              <w:pStyle w:val="Compact"/>
              <w:jc w:val="right"/>
            </w:pPr>
            <w:r>
              <w:rPr>
                <w:b/>
                <w:bCs/>
              </w:rPr>
              <w:t xml:space="preserve">B for consequence/amplification; C for cause</w:t>
            </w:r>
            <w:r>
              <w:t xml:space="preserve"> </w:t>
            </w:r>
            <w:hyperlink r:id="rId44">
              <w:r>
                <w:rPr>
                  <w:rStyle w:val="Hyperlink"/>
                </w:rPr>
                <w:t xml:space="preserve">[44]</w:t>
              </w:r>
            </w:hyperlink>
          </w:p>
        </w:tc>
      </w:tr>
      <w:tr>
        <w:tc>
          <w:tcPr/>
          <w:p>
            <w:pPr>
              <w:pStyle w:val="Compact"/>
            </w:pPr>
            <w:r>
              <w:rPr>
                <w:b/>
                <w:bCs/>
              </w:rPr>
              <w:t xml:space="preserve">Lymphatic clearance</w:t>
            </w:r>
          </w:p>
        </w:tc>
        <w:tc>
          <w:tcPr/>
          <w:p>
            <w:pPr>
              <w:pStyle w:val="Compact"/>
            </w:pPr>
            <w:r>
              <w:t xml:space="preserve">Could theoretically affect cytokine/cell clearance and tissue homeostasis</w:t>
            </w:r>
          </w:p>
        </w:tc>
        <w:tc>
          <w:tcPr/>
          <w:p>
            <w:pPr>
              <w:pStyle w:val="Compact"/>
              <w:jc w:val="right"/>
            </w:pPr>
            <w:r>
              <w:t xml:space="preserve">Very little AS-specific evidence</w:t>
            </w:r>
          </w:p>
        </w:tc>
        <w:tc>
          <w:tcPr/>
          <w:p>
            <w:pPr>
              <w:pStyle w:val="Compact"/>
              <w:jc w:val="right"/>
            </w:pPr>
            <w:r>
              <w:rPr>
                <w:b/>
                <w:bCs/>
              </w:rPr>
              <w:t xml:space="preserve">D</w:t>
            </w:r>
          </w:p>
        </w:tc>
      </w:tr>
      <w:tr>
        <w:tc>
          <w:tcPr/>
          <w:p>
            <w:pPr>
              <w:pStyle w:val="Compact"/>
            </w:pPr>
            <w:r>
              <w:rPr>
                <w:b/>
                <w:bCs/>
              </w:rPr>
              <w:t xml:space="preserve">Mechanical loading/microdamage</w:t>
            </w:r>
          </w:p>
        </w:tc>
        <w:tc>
          <w:tcPr/>
          <w:p>
            <w:pPr>
              <w:pStyle w:val="Compact"/>
            </w:pPr>
            <w:r>
              <w:t xml:space="preserve">Generates local damage signals at entheses and helps explain tissue selectivity</w:t>
            </w:r>
          </w:p>
        </w:tc>
        <w:tc>
          <w:tcPr/>
          <w:p>
            <w:pPr>
              <w:pStyle w:val="Compact"/>
              <w:jc w:val="right"/>
            </w:pPr>
            <w:r>
              <w:t xml:space="preserve">Strong biological/model support; less direct pre-flare human evidence</w:t>
            </w:r>
          </w:p>
        </w:tc>
        <w:tc>
          <w:tcPr/>
          <w:p>
            <w:pPr>
              <w:pStyle w:val="Compact"/>
              <w:jc w:val="right"/>
            </w:pPr>
            <w:r>
              <w:rPr>
                <w:b/>
                <w:bCs/>
              </w:rPr>
              <w:t xml:space="preserve">B</w:t>
            </w:r>
            <w:r>
              <w:t xml:space="preserve"> </w:t>
            </w:r>
            <w:hyperlink r:id="rId28">
              <w:r>
                <w:rPr>
                  <w:rStyle w:val="Hyperlink"/>
                </w:rPr>
                <w:t xml:space="preserve">[45]</w:t>
              </w:r>
            </w:hyperlink>
          </w:p>
        </w:tc>
      </w:tr>
      <w:tr>
        <w:tc>
          <w:tcPr/>
          <w:p>
            <w:pPr>
              <w:pStyle w:val="Compact"/>
            </w:pPr>
            <w:r>
              <w:rPr>
                <w:b/>
                <w:bCs/>
              </w:rPr>
              <w:t xml:space="preserve">Wnt/DKK-1/sclerostin</w:t>
            </w:r>
          </w:p>
        </w:tc>
        <w:tc>
          <w:tcPr/>
          <w:p>
            <w:pPr>
              <w:pStyle w:val="Compact"/>
            </w:pPr>
            <w:r>
              <w:t xml:space="preserve">Regulates osteoblastogenesis and structural repair/new bone</w:t>
            </w:r>
          </w:p>
        </w:tc>
        <w:tc>
          <w:tcPr/>
          <w:p>
            <w:pPr>
              <w:pStyle w:val="Compact"/>
              <w:jc w:val="right"/>
            </w:pPr>
            <w:r>
              <w:t xml:space="preserve">Human biomarker + mechanistic studies</w:t>
            </w:r>
          </w:p>
        </w:tc>
        <w:tc>
          <w:tcPr/>
          <w:p>
            <w:pPr>
              <w:pStyle w:val="Compact"/>
              <w:jc w:val="right"/>
            </w:pPr>
            <w:r>
              <w:rPr>
                <w:b/>
                <w:bCs/>
              </w:rPr>
              <w:t xml:space="preserve">B</w:t>
            </w:r>
            <w:r>
              <w:t xml:space="preserve"> </w:t>
            </w:r>
            <w:hyperlink r:id="rId18">
              <w:r>
                <w:rPr>
                  <w:rStyle w:val="Hyperlink"/>
                </w:rPr>
                <w:t xml:space="preserve">[46]</w:t>
              </w:r>
            </w:hyperlink>
          </w:p>
        </w:tc>
      </w:tr>
      <w:tr>
        <w:tc>
          <w:tcPr/>
          <w:p>
            <w:pPr>
              <w:pStyle w:val="Compact"/>
            </w:pPr>
            <w:r>
              <w:rPr>
                <w:b/>
                <w:bCs/>
              </w:rPr>
              <w:t xml:space="preserve">BMP/TGF-β pathways</w:t>
            </w:r>
          </w:p>
        </w:tc>
        <w:tc>
          <w:tcPr/>
          <w:p>
            <w:pPr>
              <w:pStyle w:val="Compact"/>
            </w:pPr>
            <w:r>
              <w:t xml:space="preserve">Repair/osteogenesis; may connect inflammation resolution to ankylosis</w:t>
            </w:r>
          </w:p>
        </w:tc>
        <w:tc>
          <w:tcPr/>
          <w:p>
            <w:pPr>
              <w:pStyle w:val="Compact"/>
              <w:jc w:val="right"/>
            </w:pPr>
            <w:r>
              <w:t xml:space="preserve">Strong experimental/tissue rationale</w:t>
            </w:r>
          </w:p>
        </w:tc>
        <w:tc>
          <w:tcPr/>
          <w:p>
            <w:pPr>
              <w:pStyle w:val="Compact"/>
              <w:jc w:val="right"/>
            </w:pPr>
            <w:r>
              <w:rPr>
                <w:b/>
                <w:bCs/>
              </w:rPr>
              <w:t xml:space="preserve">B/C</w:t>
            </w:r>
            <w:r>
              <w:t xml:space="preserve"> </w:t>
            </w:r>
            <w:hyperlink r:id="rId45">
              <w:r>
                <w:rPr>
                  <w:rStyle w:val="Hyperlink"/>
                </w:rPr>
                <w:t xml:space="preserve">[47]</w:t>
              </w:r>
            </w:hyperlink>
          </w:p>
        </w:tc>
      </w:tr>
      <w:tr>
        <w:tc>
          <w:tcPr/>
          <w:p>
            <w:pPr>
              <w:pStyle w:val="Compact"/>
            </w:pPr>
            <w:r>
              <w:rPr>
                <w:b/>
                <w:bCs/>
              </w:rPr>
              <w:t xml:space="preserve">Gut inflammation/barrier dysfunction</w:t>
            </w:r>
          </w:p>
        </w:tc>
        <w:tc>
          <w:tcPr/>
          <w:p>
            <w:pPr>
              <w:pStyle w:val="Compact"/>
            </w:pPr>
            <w:r>
              <w:t xml:space="preserve">Allows altered mucosal signalling and possibly microbial products/cells to shape systemic immunity</w:t>
            </w:r>
          </w:p>
        </w:tc>
        <w:tc>
          <w:tcPr/>
          <w:p>
            <w:pPr>
              <w:pStyle w:val="Compact"/>
              <w:jc w:val="right"/>
            </w:pPr>
            <w:r>
              <w:t xml:space="preserve">Strong association, human intestinal pathology</w:t>
            </w:r>
          </w:p>
        </w:tc>
        <w:tc>
          <w:tcPr/>
          <w:p>
            <w:pPr>
              <w:pStyle w:val="Compact"/>
              <w:jc w:val="right"/>
            </w:pPr>
            <w:r>
              <w:rPr>
                <w:b/>
                <w:bCs/>
              </w:rPr>
              <w:t xml:space="preserve">B</w:t>
            </w:r>
            <w:r>
              <w:t xml:space="preserve"> </w:t>
            </w:r>
            <w:hyperlink r:id="rId27">
              <w:r>
                <w:rPr>
                  <w:rStyle w:val="Hyperlink"/>
                </w:rPr>
                <w:t xml:space="preserve">[48]</w:t>
              </w:r>
            </w:hyperlink>
          </w:p>
        </w:tc>
      </w:tr>
      <w:tr>
        <w:tc>
          <w:tcPr/>
          <w:p>
            <w:pPr>
              <w:pStyle w:val="Compact"/>
            </w:pPr>
            <w:r>
              <w:rPr>
                <w:b/>
                <w:bCs/>
              </w:rPr>
              <w:t xml:space="preserve">Gut dysbiosis</w:t>
            </w:r>
          </w:p>
        </w:tc>
        <w:tc>
          <w:tcPr/>
          <w:p>
            <w:pPr>
              <w:pStyle w:val="Compact"/>
            </w:pPr>
            <w:r>
              <w:t xml:space="preserve">Likely participates in at least some disease phenotypes but no single causal microbiome defined</w:t>
            </w:r>
          </w:p>
        </w:tc>
        <w:tc>
          <w:tcPr/>
          <w:p>
            <w:pPr>
              <w:pStyle w:val="Compact"/>
              <w:jc w:val="right"/>
            </w:pPr>
            <w:r>
              <w:t xml:space="preserve">Many human studies/meta-analysis; heterogeneous</w:t>
            </w:r>
          </w:p>
        </w:tc>
        <w:tc>
          <w:tcPr/>
          <w:p>
            <w:pPr>
              <w:pStyle w:val="Compact"/>
              <w:jc w:val="right"/>
            </w:pPr>
            <w:r>
              <w:rPr>
                <w:b/>
                <w:bCs/>
              </w:rPr>
              <w:t xml:space="preserve">B association; C causality</w:t>
            </w:r>
            <w:r>
              <w:t xml:space="preserve"> </w:t>
            </w:r>
            <w:hyperlink r:id="rId13">
              <w:r>
                <w:rPr>
                  <w:rStyle w:val="Hyperlink"/>
                </w:rPr>
                <w:t xml:space="preserve">[49]</w:t>
              </w:r>
            </w:hyperlink>
          </w:p>
        </w:tc>
      </w:tr>
      <w:tr>
        <w:tc>
          <w:tcPr/>
          <w:p>
            <w:pPr>
              <w:pStyle w:val="Compact"/>
            </w:pPr>
            <w:r>
              <w:rPr>
                <w:b/>
                <w:bCs/>
              </w:rPr>
              <w:t xml:space="preserve">SCFAs/butyrate</w:t>
            </w:r>
          </w:p>
        </w:tc>
        <w:tc>
          <w:tcPr/>
          <w:p>
            <w:pPr>
              <w:pStyle w:val="Compact"/>
            </w:pPr>
            <w:r>
              <w:t xml:space="preserve">Barrier support, Treg and macrophage metabolic regulation</w:t>
            </w:r>
          </w:p>
        </w:tc>
        <w:tc>
          <w:tcPr/>
          <w:p>
            <w:pPr>
              <w:pStyle w:val="Compact"/>
              <w:jc w:val="right"/>
            </w:pPr>
            <w:r>
              <w:t xml:space="preserve">Mostly mechanistic/cross-disease; inconsistent SpA metabolomics</w:t>
            </w:r>
          </w:p>
        </w:tc>
        <w:tc>
          <w:tcPr/>
          <w:p>
            <w:pPr>
              <w:pStyle w:val="Compact"/>
              <w:jc w:val="right"/>
            </w:pPr>
            <w:r>
              <w:rPr>
                <w:b/>
                <w:bCs/>
              </w:rPr>
              <w:t xml:space="preserve">D/C</w:t>
            </w:r>
            <w:r>
              <w:t xml:space="preserve"> </w:t>
            </w:r>
            <w:hyperlink r:id="rId46">
              <w:r>
                <w:rPr>
                  <w:rStyle w:val="Hyperlink"/>
                </w:rPr>
                <w:t xml:space="preserve">[50]</w:t>
              </w:r>
            </w:hyperlink>
          </w:p>
        </w:tc>
      </w:tr>
      <w:tr>
        <w:tc>
          <w:tcPr/>
          <w:p>
            <w:pPr>
              <w:pStyle w:val="Compact"/>
            </w:pPr>
            <w:r>
              <w:rPr>
                <w:b/>
                <w:bCs/>
              </w:rPr>
              <w:t xml:space="preserve">Tryptophan metabolites/AhR</w:t>
            </w:r>
          </w:p>
        </w:tc>
        <w:tc>
          <w:tcPr/>
          <w:p>
            <w:pPr>
              <w:pStyle w:val="Compact"/>
            </w:pPr>
            <w:r>
              <w:t xml:space="preserve">Can regulate ILC3/Th17/barrier biology; intestinal tryptophan metabolism altered in AS</w:t>
            </w:r>
          </w:p>
        </w:tc>
        <w:tc>
          <w:tcPr/>
          <w:p>
            <w:pPr>
              <w:pStyle w:val="Compact"/>
              <w:jc w:val="right"/>
            </w:pPr>
            <w:r>
              <w:t xml:space="preserve">Human omics + mechanistic extrapolation</w:t>
            </w:r>
          </w:p>
        </w:tc>
        <w:tc>
          <w:tcPr/>
          <w:p>
            <w:pPr>
              <w:pStyle w:val="Compact"/>
              <w:jc w:val="right"/>
            </w:pPr>
            <w:r>
              <w:rPr>
                <w:b/>
                <w:bCs/>
              </w:rPr>
              <w:t xml:space="preserve">C</w:t>
            </w:r>
            <w:r>
              <w:t xml:space="preserve">; PMID 33746944</w:t>
            </w:r>
            <w:r>
              <w:t xml:space="preserve"> </w:t>
            </w:r>
            <w:hyperlink r:id="rId47">
              <w:r>
                <w:rPr>
                  <w:rStyle w:val="Hyperlink"/>
                </w:rPr>
                <w:t xml:space="preserve">[51]</w:t>
              </w:r>
            </w:hyperlink>
          </w:p>
        </w:tc>
      </w:tr>
      <w:tr>
        <w:tc>
          <w:tcPr/>
          <w:p>
            <w:pPr>
              <w:pStyle w:val="Compact"/>
            </w:pPr>
            <w:r>
              <w:rPr>
                <w:b/>
                <w:bCs/>
              </w:rPr>
              <w:t xml:space="preserve">Bile-acid metabolites</w:t>
            </w:r>
          </w:p>
        </w:tc>
        <w:tc>
          <w:tcPr/>
          <w:p>
            <w:pPr>
              <w:pStyle w:val="Compact"/>
            </w:pPr>
            <w:r>
              <w:t xml:space="preserve">Regulate FXR/TGR5 and immune cell differentiation</w:t>
            </w:r>
          </w:p>
        </w:tc>
        <w:tc>
          <w:tcPr/>
          <w:p>
            <w:pPr>
              <w:pStyle w:val="Compact"/>
              <w:jc w:val="right"/>
            </w:pPr>
            <w:r>
              <w:t xml:space="preserve">Primarily cross-disease/omics</w:t>
            </w:r>
          </w:p>
        </w:tc>
        <w:tc>
          <w:tcPr/>
          <w:p>
            <w:pPr>
              <w:pStyle w:val="Compact"/>
              <w:jc w:val="right"/>
            </w:pPr>
            <w:r>
              <w:rPr>
                <w:b/>
                <w:bCs/>
              </w:rPr>
              <w:t xml:space="preserve">D/C</w:t>
            </w:r>
          </w:p>
        </w:tc>
      </w:tr>
      <w:tr>
        <w:tc>
          <w:tcPr/>
          <w:p>
            <w:pPr>
              <w:pStyle w:val="Compact"/>
            </w:pPr>
            <w:r>
              <w:rPr>
                <w:b/>
                <w:bCs/>
              </w:rPr>
              <w:t xml:space="preserve">Molecular mimicry</w:t>
            </w:r>
          </w:p>
        </w:tc>
        <w:tc>
          <w:tcPr/>
          <w:p>
            <w:pPr>
              <w:pStyle w:val="Compact"/>
            </w:pPr>
            <w:r>
              <w:t xml:space="preserve">Microbial antigens may cross-react with host/HLA-associated targets</w:t>
            </w:r>
          </w:p>
        </w:tc>
        <w:tc>
          <w:tcPr/>
          <w:p>
            <w:pPr>
              <w:pStyle w:val="Compact"/>
              <w:jc w:val="right"/>
            </w:pPr>
            <w:r>
              <w:t xml:space="preserve">Plausible, incomplete direct proof</w:t>
            </w:r>
          </w:p>
        </w:tc>
        <w:tc>
          <w:tcPr/>
          <w:p>
            <w:pPr>
              <w:pStyle w:val="Compact"/>
              <w:jc w:val="right"/>
            </w:pPr>
            <w:r>
              <w:rPr>
                <w:b/>
                <w:bCs/>
              </w:rPr>
              <w:t xml:space="preserve">C/D</w:t>
            </w:r>
          </w:p>
        </w:tc>
      </w:tr>
      <w:tr>
        <w:tc>
          <w:tcPr/>
          <w:p>
            <w:pPr>
              <w:pStyle w:val="Compact"/>
            </w:pPr>
            <w:r>
              <w:rPr>
                <w:b/>
                <w:bCs/>
              </w:rPr>
              <w:t xml:space="preserve">Klebsiella</w:t>
            </w:r>
          </w:p>
        </w:tc>
        <w:tc>
          <w:tcPr/>
          <w:p>
            <w:pPr>
              <w:pStyle w:val="Compact"/>
            </w:pPr>
            <w:r>
              <w:t xml:space="preserve">Candidate microbial trigger/mimicry organism</w:t>
            </w:r>
          </w:p>
        </w:tc>
        <w:tc>
          <w:tcPr/>
          <w:p>
            <w:pPr>
              <w:pStyle w:val="Compact"/>
              <w:jc w:val="right"/>
            </w:pPr>
            <w:r>
              <w:t xml:space="preserve">Association but not causal proof</w:t>
            </w:r>
          </w:p>
        </w:tc>
        <w:tc>
          <w:tcPr/>
          <w:p>
            <w:pPr>
              <w:pStyle w:val="Compact"/>
              <w:jc w:val="right"/>
            </w:pPr>
            <w:r>
              <w:rPr>
                <w:b/>
                <w:bCs/>
              </w:rPr>
              <w:t xml:space="preserve">C</w:t>
            </w:r>
            <w:r>
              <w:t xml:space="preserve"> </w:t>
            </w:r>
            <w:hyperlink r:id="rId14">
              <w:r>
                <w:rPr>
                  <w:rStyle w:val="Hyperlink"/>
                </w:rPr>
                <w:t xml:space="preserve">[52]</w:t>
              </w:r>
            </w:hyperlink>
          </w:p>
        </w:tc>
      </w:tr>
      <w:tr>
        <w:tc>
          <w:tcPr/>
          <w:p>
            <w:pPr>
              <w:pStyle w:val="Compact"/>
            </w:pPr>
            <w:r>
              <w:rPr>
                <w:b/>
                <w:bCs/>
              </w:rPr>
              <w:t xml:space="preserve">Oral microbiome/periodontitis</w:t>
            </w:r>
          </w:p>
        </w:tc>
        <w:tc>
          <w:tcPr/>
          <w:p>
            <w:pPr>
              <w:pStyle w:val="Compact"/>
            </w:pPr>
            <w:r>
              <w:t xml:space="preserve">Possible second mucosal inflammatory interface</w:t>
            </w:r>
          </w:p>
        </w:tc>
        <w:tc>
          <w:tcPr/>
          <w:p>
            <w:pPr>
              <w:pStyle w:val="Compact"/>
              <w:jc w:val="right"/>
            </w:pPr>
            <w:r>
              <w:t xml:space="preserve">Human associations inconsistent; 2026 oral microbiome signal remains observational</w:t>
            </w:r>
          </w:p>
        </w:tc>
        <w:tc>
          <w:tcPr/>
          <w:p>
            <w:pPr>
              <w:pStyle w:val="Compact"/>
              <w:jc w:val="right"/>
            </w:pPr>
            <w:r>
              <w:rPr>
                <w:b/>
                <w:bCs/>
              </w:rPr>
              <w:t xml:space="preserve">C</w:t>
            </w:r>
            <w:r>
              <w:t xml:space="preserve"> </w:t>
            </w:r>
            <w:hyperlink r:id="rId48">
              <w:r>
                <w:rPr>
                  <w:rStyle w:val="Hyperlink"/>
                </w:rPr>
                <w:t xml:space="preserve">[53]</w:t>
              </w:r>
            </w:hyperlink>
          </w:p>
        </w:tc>
      </w:tr>
      <w:tr>
        <w:tc>
          <w:tcPr/>
          <w:p>
            <w:pPr>
              <w:pStyle w:val="Compact"/>
            </w:pPr>
            <w:r>
              <w:rPr>
                <w:b/>
                <w:bCs/>
              </w:rPr>
              <w:t xml:space="preserve">Sympathetic/autonomic state</w:t>
            </w:r>
          </w:p>
        </w:tc>
        <w:tc>
          <w:tcPr/>
          <w:p>
            <w:pPr>
              <w:pStyle w:val="Compact"/>
            </w:pPr>
            <w:r>
              <w:t xml:space="preserve">Could alter immune trafficking, catecholamines and pain physiology</w:t>
            </w:r>
          </w:p>
        </w:tc>
        <w:tc>
          <w:tcPr/>
          <w:p>
            <w:pPr>
              <w:pStyle w:val="Compact"/>
              <w:jc w:val="right"/>
            </w:pPr>
            <w:r>
              <w:t xml:space="preserve">HRV abnormalities reported but inconsistent</w:t>
            </w:r>
          </w:p>
        </w:tc>
        <w:tc>
          <w:tcPr/>
          <w:p>
            <w:pPr>
              <w:pStyle w:val="Compact"/>
              <w:jc w:val="right"/>
            </w:pPr>
            <w:r>
              <w:rPr>
                <w:b/>
                <w:bCs/>
              </w:rPr>
              <w:t xml:space="preserve">C</w:t>
            </w:r>
            <w:r>
              <w:t xml:space="preserve">; PMID 38318588</w:t>
            </w:r>
            <w:r>
              <w:t xml:space="preserve"> </w:t>
            </w:r>
            <w:hyperlink r:id="rId49">
              <w:r>
                <w:rPr>
                  <w:rStyle w:val="Hyperlink"/>
                </w:rPr>
                <w:t xml:space="preserve">[54]</w:t>
              </w:r>
            </w:hyperlink>
          </w:p>
        </w:tc>
      </w:tr>
      <w:tr>
        <w:tc>
          <w:tcPr/>
          <w:p>
            <w:pPr>
              <w:pStyle w:val="Compact"/>
            </w:pPr>
            <w:r>
              <w:rPr>
                <w:b/>
                <w:bCs/>
              </w:rPr>
              <w:t xml:space="preserve">Vagal/cholinergic regulation</w:t>
            </w:r>
          </w:p>
        </w:tc>
        <w:tc>
          <w:tcPr/>
          <w:p>
            <w:pPr>
              <w:pStyle w:val="Compact"/>
            </w:pPr>
            <w:r>
              <w:t xml:space="preserve">Potential anti-inflammatory reflex</w:t>
            </w:r>
          </w:p>
        </w:tc>
        <w:tc>
          <w:tcPr/>
          <w:p>
            <w:pPr>
              <w:pStyle w:val="Compact"/>
              <w:jc w:val="right"/>
            </w:pPr>
            <w:r>
              <w:t xml:space="preserve">Very small AS intervention study</w:t>
            </w:r>
          </w:p>
        </w:tc>
        <w:tc>
          <w:tcPr/>
          <w:p>
            <w:pPr>
              <w:pStyle w:val="Compact"/>
              <w:jc w:val="right"/>
            </w:pPr>
            <w:r>
              <w:rPr>
                <w:b/>
                <w:bCs/>
              </w:rPr>
              <w:t xml:space="preserve">C/D</w:t>
            </w:r>
            <w:r>
              <w:t xml:space="preserve"> </w:t>
            </w:r>
            <w:hyperlink r:id="rId50">
              <w:r>
                <w:rPr>
                  <w:rStyle w:val="Hyperlink"/>
                </w:rPr>
                <w:t xml:space="preserve">[55]</w:t>
              </w:r>
            </w:hyperlink>
          </w:p>
        </w:tc>
      </w:tr>
      <w:tr>
        <w:tc>
          <w:tcPr/>
          <w:p>
            <w:pPr>
              <w:pStyle w:val="Compact"/>
            </w:pPr>
            <w:r>
              <w:rPr>
                <w:b/>
                <w:bCs/>
              </w:rPr>
              <w:t xml:space="preserve">HPA/cortisol signalling</w:t>
            </w:r>
          </w:p>
        </w:tc>
        <w:tc>
          <w:tcPr/>
          <w:p>
            <w:pPr>
              <w:pStyle w:val="Compact"/>
            </w:pPr>
            <w:r>
              <w:t xml:space="preserve">Potential endogenous inflammatory brake</w:t>
            </w:r>
          </w:p>
        </w:tc>
        <w:tc>
          <w:tcPr/>
          <w:p>
            <w:pPr>
              <w:pStyle w:val="Compact"/>
              <w:jc w:val="right"/>
            </w:pPr>
            <w:r>
              <w:t xml:space="preserve">AS studies contradict one another</w:t>
            </w:r>
          </w:p>
        </w:tc>
        <w:tc>
          <w:tcPr/>
          <w:p>
            <w:pPr>
              <w:pStyle w:val="Compact"/>
              <w:jc w:val="right"/>
            </w:pPr>
            <w:r>
              <w:rPr>
                <w:b/>
                <w:bCs/>
              </w:rPr>
              <w:t xml:space="preserve">C/D</w:t>
            </w:r>
            <w:r>
              <w:t xml:space="preserve"> </w:t>
            </w:r>
            <w:hyperlink r:id="rId51">
              <w:r>
                <w:rPr>
                  <w:rStyle w:val="Hyperlink"/>
                </w:rPr>
                <w:t xml:space="preserve">[56]</w:t>
              </w:r>
            </w:hyperlink>
          </w:p>
        </w:tc>
      </w:tr>
      <w:tr>
        <w:tc>
          <w:tcPr/>
          <w:p>
            <w:pPr>
              <w:pStyle w:val="Compact"/>
            </w:pPr>
            <w:r>
              <w:rPr>
                <w:b/>
                <w:bCs/>
              </w:rPr>
              <w:t xml:space="preserve">Sleep/circadian disruption</w:t>
            </w:r>
          </w:p>
        </w:tc>
        <w:tc>
          <w:tcPr/>
          <w:p>
            <w:pPr>
              <w:pStyle w:val="Compact"/>
            </w:pPr>
            <w:r>
              <w:t xml:space="preserve">Could change endocrine/immune timing and pain processing; disease itself disrupts sleep</w:t>
            </w:r>
          </w:p>
        </w:tc>
        <w:tc>
          <w:tcPr/>
          <w:p>
            <w:pPr>
              <w:pStyle w:val="Compact"/>
              <w:jc w:val="right"/>
            </w:pPr>
            <w:r>
              <w:t xml:space="preserve">Strong association, weak trigger proof</w:t>
            </w:r>
          </w:p>
        </w:tc>
        <w:tc>
          <w:tcPr/>
          <w:p>
            <w:pPr>
              <w:pStyle w:val="Compact"/>
              <w:jc w:val="right"/>
            </w:pPr>
            <w:r>
              <w:rPr>
                <w:b/>
                <w:bCs/>
              </w:rPr>
              <w:t xml:space="preserve">B association; C/D causation</w:t>
            </w:r>
            <w:r>
              <w:t xml:space="preserve"> </w:t>
            </w:r>
            <w:hyperlink r:id="rId52">
              <w:r>
                <w:rPr>
                  <w:rStyle w:val="Hyperlink"/>
                </w:rPr>
                <w:t xml:space="preserve">[57]</w:t>
              </w:r>
            </w:hyperlink>
          </w:p>
        </w:tc>
      </w:tr>
      <w:tr>
        <w:tc>
          <w:tcPr/>
          <w:p>
            <w:pPr>
              <w:pStyle w:val="Compact"/>
            </w:pPr>
            <w:r>
              <w:rPr>
                <w:b/>
                <w:bCs/>
              </w:rPr>
              <w:t xml:space="preserve">Obesity/adipose inflammation</w:t>
            </w:r>
          </w:p>
        </w:tc>
        <w:tc>
          <w:tcPr/>
          <w:p>
            <w:pPr>
              <w:pStyle w:val="Compact"/>
            </w:pPr>
            <w:r>
              <w:t xml:space="preserve">Mechanical loading + leptin/adipokines/metabolic inflammation may worsen inflammatory state</w:t>
            </w:r>
          </w:p>
        </w:tc>
        <w:tc>
          <w:tcPr/>
          <w:p>
            <w:pPr>
              <w:pStyle w:val="Compact"/>
              <w:jc w:val="right"/>
            </w:pPr>
            <w:r>
              <w:t xml:space="preserve">Human prognostic association</w:t>
            </w:r>
          </w:p>
        </w:tc>
        <w:tc>
          <w:tcPr/>
          <w:p>
            <w:pPr>
              <w:pStyle w:val="Compact"/>
              <w:jc w:val="right"/>
            </w:pPr>
            <w:r>
              <w:rPr>
                <w:b/>
                <w:bCs/>
              </w:rPr>
              <w:t xml:space="preserve">B as modifier</w:t>
            </w:r>
            <w:r>
              <w:t xml:space="preserve"> </w:t>
            </w:r>
            <w:hyperlink r:id="rId53">
              <w:r>
                <w:rPr>
                  <w:rStyle w:val="Hyperlink"/>
                </w:rPr>
                <w:t xml:space="preserve">[58]</w:t>
              </w:r>
            </w:hyperlink>
          </w:p>
        </w:tc>
      </w:tr>
      <w:tr>
        <w:tc>
          <w:tcPr/>
          <w:p>
            <w:pPr>
              <w:pStyle w:val="Compact"/>
            </w:pPr>
            <w:r>
              <w:rPr>
                <w:b/>
                <w:bCs/>
              </w:rPr>
              <w:t xml:space="preserve">Insulin/glucose signalling</w:t>
            </w:r>
          </w:p>
        </w:tc>
        <w:tc>
          <w:tcPr/>
          <w:p>
            <w:pPr>
              <w:pStyle w:val="Compact"/>
            </w:pPr>
            <w:r>
              <w:t xml:space="preserve">Chronic inflammation and adiposity can create bidirectional insulin resistance/immunometabolic effects</w:t>
            </w:r>
          </w:p>
        </w:tc>
        <w:tc>
          <w:tcPr/>
          <w:p>
            <w:pPr>
              <w:pStyle w:val="Compact"/>
              <w:jc w:val="right"/>
            </w:pPr>
            <w:r>
              <w:t xml:space="preserve">Human metabolic association; little flare causality</w:t>
            </w:r>
          </w:p>
        </w:tc>
        <w:tc>
          <w:tcPr/>
          <w:p>
            <w:pPr>
              <w:pStyle w:val="Compact"/>
              <w:jc w:val="right"/>
            </w:pPr>
            <w:r>
              <w:rPr>
                <w:b/>
                <w:bCs/>
              </w:rPr>
              <w:t xml:space="preserve">C</w:t>
            </w:r>
            <w:r>
              <w:t xml:space="preserve"> </w:t>
            </w:r>
            <w:hyperlink r:id="rId54">
              <w:r>
                <w:rPr>
                  <w:rStyle w:val="Hyperlink"/>
                </w:rPr>
                <w:t xml:space="preserve">[59]</w:t>
              </w:r>
            </w:hyperlink>
          </w:p>
        </w:tc>
      </w:tr>
      <w:tr>
        <w:tc>
          <w:tcPr/>
          <w:p>
            <w:pPr>
              <w:pStyle w:val="Compact"/>
            </w:pPr>
            <w:r>
              <w:rPr>
                <w:b/>
                <w:bCs/>
              </w:rPr>
              <w:t xml:space="preserve">Micronutrient deficiency</w:t>
            </w:r>
          </w:p>
        </w:tc>
        <w:tc>
          <w:tcPr/>
          <w:p>
            <w:pPr>
              <w:pStyle w:val="Compact"/>
            </w:pPr>
            <w:r>
              <w:t xml:space="preserve">True deficiency can impair bone, immune or metabolic health; little evidence of being an upstream AS cause</w:t>
            </w:r>
          </w:p>
        </w:tc>
        <w:tc>
          <w:tcPr/>
          <w:p>
            <w:pPr>
              <w:pStyle w:val="Compact"/>
              <w:jc w:val="right"/>
            </w:pPr>
            <w:r>
              <w:t xml:space="preserve">Mostly associations</w:t>
            </w:r>
          </w:p>
        </w:tc>
        <w:tc>
          <w:tcPr/>
          <w:p>
            <w:pPr>
              <w:pStyle w:val="Compact"/>
              <w:jc w:val="right"/>
            </w:pPr>
            <w:r>
              <w:rPr>
                <w:b/>
                <w:bCs/>
              </w:rPr>
              <w:t xml:space="preserve">C/D</w:t>
            </w:r>
          </w:p>
        </w:tc>
      </w:tr>
    </w:tbl>
    <w:p>
      <w:pPr>
        <w:pStyle w:val="BodyText"/>
      </w:pPr>
      <w:r>
        <w:t xml:space="preserve">The table highlights an essential point:</w:t>
      </w:r>
      <w:r>
        <w:t xml:space="preserve"> </w:t>
      </w:r>
      <w:r>
        <w:rPr>
          <w:b/>
          <w:bCs/>
        </w:rPr>
        <w:t xml:space="preserve">the strongest mechanisms are not necessarily the easiest non-drug targets</w:t>
      </w:r>
      <w:r>
        <w:t xml:space="preserve">. IL-17 and TNF are biologically central but cannot currently be reliably and specifically reduced to remission-producing levels by a food, supplement, breathing technique or microbiome hack.</w:t>
      </w:r>
    </w:p>
    <w:bookmarkEnd w:id="55"/>
    <w:bookmarkEnd w:id="56"/>
    <w:bookmarkStart w:id="88" w:name="X2fc929b9b354efb46e365e83e1804d94489e67c"/>
    <w:p>
      <w:pPr>
        <w:pStyle w:val="Heading2"/>
      </w:pPr>
      <w:r>
        <w:t xml:space="preserve">Flare initiation, perpetuation, and resolution</w:t>
      </w:r>
    </w:p>
    <w:p>
      <w:pPr>
        <w:pStyle w:val="FirstParagraph"/>
      </w:pPr>
      <w:r>
        <w:rPr>
          <w:b/>
          <w:bCs/>
        </w:rPr>
        <w:t xml:space="preserve">Part III — What may initiate a flare</w:t>
      </w:r>
    </w:p>
    <w:p>
      <w:pPr>
        <w:pStyle w:val="BodyText"/>
      </w:pPr>
      <w:r>
        <w:t xml:space="preserve">A scientifically useful distinction is:</w:t>
      </w:r>
    </w:p>
    <w:p>
      <w:pPr>
        <w:pStyle w:val="BodyText"/>
      </w:pPr>
      <w:r>
        <w:rPr>
          <w:b/>
          <w:bCs/>
        </w:rPr>
        <w:t xml:space="preserve">Trigger:</w:t>
      </w:r>
      <w:r>
        <w:t xml:space="preserve"> </w:t>
      </w:r>
      <w:r>
        <w:t xml:space="preserve">generates the initiating perturbation.</w:t>
      </w:r>
      <w:r>
        <w:br/>
      </w:r>
      <w:r>
        <w:rPr>
          <w:b/>
          <w:bCs/>
        </w:rPr>
        <w:t xml:space="preserve">Amplifier:</w:t>
      </w:r>
      <w:r>
        <w:t xml:space="preserve"> </w:t>
      </w:r>
      <w:r>
        <w:t xml:space="preserve">increases an inflammatory response already underway.</w:t>
      </w:r>
      <w:r>
        <w:br/>
      </w:r>
      <w:r>
        <w:rPr>
          <w:b/>
          <w:bCs/>
        </w:rPr>
        <w:t xml:space="preserve">Permissive condition:</w:t>
      </w:r>
      <w:r>
        <w:t xml:space="preserve"> </w:t>
      </w:r>
      <w:r>
        <w:t xml:space="preserve">lowers the threshold for a trigger to matter.</w:t>
      </w:r>
      <w:r>
        <w:br/>
      </w:r>
      <w:r>
        <w:rPr>
          <w:b/>
          <w:bCs/>
        </w:rPr>
        <w:t xml:space="preserve">Consequence:</w:t>
      </w:r>
      <w:r>
        <w:t xml:space="preserve"> </w:t>
      </w:r>
      <w:r>
        <w:t xml:space="preserve">results from inflammation and can be misidentified as a cause.</w:t>
      </w:r>
    </w:p>
    <w:p>
      <w:pPr>
        <w:pStyle w:val="BodyText"/>
      </w:pPr>
      <w:r>
        <w:t xml:space="preserve">Most lifestyle–flare literature does not distinguish these categories, creating substantial causal confusion.</w:t>
      </w:r>
    </w:p>
    <w:bookmarkStart w:id="58" w:name="infection-and-mucosal-perturbation"/>
    <w:p>
      <w:pPr>
        <w:pStyle w:val="Heading3"/>
      </w:pPr>
      <w:r>
        <w:t xml:space="preserve">Infection and mucosal perturbation</w:t>
      </w:r>
    </w:p>
    <w:p>
      <w:pPr>
        <w:pStyle w:val="FirstParagraph"/>
      </w:pPr>
      <w:r>
        <w:t xml:space="preserve">Reactive arthritis proves that infection can initiate a SpA phenotype in genetically susceptible humans, making infection-triggered activation biologically credible for axial disease. Observational work has also found associations between infections and subsequent AS onset. But evidence that ordinary infections consistently precede</w:t>
      </w:r>
      <w:r>
        <w:t xml:space="preserve"> </w:t>
      </w:r>
      <w:r>
        <w:rPr>
          <w:b/>
          <w:bCs/>
        </w:rPr>
        <w:t xml:space="preserve">individual established-AS flares</w:t>
      </w:r>
      <w:r>
        <w:t xml:space="preserve"> </w:t>
      </w:r>
      <w:r>
        <w:t xml:space="preserve">is considerably weaker.</w:t>
      </w:r>
      <w:r>
        <w:t xml:space="preserve"> </w:t>
      </w:r>
      <w:r>
        <w:rPr>
          <w:b/>
          <w:bCs/>
        </w:rPr>
        <w:t xml:space="preserve">Trigger grade: C.</w:t>
      </w:r>
      <w:r>
        <w:t xml:space="preserve"> </w:t>
      </w:r>
      <w:hyperlink r:id="rId57">
        <w:r>
          <w:rPr>
            <w:rStyle w:val="Hyperlink"/>
          </w:rPr>
          <w:t xml:space="preserve">[60]</w:t>
        </w:r>
      </w:hyperlink>
    </w:p>
    <w:p>
      <w:pPr>
        <w:pStyle w:val="BodyText"/>
      </w:pPr>
      <w:r>
        <w:t xml:space="preserve">A plausible sequence is:</w:t>
      </w:r>
    </w:p>
    <w:p>
      <w:pPr>
        <w:pStyle w:val="BodyText"/>
      </w:pPr>
      <w:r>
        <w:rPr>
          <w:b/>
          <w:bCs/>
        </w:rPr>
        <w:t xml:space="preserve">infection/GI disruption → microbial antigens and innate signals at mucosa → macrophage/dendritic-cell/ILC/MAIT activation → type-3 cytokine production and trafficking → heightened systemic inflammatory threshold → entheseal inflammation.</w:t>
      </w:r>
    </w:p>
    <w:p>
      <w:pPr>
        <w:pStyle w:val="BodyText"/>
      </w:pPr>
      <w:r>
        <w:t xml:space="preserve">The direct human chain has not yet been observed prospectively from infection through mucosa to MRI flare, so this remains a mechanistically coherent but incompletely proven model.</w:t>
      </w:r>
    </w:p>
    <w:bookmarkEnd w:id="58"/>
    <w:bookmarkStart w:id="60" w:name="Xff05a67c5dad2b0c5bb0fd07beaf4c932ce24ac"/>
    <w:p>
      <w:pPr>
        <w:pStyle w:val="Heading3"/>
      </w:pPr>
      <w:r>
        <w:t xml:space="preserve">GI disturbance and occult bowel inflammation</w:t>
      </w:r>
    </w:p>
    <w:p>
      <w:pPr>
        <w:pStyle w:val="FirstParagraph"/>
      </w:pPr>
      <w:r>
        <w:t xml:space="preserve">Because intestinal inflammation and dysbiosis are common in axSpA, a transient worsening of barrier integrity or microbiota function could plausibly act as a flare switch. Fecal calprotectin is elevated in a substantial subset of AS patients, and subclinical bowel inflammation correlates with disease phenotypes. However, cross-sectional correlations cannot determine whether gut inflammation initiated the joint activity or whether both reflect a common immune state. PMID 23194008.</w:t>
      </w:r>
      <w:r>
        <w:t xml:space="preserve"> </w:t>
      </w:r>
      <w:hyperlink r:id="rId59">
        <w:r>
          <w:rPr>
            <w:rStyle w:val="Hyperlink"/>
          </w:rPr>
          <w:t xml:space="preserve">[61]</w:t>
        </w:r>
      </w:hyperlink>
    </w:p>
    <w:p>
      <w:pPr>
        <w:pStyle w:val="BodyText"/>
      </w:pPr>
      <w:r>
        <w:rPr>
          <w:b/>
          <w:bCs/>
        </w:rPr>
        <w:t xml:space="preserve">Trigger grade: C; permissive-condition grade: B.</w:t>
      </w:r>
    </w:p>
    <w:bookmarkEnd w:id="60"/>
    <w:bookmarkStart w:id="61" w:name="mechanical-overload"/>
    <w:p>
      <w:pPr>
        <w:pStyle w:val="Heading3"/>
      </w:pPr>
      <w:r>
        <w:t xml:space="preserve">Mechanical overload</w:t>
      </w:r>
    </w:p>
    <w:p>
      <w:pPr>
        <w:pStyle w:val="FirstParagraph"/>
      </w:pPr>
      <w:r>
        <w:t xml:space="preserve">The enthesis is ideally positioned to translate mechanical microdamage into innate inflammation. Tissue strain can release ATP and other danger-associated molecules, activate stromal cells and myeloid cells, and create a local site in which pre-existing IL-17-capable cells become pathogenic.</w:t>
      </w:r>
      <w:r>
        <w:t xml:space="preserve"> </w:t>
      </w:r>
      <w:hyperlink r:id="rId28">
        <w:r>
          <w:rPr>
            <w:rStyle w:val="Hyperlink"/>
          </w:rPr>
          <w:t xml:space="preserve">[62]</w:t>
        </w:r>
      </w:hyperlink>
    </w:p>
    <w:p>
      <w:pPr>
        <w:pStyle w:val="BodyText"/>
      </w:pPr>
      <w:r>
        <w:t xml:space="preserve">A plausible sequence is:</w:t>
      </w:r>
    </w:p>
    <w:p>
      <w:pPr>
        <w:pStyle w:val="BodyText"/>
      </w:pPr>
      <w:r>
        <w:rPr>
          <w:b/>
          <w:bCs/>
        </w:rPr>
        <w:t xml:space="preserve">unaccustomed focal loading → microdamage/ATP/DAMP release → P2X7/NLRP3/macrophage activation → chemokines/neutrophils → IL-17/TNF amplification → localized enthesitis → axial flare.</w:t>
      </w:r>
    </w:p>
    <w:p>
      <w:pPr>
        <w:pStyle w:val="BodyText"/>
      </w:pPr>
      <w:r>
        <w:t xml:space="preserve">The tissue biology is strong; prospective human evidence that a quantified loading event predicts subsequent MRI inflammation remains limited.</w:t>
      </w:r>
      <w:r>
        <w:t xml:space="preserve"> </w:t>
      </w:r>
      <w:r>
        <w:rPr>
          <w:b/>
          <w:bCs/>
        </w:rPr>
        <w:t xml:space="preserve">Mechanism B; documented flare trigger C/D.</w:t>
      </w:r>
    </w:p>
    <w:bookmarkEnd w:id="61"/>
    <w:bookmarkStart w:id="63" w:name="acute-psychological-stress"/>
    <w:p>
      <w:pPr>
        <w:pStyle w:val="Heading3"/>
      </w:pPr>
      <w:r>
        <w:t xml:space="preserve">Acute psychological stress</w:t>
      </w:r>
    </w:p>
    <w:p>
      <w:pPr>
        <w:pStyle w:val="FirstParagraph"/>
      </w:pPr>
      <w:r>
        <w:t xml:space="preserve">Among proposed lifestyle triggers, abrupt major stress has more direct human evidence than many popular dietary explanations. A prospective SpA study found transient worsening of disease activity after unexpected stressful life events. Stress can act through sympathetic signalling, sleep disruption, glucocorticoid timing and behavioural changes.</w:t>
      </w:r>
      <w:r>
        <w:t xml:space="preserve"> </w:t>
      </w:r>
      <w:hyperlink r:id="rId62">
        <w:r>
          <w:rPr>
            <w:rStyle w:val="Hyperlink"/>
          </w:rPr>
          <w:t xml:space="preserve">[63]</w:t>
        </w:r>
      </w:hyperlink>
    </w:p>
    <w:p>
      <w:pPr>
        <w:pStyle w:val="BodyText"/>
      </w:pPr>
      <w:r>
        <w:t xml:space="preserve">But the average effect is not equivalent to “stress causes AS.” It is better interpreted as a</w:t>
      </w:r>
      <w:r>
        <w:t xml:space="preserve"> </w:t>
      </w:r>
      <w:r>
        <w:rPr>
          <w:b/>
          <w:bCs/>
        </w:rPr>
        <w:t xml:space="preserve">threshold modifier or trigger in a susceptible subset</w:t>
      </w:r>
      <w:r>
        <w:t xml:space="preserve">.</w:t>
      </w:r>
      <w:r>
        <w:t xml:space="preserve"> </w:t>
      </w:r>
      <w:r>
        <w:rPr>
          <w:b/>
          <w:bCs/>
        </w:rPr>
        <w:t xml:space="preserve">Grade C.</w:t>
      </w:r>
    </w:p>
    <w:bookmarkEnd w:id="63"/>
    <w:bookmarkStart w:id="64" w:name="sleep-loss-and-circadian-disruption"/>
    <w:p>
      <w:pPr>
        <w:pStyle w:val="Heading3"/>
      </w:pPr>
      <w:r>
        <w:t xml:space="preserve">Sleep loss and circadian disruption</w:t>
      </w:r>
    </w:p>
    <w:p>
      <w:pPr>
        <w:pStyle w:val="FirstParagraph"/>
      </w:pPr>
      <w:r>
        <w:t xml:space="preserve">Poor sleep is extremely common in axSpA and correlates strongly with pain and disease activity. Yet this is one of the clearest reverse-causation traps: inflammation and nocturnal pain disrupt sleep, so measuring poor sleep during a flare does not show that sleep initiated it.</w:t>
      </w:r>
      <w:r>
        <w:t xml:space="preserve"> </w:t>
      </w:r>
      <w:hyperlink r:id="rId52">
        <w:r>
          <w:rPr>
            <w:rStyle w:val="Hyperlink"/>
          </w:rPr>
          <w:t xml:space="preserve">[57]</w:t>
        </w:r>
      </w:hyperlink>
    </w:p>
    <w:p>
      <w:pPr>
        <w:pStyle w:val="BodyText"/>
      </w:pPr>
      <w:r>
        <w:t xml:space="preserve">Experimental immunology makes sleep deprivation a plausible inflammatory amplifier, but AS-specific prospective trigger evidence is scarce.</w:t>
      </w:r>
      <w:r>
        <w:t xml:space="preserve"> </w:t>
      </w:r>
      <w:r>
        <w:rPr>
          <w:b/>
          <w:bCs/>
        </w:rPr>
        <w:t xml:space="preserve">Amplifier/permissive factor: C; direct trigger: D.</w:t>
      </w:r>
    </w:p>
    <w:bookmarkEnd w:id="64"/>
    <w:bookmarkStart w:id="66" w:name="smoking"/>
    <w:p>
      <w:pPr>
        <w:pStyle w:val="Heading3"/>
      </w:pPr>
      <w:r>
        <w:t xml:space="preserve">Smoking</w:t>
      </w:r>
    </w:p>
    <w:p>
      <w:pPr>
        <w:pStyle w:val="FirstParagraph"/>
      </w:pPr>
      <w:r>
        <w:t xml:space="preserve">Smoking is associated with more severe disease, inflammation and structural progression and is therefore one of the more credible modifiable adverse exposures in axSpA. It is unlikely to act as an hour-to-hour flare switch; it is better viewed as a</w:t>
      </w:r>
      <w:r>
        <w:t xml:space="preserve"> </w:t>
      </w:r>
      <w:r>
        <w:rPr>
          <w:b/>
          <w:bCs/>
        </w:rPr>
        <w:t xml:space="preserve">chronic permissive condition</w:t>
      </w:r>
      <w:r>
        <w:t xml:space="preserve"> </w:t>
      </w:r>
      <w:r>
        <w:t xml:space="preserve">affecting mucosal biology, vascular function, oxidative stress and possibly mechanical outcomes through impaired tissue health.</w:t>
      </w:r>
      <w:r>
        <w:t xml:space="preserve"> </w:t>
      </w:r>
      <w:hyperlink r:id="rId65">
        <w:r>
          <w:rPr>
            <w:rStyle w:val="Hyperlink"/>
          </w:rPr>
          <w:t xml:space="preserve">[64]</w:t>
        </w:r>
      </w:hyperlink>
    </w:p>
    <w:p>
      <w:pPr>
        <w:pStyle w:val="BodyText"/>
      </w:pPr>
      <w:r>
        <w:rPr>
          <w:b/>
          <w:bCs/>
        </w:rPr>
        <w:t xml:space="preserve">Permissive-condition grade: B.</w:t>
      </w:r>
    </w:p>
    <w:bookmarkEnd w:id="66"/>
    <w:bookmarkStart w:id="67" w:name="obesitymetabolic-dysfunction"/>
    <w:p>
      <w:pPr>
        <w:pStyle w:val="Heading3"/>
      </w:pPr>
      <w:r>
        <w:t xml:space="preserve">Obesity/metabolic dysfunction</w:t>
      </w:r>
    </w:p>
    <w:p>
      <w:pPr>
        <w:pStyle w:val="FirstParagraph"/>
      </w:pPr>
      <w:r>
        <w:t xml:space="preserve">Higher BMI has repeatedly been associated with poorer outcomes and, in the DESIR cohort, lower BMI was associated with five-year remission. Adipose tissue produces immunomodulatory adipokines; obesity also increases mechanical entheseal loading and is associated with insulin resistance. But there are major confounders, including physical activity and treatment response.</w:t>
      </w:r>
      <w:r>
        <w:t xml:space="preserve"> </w:t>
      </w:r>
      <w:hyperlink r:id="rId22">
        <w:r>
          <w:rPr>
            <w:rStyle w:val="Hyperlink"/>
          </w:rPr>
          <w:t xml:space="preserve">[65]</w:t>
        </w:r>
      </w:hyperlink>
    </w:p>
    <w:p>
      <w:pPr>
        <w:pStyle w:val="BodyText"/>
      </w:pPr>
      <w:r>
        <w:rPr>
          <w:b/>
          <w:bCs/>
        </w:rPr>
        <w:t xml:space="preserve">Permissive/amplifying condition: B/C; acute trigger: D.</w:t>
      </w:r>
    </w:p>
    <w:bookmarkEnd w:id="67"/>
    <w:bookmarkStart w:id="69" w:name="sedentary-periods"/>
    <w:p>
      <w:pPr>
        <w:pStyle w:val="Heading3"/>
      </w:pPr>
      <w:r>
        <w:t xml:space="preserve">Sedentary periods</w:t>
      </w:r>
    </w:p>
    <w:p>
      <w:pPr>
        <w:pStyle w:val="FirstParagraph"/>
      </w:pPr>
      <w:r>
        <w:t xml:space="preserve">Patients commonly feel worse after immobility, but that phenomenon should not be confused with proving immune flare initiation. During flares, people move less; persistent flares themselves modestly reduce physical activity.</w:t>
      </w:r>
      <w:r>
        <w:t xml:space="preserve"> </w:t>
      </w:r>
      <w:hyperlink r:id="rId68">
        <w:r>
          <w:rPr>
            <w:rStyle w:val="Hyperlink"/>
          </w:rPr>
          <w:t xml:space="preserve">[66]</w:t>
        </w:r>
      </w:hyperlink>
    </w:p>
    <w:p>
      <w:pPr>
        <w:pStyle w:val="BodyText"/>
      </w:pPr>
      <w:r>
        <w:t xml:space="preserve">Thus inactivity may produce</w:t>
      </w:r>
      <w:r>
        <w:t xml:space="preserve"> </w:t>
      </w:r>
      <w:r>
        <w:rPr>
          <w:b/>
          <w:bCs/>
        </w:rPr>
        <w:t xml:space="preserve">mechanical stiffness, deconditioning and symptom amplification</w:t>
      </w:r>
      <w:r>
        <w:t xml:space="preserve"> </w:t>
      </w:r>
      <w:r>
        <w:t xml:space="preserve">without necessarily creating new inflammatory lesions.</w:t>
      </w:r>
      <w:r>
        <w:t xml:space="preserve"> </w:t>
      </w:r>
      <w:r>
        <w:rPr>
          <w:b/>
          <w:bCs/>
        </w:rPr>
        <w:t xml:space="preserve">Amplifier B/C; independent inflammatory trigger D.</w:t>
      </w:r>
    </w:p>
    <w:bookmarkEnd w:id="69"/>
    <w:bookmarkStart w:id="71" w:name="diet-alcohol-and-individual-foods"/>
    <w:p>
      <w:pPr>
        <w:pStyle w:val="Heading3"/>
      </w:pPr>
      <w:r>
        <w:t xml:space="preserve">Diet, alcohol and individual foods</w:t>
      </w:r>
    </w:p>
    <w:p>
      <w:pPr>
        <w:pStyle w:val="FirstParagraph"/>
      </w:pPr>
      <w:r>
        <w:t xml:space="preserve">There is surprisingly little prospective evidence linking defined dietary exposures to objectively confirmed axSpA flares. Diet can plausibly influence glucose excursions, microbiota substrates, bile acids, gut permeability and eicosanoids over longer timescales, but patient-reported “food triggers” are vulnerable to expectation effects, correlated lifestyle changes and regression to the mean. The systematic diet literature in AS remains thin.</w:t>
      </w:r>
      <w:r>
        <w:t xml:space="preserve"> </w:t>
      </w:r>
      <w:hyperlink r:id="rId70">
        <w:r>
          <w:rPr>
            <w:rStyle w:val="Hyperlink"/>
          </w:rPr>
          <w:t xml:space="preserve">[67]</w:t>
        </w:r>
      </w:hyperlink>
    </w:p>
    <w:p>
      <w:pPr>
        <w:pStyle w:val="BodyText"/>
      </w:pPr>
      <w:r>
        <w:t xml:space="preserve">Alcohol has no convincing status as a specific AS flare trigger. Heavy use can worsen sleep, metabolic and liver health, but that is not equivalent to demonstrating AS-specific inflammation.</w:t>
      </w:r>
    </w:p>
    <w:p>
      <w:pPr>
        <w:pStyle w:val="BodyText"/>
      </w:pPr>
      <w:r>
        <w:rPr>
          <w:b/>
          <w:bCs/>
        </w:rPr>
        <w:t xml:space="preserve">Specific dietary trigger evidence: D/E.</w:t>
      </w:r>
    </w:p>
    <w:bookmarkEnd w:id="71"/>
    <w:bookmarkStart w:id="73" w:name="hormonal-changes"/>
    <w:p>
      <w:pPr>
        <w:pStyle w:val="Heading3"/>
      </w:pPr>
      <w:r>
        <w:t xml:space="preserve">Hormonal changes</w:t>
      </w:r>
    </w:p>
    <w:p>
      <w:pPr>
        <w:pStyle w:val="FirstParagraph"/>
      </w:pPr>
      <w:r>
        <w:t xml:space="preserve">Pregnancy and postpartum disease patterns suggest endocrine/immune states can influence SpA activity, but individual responses are variable. Patient histories can be dramatic—for example, the Spondylitis Association account in which remission occurred during pregnancy and recurred postpartum—but such stories cannot isolate progesterone, estrogen, cortisol, immune tolerance, medications or behaviour.</w:t>
      </w:r>
      <w:r>
        <w:t xml:space="preserve"> </w:t>
      </w:r>
      <w:hyperlink r:id="rId72">
        <w:r>
          <w:rPr>
            <w:rStyle w:val="Hyperlink"/>
          </w:rPr>
          <w:t xml:space="preserve">[68]</w:t>
        </w:r>
      </w:hyperlink>
    </w:p>
    <w:p>
      <w:pPr>
        <w:pStyle w:val="BodyText"/>
      </w:pPr>
      <w:r>
        <w:rPr>
          <w:b/>
          <w:bCs/>
        </w:rPr>
        <w:t xml:space="preserve">Grade C/D.</w:t>
      </w:r>
    </w:p>
    <w:bookmarkEnd w:id="73"/>
    <w:bookmarkStart w:id="76" w:name="Xc0f7e4cd69daeec676b1119a50c673ab4f17379"/>
    <w:p>
      <w:pPr>
        <w:pStyle w:val="Heading3"/>
      </w:pPr>
      <w:r>
        <w:t xml:space="preserve">Nutrient status and environmental exposures</w:t>
      </w:r>
    </w:p>
    <w:p>
      <w:pPr>
        <w:pStyle w:val="FirstParagraph"/>
      </w:pPr>
      <w:r>
        <w:t xml:space="preserve">Low vitamin D and other micronutrient abnormalities correlate with inflammatory burden, but illness can itself reduce activity, sun exposure and dietary quality. Mendelian-randomisation analyses have failed to provide compelling causal support for several mineral-status hypotheses.</w:t>
      </w:r>
      <w:r>
        <w:t xml:space="preserve"> </w:t>
      </w:r>
      <w:hyperlink r:id="rId74">
        <w:r>
          <w:rPr>
            <w:rStyle w:val="Hyperlink"/>
          </w:rPr>
          <w:t xml:space="preserve">[69]</w:t>
        </w:r>
      </w:hyperlink>
    </w:p>
    <w:p>
      <w:pPr>
        <w:pStyle w:val="BodyText"/>
      </w:pPr>
      <w:r>
        <w:t xml:space="preserve">No nutrient deficiency currently qualifies as a general upstream “flare switch.” Correcting genuine deficiency remains appropriate for conventional nutritional and skeletal reasons.</w:t>
      </w:r>
    </w:p>
    <w:p>
      <w:pPr>
        <w:pStyle w:val="BodyText"/>
      </w:pPr>
      <w:r>
        <w:rPr>
          <w:b/>
          <w:bCs/>
        </w:rPr>
        <w:t xml:space="preserve">Part IV — What perpetuates inflammation</w:t>
      </w:r>
    </w:p>
    <w:p>
      <w:pPr>
        <w:pStyle w:val="BodyText"/>
      </w:pPr>
      <w:r>
        <w:t xml:space="preserve">Once inflammation is established, the system has several potential positive-feedback loops.</w:t>
      </w:r>
    </w:p>
    <w:p>
      <w:pPr>
        <w:pStyle w:val="BodyText"/>
      </w:pPr>
      <w:r>
        <w:rPr>
          <w:b/>
          <w:bCs/>
        </w:rPr>
        <w:t xml:space="preserve">IL-17–neutrophil loop.</w:t>
      </w:r>
      <w:r>
        <w:t xml:space="preserve"> </w:t>
      </w:r>
      <w:r>
        <w:t xml:space="preserve">IL-17 promotes chemokine production and neutrophilic recruitment; neutrophils themselves can reinforce Th17 responses. Recent CARD9 work provides human mechanistic evidence for a neutrophil–Th17 amplification axis in HLA-B27-positive AS.</w:t>
      </w:r>
      <w:r>
        <w:t xml:space="preserve"> </w:t>
      </w:r>
      <w:hyperlink r:id="rId38">
        <w:r>
          <w:rPr>
            <w:rStyle w:val="Hyperlink"/>
          </w:rPr>
          <w:t xml:space="preserve">[36]</w:t>
        </w:r>
      </w:hyperlink>
    </w:p>
    <w:p>
      <w:pPr>
        <w:pStyle w:val="BodyText"/>
      </w:pPr>
      <w:r>
        <w:rPr>
          <w:b/>
          <w:bCs/>
        </w:rPr>
        <w:t xml:space="preserve">Myeloid–cytokine loop.</w:t>
      </w:r>
      <w:r>
        <w:t xml:space="preserve"> </w:t>
      </w:r>
      <w:r>
        <w:t xml:space="preserve">Activated macrophages/monocytes produce TNF, IL-23, chemokines and other mediators. Extracellular ATP from damaged tissue can signal through purinergic receptors and NLRP3, generating IL-1-family signalling and further recruitment.</w:t>
      </w:r>
      <w:r>
        <w:t xml:space="preserve"> </w:t>
      </w:r>
      <w:hyperlink r:id="rId39">
        <w:r>
          <w:rPr>
            <w:rStyle w:val="Hyperlink"/>
          </w:rPr>
          <w:t xml:space="preserve">[70]</w:t>
        </w:r>
      </w:hyperlink>
    </w:p>
    <w:p>
      <w:pPr>
        <w:pStyle w:val="BodyText"/>
      </w:pPr>
      <w:r>
        <w:rPr>
          <w:b/>
          <w:bCs/>
        </w:rPr>
        <w:t xml:space="preserve">IL-17/TNF–stromal loop.</w:t>
      </w:r>
      <w:r>
        <w:t xml:space="preserve"> </w:t>
      </w:r>
      <w:r>
        <w:t xml:space="preserve">Cytokines activate fibroblasts, endothelial cells and local stromal tissue; those tissues generate chemokines, prostaglandins and matrix-remodelling signals that sustain leukocyte entry and pain.</w:t>
      </w:r>
    </w:p>
    <w:p>
      <w:pPr>
        <w:pStyle w:val="BodyText"/>
      </w:pPr>
      <w:r>
        <w:rPr>
          <w:b/>
          <w:bCs/>
        </w:rPr>
        <w:t xml:space="preserve">Gut–systemic loop.</w:t>
      </w:r>
      <w:r>
        <w:t xml:space="preserve"> </w:t>
      </w:r>
      <w:r>
        <w:t xml:space="preserve">Intestinal inflammation changes epithelial barrier and microbial metabolism; systemic inflammation can subsequently alter gut physiology and microbiome composition, creating a bidirectional relationship rather than a one-way microbial cause. The observation that TNF inhibition itself partially normalizes microbiome signatures is especially important evidence against interpreting every dysbiotic taxon as upstream.</w:t>
      </w:r>
      <w:r>
        <w:t xml:space="preserve"> </w:t>
      </w:r>
      <w:hyperlink r:id="rId75">
        <w:r>
          <w:rPr>
            <w:rStyle w:val="Hyperlink"/>
          </w:rPr>
          <w:t xml:space="preserve">[71]</w:t>
        </w:r>
      </w:hyperlink>
    </w:p>
    <w:p>
      <w:pPr>
        <w:pStyle w:val="BodyText"/>
      </w:pPr>
      <w:r>
        <w:rPr>
          <w:b/>
          <w:bCs/>
        </w:rPr>
        <w:t xml:space="preserve">Pain–sleep–stress loop.</w:t>
      </w:r>
      <w:r>
        <w:t xml:space="preserve"> </w:t>
      </w:r>
      <w:r>
        <w:t xml:space="preserve">Inflammation causes nocturnal pain and poor sleep; poor sleep increases pain sensitivity, fatigue and sympathetic activation; those changes reduce activity and raise psychosocial stress. Much of this loop can make a flare feel dramatically worse even if the increment in objective inflammation is smaller.</w:t>
      </w:r>
      <w:r>
        <w:t xml:space="preserve"> </w:t>
      </w:r>
      <w:hyperlink r:id="rId15">
        <w:r>
          <w:rPr>
            <w:rStyle w:val="Hyperlink"/>
          </w:rPr>
          <w:t xml:space="preserve">[72]</w:t>
        </w:r>
      </w:hyperlink>
    </w:p>
    <w:p>
      <w:pPr>
        <w:pStyle w:val="BodyText"/>
      </w:pPr>
      <w:r>
        <w:rPr>
          <w:b/>
          <w:bCs/>
        </w:rPr>
        <w:t xml:space="preserve">Inflammation–metabolism loop.</w:t>
      </w:r>
      <w:r>
        <w:t xml:space="preserve"> </w:t>
      </w:r>
      <w:r>
        <w:t xml:space="preserve">Cytokines can promote insulin resistance and dyslipidaemia; impaired metabolic health and adiposity can then raise inflammatory tone. Human AS metabolomics identifies substantial metabolic changes, but deciding which are causal remains difficult.</w:t>
      </w:r>
      <w:r>
        <w:t xml:space="preserve"> </w:t>
      </w:r>
      <w:hyperlink r:id="rId43">
        <w:r>
          <w:rPr>
            <w:rStyle w:val="Hyperlink"/>
          </w:rPr>
          <w:t xml:space="preserve">[73]</w:t>
        </w:r>
      </w:hyperlink>
    </w:p>
    <w:p>
      <w:pPr>
        <w:pStyle w:val="BodyText"/>
      </w:pPr>
      <w:r>
        <w:t xml:space="preserve">A notable counterexample to assuming every elevated cytokine is indispensable is</w:t>
      </w:r>
      <w:r>
        <w:t xml:space="preserve"> </w:t>
      </w:r>
      <w:r>
        <w:rPr>
          <w:b/>
          <w:bCs/>
        </w:rPr>
        <w:t xml:space="preserve">GM-CSF</w:t>
      </w:r>
      <w:r>
        <w:t xml:space="preserve">. AS monocytes respond abnormally to GM-CSF and circulating levels correlate with activity, yet the randomized phase-II NAMASTE trial of the anti-GM-CSF antibody namilumab did</w:t>
      </w:r>
      <w:r>
        <w:t xml:space="preserve"> </w:t>
      </w:r>
      <w:r>
        <w:rPr>
          <w:b/>
          <w:bCs/>
        </w:rPr>
        <w:t xml:space="preserve">not</w:t>
      </w:r>
      <w:r>
        <w:t xml:space="preserve"> </w:t>
      </w:r>
      <w:r>
        <w:t xml:space="preserve">show therapeutic benefit over placebo at week 12. PMID 38942047; DOI 10.1016/S2665-9913(24)00099-7.</w:t>
      </w:r>
      <w:r>
        <w:t xml:space="preserve"> </w:t>
      </w:r>
      <w:hyperlink r:id="rId39">
        <w:r>
          <w:rPr>
            <w:rStyle w:val="Hyperlink"/>
          </w:rPr>
          <w:t xml:space="preserve">[74]</w:t>
        </w:r>
      </w:hyperlink>
    </w:p>
    <w:p>
      <w:pPr>
        <w:pStyle w:val="BodyText"/>
      </w:pPr>
      <w:r>
        <w:t xml:space="preserve">That failure illustrates an important systems principle:</w:t>
      </w:r>
      <w:r>
        <w:t xml:space="preserve"> </w:t>
      </w:r>
      <w:r>
        <w:rPr>
          <w:b/>
          <w:bCs/>
        </w:rPr>
        <w:t xml:space="preserve">a molecule can be elevated, biologically active and mechanistically interesting without being a rate-limiting driver of human disease.</w:t>
      </w:r>
    </w:p>
    <w:p>
      <w:pPr>
        <w:pStyle w:val="BodyText"/>
      </w:pPr>
      <w:r>
        <w:rPr>
          <w:b/>
          <w:bCs/>
        </w:rPr>
        <w:t xml:space="preserve">Part V — How inflammation is naturally resolved</w:t>
      </w:r>
    </w:p>
    <w:p>
      <w:pPr>
        <w:pStyle w:val="BodyText"/>
      </w:pPr>
      <w:r>
        <w:t xml:space="preserve">Resolution is not simply “anti-inflammation.” It is an active transition from host defence to restoration.</w:t>
      </w:r>
    </w:p>
    <w:bookmarkEnd w:id="76"/>
    <w:bookmarkStart w:id="77" w:name="regulatory-t-cells"/>
    <w:p>
      <w:pPr>
        <w:pStyle w:val="Heading3"/>
      </w:pPr>
      <w:r>
        <w:t xml:space="preserve">Regulatory T cells</w:t>
      </w:r>
    </w:p>
    <w:p>
      <w:pPr>
        <w:pStyle w:val="FirstParagraph"/>
      </w:pPr>
      <w:r>
        <w:t xml:space="preserve">Tregs suppress effector T-cell activation through multiple mechanisms, including IL-10/TGF-β-related pathways and competition for immune-stimulatory signals. A 2026 review concludes that Treg abnormalities in axSpA are plausible but incompletely characterized; studies differ on whether number, phenotype or function is most abnormal. Restoration of Treg parameters during successful anti-inflammatory therapy can equally be interpreted as a</w:t>
      </w:r>
      <w:r>
        <w:t xml:space="preserve"> </w:t>
      </w:r>
      <w:r>
        <w:rPr>
          <w:b/>
          <w:bCs/>
        </w:rPr>
        <w:t xml:space="preserve">cause or consequence</w:t>
      </w:r>
      <w:r>
        <w:t xml:space="preserve"> </w:t>
      </w:r>
      <w:r>
        <w:t xml:space="preserve">of remission.</w:t>
      </w:r>
      <w:r>
        <w:t xml:space="preserve"> </w:t>
      </w:r>
      <w:hyperlink r:id="rId17">
        <w:r>
          <w:rPr>
            <w:rStyle w:val="Hyperlink"/>
          </w:rPr>
          <w:t xml:space="preserve">[32]</w:t>
        </w:r>
      </w:hyperlink>
    </w:p>
    <w:p>
      <w:pPr>
        <w:pStyle w:val="BodyText"/>
      </w:pPr>
      <w:r>
        <w:rPr>
          <w:b/>
          <w:bCs/>
        </w:rPr>
        <w:t xml:space="preserve">AS-specific evidence: C.</w:t>
      </w:r>
    </w:p>
    <w:bookmarkEnd w:id="77"/>
    <w:bookmarkStart w:id="80" w:name="X9a81e99de061896abc6cc2d5708de603c63ec5e"/>
    <w:p>
      <w:pPr>
        <w:pStyle w:val="Heading3"/>
      </w:pPr>
      <w:r>
        <w:t xml:space="preserve">Macrophage reprogramming and efferocytosis</w:t>
      </w:r>
    </w:p>
    <w:p>
      <w:pPr>
        <w:pStyle w:val="FirstParagraph"/>
      </w:pPr>
      <w:r>
        <w:t xml:space="preserve">As inflammation resolves, macrophages normally clear apoptotic neutrophils and tissue debris through efferocytosis. That process itself induces pro-resolving metabolic and transcriptional programs, including IL-10 and TGF-β production. Tregs can promote macrophage efferocytosis experimentally.</w:t>
      </w:r>
      <w:r>
        <w:t xml:space="preserve"> </w:t>
      </w:r>
      <w:hyperlink r:id="rId78">
        <w:r>
          <w:rPr>
            <w:rStyle w:val="Hyperlink"/>
          </w:rPr>
          <w:t xml:space="preserve">[75]</w:t>
        </w:r>
      </w:hyperlink>
    </w:p>
    <w:p>
      <w:pPr>
        <w:pStyle w:val="BodyText"/>
      </w:pPr>
      <w:r>
        <w:t xml:space="preserve">There is substantial evidence that macrophages are abnormal in SpA, but essentially no high-quality human study proving that defective efferocytosis is the bottleneck responsible for AS flares.</w:t>
      </w:r>
      <w:r>
        <w:t xml:space="preserve"> </w:t>
      </w:r>
      <w:hyperlink r:id="rId79">
        <w:r>
          <w:rPr>
            <w:rStyle w:val="Hyperlink"/>
          </w:rPr>
          <w:t xml:space="preserve">[76]</w:t>
        </w:r>
      </w:hyperlink>
    </w:p>
    <w:p>
      <w:pPr>
        <w:pStyle w:val="BodyText"/>
      </w:pPr>
      <w:r>
        <w:rPr>
          <w:b/>
          <w:bCs/>
        </w:rPr>
        <w:t xml:space="preserve">General mechanism A; AS-specific defect D.</w:t>
      </w:r>
    </w:p>
    <w:bookmarkEnd w:id="80"/>
    <w:bookmarkStart w:id="82" w:name="specialized-pro-resolving-mediators"/>
    <w:p>
      <w:pPr>
        <w:pStyle w:val="Heading3"/>
      </w:pPr>
      <w:r>
        <w:t xml:space="preserve">Specialized pro-resolving mediators</w:t>
      </w:r>
    </w:p>
    <w:p>
      <w:pPr>
        <w:pStyle w:val="FirstParagraph"/>
      </w:pPr>
      <w:r>
        <w:t xml:space="preserve">Lipoxins, resolvins, protectins and maresins derived from polyunsaturated fatty acids actively regulate neutrophil trafficking, macrophage clearance and resolution rather than merely blocking inflammatory initiation. This field has strong general mechanistic support.</w:t>
      </w:r>
      <w:r>
        <w:t xml:space="preserve"> </w:t>
      </w:r>
      <w:hyperlink r:id="rId81">
        <w:r>
          <w:rPr>
            <w:rStyle w:val="Hyperlink"/>
          </w:rPr>
          <w:t xml:space="preserve">[77]</w:t>
        </w:r>
      </w:hyperlink>
    </w:p>
    <w:p>
      <w:pPr>
        <w:pStyle w:val="BodyText"/>
      </w:pPr>
      <w:r>
        <w:t xml:space="preserve">AS, however, has</w:t>
      </w:r>
      <w:r>
        <w:t xml:space="preserve"> </w:t>
      </w:r>
      <w:r>
        <w:rPr>
          <w:b/>
          <w:bCs/>
        </w:rPr>
        <w:t xml:space="preserve">very little direct intervention evidence</w:t>
      </w:r>
      <w:r>
        <w:t xml:space="preserve"> </w:t>
      </w:r>
      <w:r>
        <w:t xml:space="preserve">showing that inadequate SPM production causes disease or that oral SPM supplementation induces remission. Lipid mediator biology in SpA is worthy of study precisely because the clinical evidence is not yet there.</w:t>
      </w:r>
      <w:r>
        <w:t xml:space="preserve"> </w:t>
      </w:r>
      <w:hyperlink r:id="rId41">
        <w:r>
          <w:rPr>
            <w:rStyle w:val="Hyperlink"/>
          </w:rPr>
          <w:t xml:space="preserve">[41]</w:t>
        </w:r>
      </w:hyperlink>
    </w:p>
    <w:p>
      <w:pPr>
        <w:pStyle w:val="BodyText"/>
      </w:pPr>
      <w:r>
        <w:rPr>
          <w:b/>
          <w:bCs/>
        </w:rPr>
        <w:t xml:space="preserve">General resolution biology A; AS causal hypothesis D.</w:t>
      </w:r>
    </w:p>
    <w:bookmarkEnd w:id="82"/>
    <w:bookmarkStart w:id="83" w:name="vagalcholinergic-regulation"/>
    <w:p>
      <w:pPr>
        <w:pStyle w:val="Heading3"/>
      </w:pPr>
      <w:r>
        <w:t xml:space="preserve">Vagal/cholinergic regulation</w:t>
      </w:r>
    </w:p>
    <w:p>
      <w:pPr>
        <w:pStyle w:val="FirstParagraph"/>
      </w:pPr>
      <w:r>
        <w:t xml:space="preserve">The inflammatory reflex can restrain innate inflammatory signalling through autonomic pathways. An open-label 2021 study gave 20 patients with AS and 20 with PsA transcutaneous vagus stimulation for five days. Participants were already in remission; the AS group showed alterations in cytokines, but this was not a trial showing induction of remission from active disease. DOI 10.1155/2021/9933532.</w:t>
      </w:r>
      <w:r>
        <w:t xml:space="preserve"> </w:t>
      </w:r>
      <w:hyperlink r:id="rId50">
        <w:r>
          <w:rPr>
            <w:rStyle w:val="Hyperlink"/>
          </w:rPr>
          <w:t xml:space="preserve">[78]</w:t>
        </w:r>
      </w:hyperlink>
    </w:p>
    <w:p>
      <w:pPr>
        <w:pStyle w:val="BodyText"/>
      </w:pPr>
      <w:r>
        <w:rPr>
          <w:b/>
          <w:bCs/>
        </w:rPr>
        <w:t xml:space="preserve">Grade C/D.</w:t>
      </w:r>
    </w:p>
    <w:bookmarkEnd w:id="83"/>
    <w:bookmarkStart w:id="84" w:name="endogenous-cortisolhpa-regulation"/>
    <w:p>
      <w:pPr>
        <w:pStyle w:val="Heading3"/>
      </w:pPr>
      <w:r>
        <w:t xml:space="preserve">Endogenous cortisol/HPA regulation</w:t>
      </w:r>
    </w:p>
    <w:p>
      <w:pPr>
        <w:pStyle w:val="FirstParagraph"/>
      </w:pPr>
      <w:r>
        <w:t xml:space="preserve">Cortisol is an obvious candidate endogenous anti-inflammatory regulator, but AS studies are contradictory. Two studies found essentially preserved HPA-axis function, while another reported impairment. This makes “adrenal dysfunction” an especially poor established explanation for AS flares. PMID 15140773; PMID 18694865; PMID 19620823.</w:t>
      </w:r>
      <w:r>
        <w:t xml:space="preserve"> </w:t>
      </w:r>
      <w:hyperlink r:id="rId51">
        <w:r>
          <w:rPr>
            <w:rStyle w:val="Hyperlink"/>
          </w:rPr>
          <w:t xml:space="preserve">[56]</w:t>
        </w:r>
      </w:hyperlink>
    </w:p>
    <w:p>
      <w:pPr>
        <w:pStyle w:val="BodyText"/>
      </w:pPr>
      <w:r>
        <w:rPr>
          <w:b/>
          <w:bCs/>
        </w:rPr>
        <w:t xml:space="preserve">Grade C/D and contradicted.</w:t>
      </w:r>
    </w:p>
    <w:bookmarkEnd w:id="84"/>
    <w:bookmarkStart w:id="85" w:name="microbial-anti-inflammatory-metabolites"/>
    <w:p>
      <w:pPr>
        <w:pStyle w:val="Heading3"/>
      </w:pPr>
      <w:r>
        <w:t xml:space="preserve">Microbial anti-inflammatory metabolites</w:t>
      </w:r>
    </w:p>
    <w:p>
      <w:pPr>
        <w:pStyle w:val="FirstParagraph"/>
      </w:pPr>
      <w:r>
        <w:t xml:space="preserve">Butyrate and other SCFAs can support epithelial integrity and Treg/metabolic regulation; tryptophan–AhR metabolites can influence ILC3 and barrier responses; secondary bile acids also modulate immune signalling. These mechanisms are compelling in gut immunology, and AS intestinal metabolomics provides hints of altered pathways. But SpA metabolomics is inconsistent, and there is no established “take butyrate → restore resolution → remit AS” causal chain.</w:t>
      </w:r>
      <w:r>
        <w:t xml:space="preserve"> </w:t>
      </w:r>
      <w:hyperlink r:id="rId46">
        <w:r>
          <w:rPr>
            <w:rStyle w:val="Hyperlink"/>
          </w:rPr>
          <w:t xml:space="preserve">[79]</w:t>
        </w:r>
      </w:hyperlink>
    </w:p>
    <w:p>
      <w:pPr>
        <w:pStyle w:val="BodyText"/>
      </w:pPr>
      <w:r>
        <w:rPr>
          <w:b/>
          <w:bCs/>
        </w:rPr>
        <w:t xml:space="preserve">Grade C/D.</w:t>
      </w:r>
    </w:p>
    <w:bookmarkEnd w:id="85"/>
    <w:bookmarkStart w:id="87" w:name="the-repair-paradox"/>
    <w:p>
      <w:pPr>
        <w:pStyle w:val="Heading3"/>
      </w:pPr>
      <w:r>
        <w:t xml:space="preserve">The repair paradox</w:t>
      </w:r>
    </w:p>
    <w:p>
      <w:pPr>
        <w:pStyle w:val="FirstParagraph"/>
      </w:pPr>
      <w:r>
        <w:t xml:space="preserve">Some of the same signals associated with resolution and wound healing—including TGF-β and macrophage tissue-repair programs—can activate osteogenic BMP/Wnt pathways. This creates a provocative possibility:</w:t>
      </w:r>
    </w:p>
    <w:p>
      <w:pPr>
        <w:pStyle w:val="BlockText"/>
      </w:pPr>
      <w:r>
        <w:rPr>
          <w:b/>
          <w:bCs/>
        </w:rPr>
        <w:t xml:space="preserve">the system that successfully turns off inflammation may simultaneously encourage excessive bone repair at chronically injured entheses.</w:t>
      </w:r>
    </w:p>
    <w:p>
      <w:pPr>
        <w:pStyle w:val="FirstParagraph"/>
      </w:pPr>
      <w:r>
        <w:t xml:space="preserve">That framework could help explain why reduced inflammatory activity does not necessarily mean complete arrest of osteoproliferation. It remains more mechanistic than clinically proven.</w:t>
      </w:r>
      <w:r>
        <w:t xml:space="preserve"> </w:t>
      </w:r>
      <w:hyperlink r:id="rId86">
        <w:r>
          <w:rPr>
            <w:rStyle w:val="Hyperlink"/>
          </w:rPr>
          <w:t xml:space="preserve">[80]</w:t>
        </w:r>
      </w:hyperlink>
    </w:p>
    <w:p>
      <w:pPr>
        <w:pStyle w:val="BodyText"/>
      </w:pPr>
      <w:r>
        <w:rPr>
          <w:b/>
          <w:bCs/>
        </w:rPr>
        <w:t xml:space="preserve">Overall verdict on impaired resolution:</w:t>
      </w:r>
      <w:r>
        <w:t xml:space="preserve"> </w:t>
      </w:r>
      <w:r>
        <w:t xml:space="preserve">AS</w:t>
      </w:r>
      <w:r>
        <w:t xml:space="preserve"> </w:t>
      </w:r>
      <w:r>
        <w:rPr>
          <w:i/>
          <w:iCs/>
        </w:rPr>
        <w:t xml:space="preserve">could</w:t>
      </w:r>
      <w:r>
        <w:t xml:space="preserve"> </w:t>
      </w:r>
      <w:r>
        <w:t xml:space="preserve">involve impaired resolution as well as excessive initiation, but this is currently a</w:t>
      </w:r>
      <w:r>
        <w:t xml:space="preserve"> </w:t>
      </w:r>
      <w:r>
        <w:rPr>
          <w:b/>
          <w:bCs/>
        </w:rPr>
        <w:t xml:space="preserve">C/D hypothesis</w:t>
      </w:r>
      <w:r>
        <w:t xml:space="preserve">, not a proven disease-defining defect. The highest-value studies would directly profile initiation and resolution mediators longitudinally before, during and after individual MRI/CRP-confirmed flares.</w:t>
      </w:r>
    </w:p>
    <w:bookmarkEnd w:id="87"/>
    <w:bookmarkEnd w:id="88"/>
    <w:bookmarkStart w:id="100" w:name="X00a23e9b130af8bf4fe653dde592861d8b17f11"/>
    <w:p>
      <w:pPr>
        <w:pStyle w:val="Heading2"/>
      </w:pPr>
      <w:r>
        <w:t xml:space="preserve">Gut, neuroimmune, mechanical, and structural axes</w:t>
      </w:r>
    </w:p>
    <w:p>
      <w:pPr>
        <w:pStyle w:val="FirstParagraph"/>
      </w:pPr>
      <w:r>
        <w:rPr>
          <w:b/>
          <w:bCs/>
        </w:rPr>
        <w:t xml:space="preserve">Part VI — Gut–immune–joint axis</w:t>
      </w:r>
    </w:p>
    <w:p>
      <w:pPr>
        <w:pStyle w:val="BodyText"/>
      </w:pPr>
      <w:r>
        <w:t xml:space="preserve">The gut–joint axis is probably real, but “the microbiome causes AS” is too crude.</w:t>
      </w:r>
    </w:p>
    <w:p>
      <w:pPr>
        <w:pStyle w:val="BodyText"/>
      </w:pPr>
      <w:r>
        <w:t xml:space="preserve">Several observations converge:</w:t>
      </w:r>
    </w:p>
    <w:p>
      <w:pPr>
        <w:pStyle w:val="BodyText"/>
      </w:pPr>
      <w:r>
        <w:t xml:space="preserve">HLA-B27 and immune genetics influence mucosal host defence; subclinical intestinal inflammation occurs in axSpA; fecal calprotectin is frequently elevated; microbiome composition differs statistically from healthy controls; gut ILC3 and other type-3 immune populations are altered; intestinal metabolomics show changes including tryptophan pathways; and clinically overt IBD is enriched within the SpA spectrum.</w:t>
      </w:r>
      <w:r>
        <w:t xml:space="preserve"> </w:t>
      </w:r>
      <w:hyperlink r:id="rId59">
        <w:r>
          <w:rPr>
            <w:rStyle w:val="Hyperlink"/>
          </w:rPr>
          <w:t xml:space="preserve">[81]</w:t>
        </w:r>
      </w:hyperlink>
    </w:p>
    <w:p>
      <w:pPr>
        <w:pStyle w:val="BodyText"/>
      </w:pPr>
      <w:r>
        <w:t xml:space="preserve">A mechanistic chain worth testing is:</w:t>
      </w:r>
    </w:p>
    <w:p>
      <w:pPr>
        <w:pStyle w:val="BodyText"/>
      </w:pPr>
      <w:r>
        <w:rPr>
          <w:b/>
          <w:bCs/>
        </w:rPr>
        <w:t xml:space="preserve">HLA-B27/other genetics → altered mucosal antigen presentation/barrier immunity → ecological shift in microbes/metabolites → epithelial and immune activation → IL-23/IL-7/other signals → MAIT/ILC3/Th17 priming → circulation/trafficking → activation in mechanically susceptible entheses.</w:t>
      </w:r>
    </w:p>
    <w:p>
      <w:pPr>
        <w:pStyle w:val="BodyText"/>
      </w:pPr>
      <w:r>
        <w:t xml:space="preserve">Each arrow has some evidence, but the entire human causal sequence has never been demonstrated end-to-end.</w:t>
      </w:r>
    </w:p>
    <w:p>
      <w:pPr>
        <w:pStyle w:val="BodyText"/>
      </w:pPr>
      <w:r>
        <w:t xml:space="preserve">Berland and colleagues showed that</w:t>
      </w:r>
      <w:r>
        <w:t xml:space="preserve"> </w:t>
      </w:r>
      <w:r>
        <w:rPr>
          <w:b/>
          <w:bCs/>
        </w:rPr>
        <w:t xml:space="preserve">both HLA-B27 status and disease activity were associated with gut microbiome dysbiosis</w:t>
      </w:r>
      <w:r>
        <w:t xml:space="preserve">, directly arguing for a multidirectional model rather than a single microbial pathogen. PMID 35818337, DOI 10.1002/art.42289.</w:t>
      </w:r>
      <w:r>
        <w:t xml:space="preserve"> </w:t>
      </w:r>
      <w:hyperlink r:id="rId35">
        <w:r>
          <w:rPr>
            <w:rStyle w:val="Hyperlink"/>
          </w:rPr>
          <w:t xml:space="preserve">[82]</w:t>
        </w:r>
      </w:hyperlink>
    </w:p>
    <w:p>
      <w:pPr>
        <w:pStyle w:val="BodyText"/>
      </w:pPr>
      <w:r>
        <w:t xml:space="preserve">A 2024 systematic review/meta-analysis encompassing 47 studies found broad evidence of dysbiosis and lower microbial diversity in AS. A 2026 axSpA meta-analysis likewise found richness/diversity signals but substantial heterogeneity by geography and age. These findings strengthen the existence of a microbiome phenotype while weakening simplistic claims about a universal disease-causing taxon. PMID 39421642.</w:t>
      </w:r>
      <w:r>
        <w:t xml:space="preserve"> </w:t>
      </w:r>
      <w:hyperlink r:id="rId13">
        <w:r>
          <w:rPr>
            <w:rStyle w:val="Hyperlink"/>
          </w:rPr>
          <w:t xml:space="preserve">[83]</w:t>
        </w:r>
      </w:hyperlink>
    </w:p>
    <w:bookmarkStart w:id="91" w:name="Xb6425362338b604d606a1641dc2832c115efc47"/>
    <w:p>
      <w:pPr>
        <w:pStyle w:val="Heading3"/>
      </w:pPr>
      <w:r>
        <w:t xml:space="preserve">Klebsiella: a case study in seductive but incomplete mechanisms</w:t>
      </w:r>
    </w:p>
    <w:p>
      <w:pPr>
        <w:pStyle w:val="FirstParagraph"/>
      </w:pPr>
      <w:r>
        <w:t xml:space="preserve">The Klebsiella hypothesis proposes that starch availability favours intestinal</w:t>
      </w:r>
      <w:r>
        <w:t xml:space="preserve"> </w:t>
      </w:r>
      <w:r>
        <w:rPr>
          <w:i/>
          <w:iCs/>
        </w:rPr>
        <w:t xml:space="preserve">Klebsiella</w:t>
      </w:r>
      <w:r>
        <w:t xml:space="preserve">, which generates antigens capable of cross-reactivity/molecular mimicry in HLA-B27-associated hosts. There are serological and association data compatible with parts of this model. A 2022 systematic review/meta-analysis found an association between</w:t>
      </w:r>
      <w:r>
        <w:t xml:space="preserve"> </w:t>
      </w:r>
      <w:r>
        <w:rPr>
          <w:i/>
          <w:iCs/>
        </w:rPr>
        <w:t xml:space="preserve">K. pneumoniae</w:t>
      </w:r>
      <w:r>
        <w:t xml:space="preserve"> </w:t>
      </w:r>
      <w:r>
        <w:t xml:space="preserve">and AS. PMID 35019225.</w:t>
      </w:r>
      <w:r>
        <w:t xml:space="preserve"> </w:t>
      </w:r>
      <w:hyperlink r:id="rId14">
        <w:r>
          <w:rPr>
            <w:rStyle w:val="Hyperlink"/>
          </w:rPr>
          <w:t xml:space="preserve">[84]</w:t>
        </w:r>
      </w:hyperlink>
    </w:p>
    <w:p>
      <w:pPr>
        <w:pStyle w:val="BodyText"/>
      </w:pPr>
      <w:r>
        <w:t xml:space="preserve">But major problems remain:</w:t>
      </w:r>
    </w:p>
    <w:p>
      <w:pPr>
        <w:pStyle w:val="BodyText"/>
      </w:pPr>
      <w:r>
        <w:t xml:space="preserve">anti-Klebsiella responses have not consistently been specific to AS; carriage does not demonstrate causation; microbial abundance is strongly affected by geography, medication and diet; and the original low-starch dietary evidence was uncontrolled.</w:t>
      </w:r>
      <w:r>
        <w:t xml:space="preserve"> </w:t>
      </w:r>
      <w:hyperlink r:id="rId89">
        <w:r>
          <w:rPr>
            <w:rStyle w:val="Hyperlink"/>
          </w:rPr>
          <w:t xml:space="preserve">[85]</w:t>
        </w:r>
      </w:hyperlink>
    </w:p>
    <w:p>
      <w:pPr>
        <w:pStyle w:val="BodyText"/>
      </w:pPr>
      <w:r>
        <w:t xml:space="preserve">The classic 1996 low-starch study reported reduced IgA, inflammation and symptoms after lowering bread, potatoes, cakes and pasta, but without a modern randomized blinded comparator it cannot distinguish a specific anti-Klebsiella effect from caloric change, weight loss, food-quality change, expectation effects or regression toward the mean. PMID 8835506.</w:t>
      </w:r>
      <w:r>
        <w:t xml:space="preserve"> </w:t>
      </w:r>
      <w:hyperlink r:id="rId90">
        <w:r>
          <w:rPr>
            <w:rStyle w:val="Hyperlink"/>
          </w:rPr>
          <w:t xml:space="preserve">[86]</w:t>
        </w:r>
      </w:hyperlink>
    </w:p>
    <w:p>
      <w:pPr>
        <w:pStyle w:val="BodyText"/>
      </w:pPr>
      <w:r>
        <w:rPr>
          <w:b/>
          <w:bCs/>
        </w:rPr>
        <w:t xml:space="preserve">Klebsiella overall: C association, D as a universal causal explanation, C/D for low-starch treatment efficacy.</w:t>
      </w:r>
    </w:p>
    <w:bookmarkEnd w:id="91"/>
    <w:bookmarkStart w:id="92" w:name="X970426214767f86d9830909e9583cc8d8b63da2"/>
    <w:p>
      <w:pPr>
        <w:pStyle w:val="Heading3"/>
      </w:pPr>
      <w:r>
        <w:t xml:space="preserve">Short-chain fatty acids versus low starch: an unresolved contradiction</w:t>
      </w:r>
    </w:p>
    <w:p>
      <w:pPr>
        <w:pStyle w:val="FirstParagraph"/>
      </w:pPr>
      <w:r>
        <w:t xml:space="preserve">This produces an important mechanistic tension. One hypothesis says</w:t>
      </w:r>
      <w:r>
        <w:t xml:space="preserve"> </w:t>
      </w:r>
      <w:r>
        <w:rPr>
          <w:b/>
          <w:bCs/>
        </w:rPr>
        <w:t xml:space="preserve">reduce fermentable starch to starve a potentially pathogenic organism</w:t>
      </w:r>
      <w:r>
        <w:t xml:space="preserve">. Another says</w:t>
      </w:r>
      <w:r>
        <w:t xml:space="preserve"> </w:t>
      </w:r>
      <w:r>
        <w:rPr>
          <w:b/>
          <w:bCs/>
        </w:rPr>
        <w:t xml:space="preserve">increase fermentable fibre/resistant starch to generate butyrate and other potentially beneficial SCFAs</w:t>
      </w:r>
      <w:r>
        <w:t xml:space="preserve">.</w:t>
      </w:r>
    </w:p>
    <w:p>
      <w:pPr>
        <w:pStyle w:val="BodyText"/>
      </w:pPr>
      <w:r>
        <w:t xml:space="preserve">Both can be mechanistically plausible because “fermentation” is ecosystem-dependent. Substrate availability can benefit different organisms in different baseline microbiomes. There is currently no human AS evidence demonstrating that one strategy universally dominates the other.</w:t>
      </w:r>
      <w:r>
        <w:t xml:space="preserve"> </w:t>
      </w:r>
      <w:hyperlink r:id="rId46">
        <w:r>
          <w:rPr>
            <w:rStyle w:val="Hyperlink"/>
          </w:rPr>
          <w:t xml:space="preserve">[87]</w:t>
        </w:r>
      </w:hyperlink>
    </w:p>
    <w:p>
      <w:pPr>
        <w:pStyle w:val="BodyText"/>
      </w:pPr>
      <w:r>
        <w:t xml:space="preserve">That is precisely why commercial stool testing cannot yet rationally tell an AS patient whether to follow a high-resistant-starch or low-starch protocol.</w:t>
      </w:r>
    </w:p>
    <w:bookmarkEnd w:id="92"/>
    <w:bookmarkStart w:id="95" w:name="fmt-as-a-causal-experiment"/>
    <w:p>
      <w:pPr>
        <w:pStyle w:val="Heading3"/>
      </w:pPr>
      <w:r>
        <w:t xml:space="preserve">FMT as a causal experiment</w:t>
      </w:r>
    </w:p>
    <w:p>
      <w:pPr>
        <w:pStyle w:val="FirstParagraph"/>
      </w:pPr>
      <w:r>
        <w:t xml:space="preserve">FMT is scientifically valuable because, unlike microbiome correlations, it actually perturbs the ecosystem.</w:t>
      </w:r>
    </w:p>
    <w:p>
      <w:pPr>
        <w:pStyle w:val="BodyText"/>
      </w:pPr>
      <w:r>
        <w:t xml:space="preserve">A 2023 case involved refractory AS plus ulcerative colitis. After FMT, back symptoms and bowel symptoms improved rapidly and CRP declined. The report therefore proves that a temporally associated joint improvement can occur after microbiome transplantation. It does</w:t>
      </w:r>
      <w:r>
        <w:t xml:space="preserve"> </w:t>
      </w:r>
      <w:r>
        <w:rPr>
          <w:b/>
          <w:bCs/>
        </w:rPr>
        <w:t xml:space="preserve">not</w:t>
      </w:r>
      <w:r>
        <w:t xml:space="preserve"> </w:t>
      </w:r>
      <w:r>
        <w:t xml:space="preserve">prove that FMT caused AS remission, because one patient, coexistent severe colitis, repeated interventions and other treatment changes create enormous confounding.</w:t>
      </w:r>
      <w:r>
        <w:t xml:space="preserve"> </w:t>
      </w:r>
      <w:hyperlink r:id="rId93">
        <w:r>
          <w:rPr>
            <w:rStyle w:val="Hyperlink"/>
          </w:rPr>
          <w:t xml:space="preserve">[88]</w:t>
        </w:r>
      </w:hyperlink>
    </w:p>
    <w:p>
      <w:pPr>
        <w:pStyle w:val="BodyText"/>
      </w:pPr>
      <w:r>
        <w:t xml:space="preserve">Randomized controlled axSpA FMT research is ongoing, including NCT06451588. An earlier small FMT study, NCT03726645, was designed to follow BASDAI, BASFI, enthesitis and CRP. At present, FMT remains an experimental investigation rather than an evidence-based AS therapy.</w:t>
      </w:r>
      <w:r>
        <w:t xml:space="preserve"> </w:t>
      </w:r>
      <w:hyperlink r:id="rId94">
        <w:r>
          <w:rPr>
            <w:rStyle w:val="Hyperlink"/>
          </w:rPr>
          <w:t xml:space="preserve">[89]</w:t>
        </w:r>
      </w:hyperlink>
    </w:p>
    <w:p>
      <w:pPr>
        <w:pStyle w:val="BodyText"/>
      </w:pPr>
      <w:r>
        <w:rPr>
          <w:b/>
          <w:bCs/>
        </w:rPr>
        <w:t xml:space="preserve">Part VII — Neuroimmune and stress-related mechanisms</w:t>
      </w:r>
    </w:p>
    <w:p>
      <w:pPr>
        <w:pStyle w:val="BodyText"/>
      </w:pPr>
      <w:r>
        <w:t xml:space="preserve">The autonomic nervous system is altered in at least some AS cohorts. A 2024 meta-analysis found lower HRV in AS, with correlations to CRP. However, older studies have reported no detectable autonomic abnormality. HRV is influenced by fitness, respiration, age, sleep, medication and inflammation itself, so low HRV should not be interpreted as an AS “root cause.” PMID 38318588.</w:t>
      </w:r>
      <w:r>
        <w:t xml:space="preserve"> </w:t>
      </w:r>
      <w:hyperlink r:id="rId49">
        <w:r>
          <w:rPr>
            <w:rStyle w:val="Hyperlink"/>
          </w:rPr>
          <w:t xml:space="preserve">[54]</w:t>
        </w:r>
      </w:hyperlink>
    </w:p>
    <w:p>
      <w:pPr>
        <w:pStyle w:val="BodyText"/>
      </w:pPr>
      <w:r>
        <w:t xml:space="preserve">The most plausible neuroimmune model is not “low vagal tone causes AS,” but:</w:t>
      </w:r>
    </w:p>
    <w:p>
      <w:pPr>
        <w:pStyle w:val="BodyText"/>
      </w:pPr>
      <w:r>
        <w:rPr>
          <w:b/>
          <w:bCs/>
        </w:rPr>
        <w:t xml:space="preserve">inflammation/pain ↔ sympathetic activation and sleep disruption ↔ altered autonomic balance ↔ modest changes in innate inflammatory regulation and pain sensitivity.</w:t>
      </w:r>
    </w:p>
    <w:p>
      <w:pPr>
        <w:pStyle w:val="BodyText"/>
      </w:pPr>
      <w:r>
        <w:t xml:space="preserve">This can form a meaningful amplification loop without being the original disease lesion.</w:t>
      </w:r>
    </w:p>
    <w:p>
      <w:pPr>
        <w:pStyle w:val="BodyText"/>
      </w:pPr>
      <w:r>
        <w:t xml:space="preserve">The same caution applies to psychological stress. Stress physiology is real; abrupt stressful events have been associated with transient disease worsening. But cortisol-axis studies in AS are inconsistent, and no study shows that meditation, HRV biofeedback or breathing exercises reliably normalise MRI inflammation.</w:t>
      </w:r>
      <w:r>
        <w:t xml:space="preserve"> </w:t>
      </w:r>
      <w:hyperlink r:id="rId62">
        <w:r>
          <w:rPr>
            <w:rStyle w:val="Hyperlink"/>
          </w:rPr>
          <w:t xml:space="preserve">[90]</w:t>
        </w:r>
      </w:hyperlink>
    </w:p>
    <w:p>
      <w:pPr>
        <w:pStyle w:val="BodyText"/>
      </w:pPr>
      <w:r>
        <w:t xml:space="preserve">Vagal stimulation is more mechanistically targeted than generic “nervous-system regulation,” but the existing AS study was tiny, open label and performed in people already in remission. The appropriate conclusion is</w:t>
      </w:r>
      <w:r>
        <w:t xml:space="preserve"> </w:t>
      </w:r>
      <w:r>
        <w:rPr>
          <w:b/>
          <w:bCs/>
        </w:rPr>
        <w:t xml:space="preserve">bioelectronic anti-inflammatory regulation is research-worthy, not clinically established.</w:t>
      </w:r>
      <w:r>
        <w:t xml:space="preserve"> </w:t>
      </w:r>
      <w:hyperlink r:id="rId50">
        <w:r>
          <w:rPr>
            <w:rStyle w:val="Hyperlink"/>
          </w:rPr>
          <w:t xml:space="preserve">[55]</w:t>
        </w:r>
      </w:hyperlink>
    </w:p>
    <w:p>
      <w:pPr>
        <w:pStyle w:val="BodyText"/>
      </w:pPr>
      <w:r>
        <w:t xml:space="preserve">Sleep deserves attention for a different reason: even if it is primarily an amplifier, restoring sleep can potentially interrupt the pain–fatigue–sympathetic–inactivity loop. That may produce substantial clinical benefit without necessarily extinguishing the primary immune lesion.</w:t>
      </w:r>
      <w:r>
        <w:t xml:space="preserve"> </w:t>
      </w:r>
      <w:hyperlink r:id="rId52">
        <w:r>
          <w:rPr>
            <w:rStyle w:val="Hyperlink"/>
          </w:rPr>
          <w:t xml:space="preserve">[91]</w:t>
        </w:r>
      </w:hyperlink>
    </w:p>
    <w:bookmarkEnd w:id="95"/>
    <w:bookmarkStart w:id="96" w:name="sauna-heat-and-cold-exposure"/>
    <w:p>
      <w:pPr>
        <w:pStyle w:val="Heading3"/>
      </w:pPr>
      <w:r>
        <w:t xml:space="preserve">Sauna, heat and cold exposure</w:t>
      </w:r>
    </w:p>
    <w:p>
      <w:pPr>
        <w:pStyle w:val="FirstParagraph"/>
      </w:pPr>
      <w:r>
        <w:t xml:space="preserve">Heat can reduce perceived stiffness and muscle discomfort; cold can alter nociception and acute catecholamine responses. Neither has compelling AS-specific evidence for sustained CRP/MRI suppression or structural disease modification.</w:t>
      </w:r>
    </w:p>
    <w:p>
      <w:pPr>
        <w:pStyle w:val="BodyText"/>
      </w:pPr>
      <w:r>
        <w:rPr>
          <w:b/>
          <w:bCs/>
        </w:rPr>
        <w:t xml:space="preserve">Symptom mechanism: plausible.</w:t>
      </w:r>
      <w:r>
        <w:br/>
      </w:r>
      <w:r>
        <w:rPr>
          <w:b/>
          <w:bCs/>
        </w:rPr>
        <w:t xml:space="preserve">Disease-modification evidence: D.</w:t>
      </w:r>
    </w:p>
    <w:p>
      <w:pPr>
        <w:pStyle w:val="BodyText"/>
      </w:pPr>
      <w:r>
        <w:t xml:space="preserve">Claims that extreme cold “resets immunity,” or that sauna reliably activates an AS-relevant heat-shock/pro-resolving programme sufficient for remission, exceed the evidence.</w:t>
      </w:r>
    </w:p>
    <w:p>
      <w:pPr>
        <w:pStyle w:val="BodyText"/>
      </w:pPr>
      <w:r>
        <w:rPr>
          <w:b/>
          <w:bCs/>
        </w:rPr>
        <w:t xml:space="preserve">Part VIII — Mechanical stress, entheses, and bone remodeling</w:t>
      </w:r>
    </w:p>
    <w:p>
      <w:pPr>
        <w:pStyle w:val="BodyText"/>
      </w:pPr>
      <w:r>
        <w:t xml:space="preserve">Mechanical biology is one of the most distinctive aspects of AS and one of the easiest areas to oversimplify.</w:t>
      </w:r>
    </w:p>
    <w:p>
      <w:pPr>
        <w:pStyle w:val="BodyText"/>
      </w:pPr>
      <w:r>
        <w:t xml:space="preserve">The hypothesis is not that exercise itself causes AS. Rather:</w:t>
      </w:r>
    </w:p>
    <w:p>
      <w:pPr>
        <w:pStyle w:val="BodyText"/>
      </w:pPr>
      <w:r>
        <w:rPr>
          <w:b/>
          <w:bCs/>
        </w:rPr>
        <w:t xml:space="preserve">immune susceptibility determines how tissue interprets mechanical stress.</w:t>
      </w:r>
    </w:p>
    <w:p>
      <w:pPr>
        <w:pStyle w:val="BodyText"/>
      </w:pPr>
      <w:r>
        <w:t xml:space="preserve">At a normal enthesis, repeated strain produces adaptive remodelling. In a genetically/mucosally primed host, microdamage could create local ATP, prostaglandin and matrix-derived danger signals that recruit/activate macrophages, γδ T cells and other IL-17-capable cells.</w:t>
      </w:r>
      <w:r>
        <w:t xml:space="preserve"> </w:t>
      </w:r>
      <w:hyperlink r:id="rId28">
        <w:r>
          <w:rPr>
            <w:rStyle w:val="Hyperlink"/>
          </w:rPr>
          <w:t xml:space="preserve">[92]</w:t>
        </w:r>
      </w:hyperlink>
    </w:p>
    <w:p>
      <w:pPr>
        <w:pStyle w:val="BodyText"/>
      </w:pPr>
      <w:r>
        <w:t xml:space="preserve">This generates a “two-hit” model:</w:t>
      </w:r>
    </w:p>
    <w:p>
      <w:pPr>
        <w:pStyle w:val="BodyText"/>
      </w:pPr>
      <w:r>
        <w:rPr>
          <w:b/>
          <w:bCs/>
        </w:rPr>
        <w:t xml:space="preserve">systemic immune priming + local biomechanical event = anatomically focused inflammation.</w:t>
      </w:r>
    </w:p>
    <w:p>
      <w:pPr>
        <w:pStyle w:val="BodyText"/>
      </w:pPr>
      <w:r>
        <w:t xml:space="preserve">That model elegantly explains why a circulating immune abnormality manifests disproportionately at sacroiliac joints, spinal ligamentous attachments, Achilles/plantar fascia and other entheses.</w:t>
      </w:r>
    </w:p>
    <w:p>
      <w:pPr>
        <w:pStyle w:val="BodyText"/>
      </w:pPr>
      <w:r>
        <w:t xml:space="preserve">After inflammation/microdamage, repair engages mesenchymal stromal cells. Wnt and BMP signalling encourage osteoblastic differentiation. DKK-1 and sclerostin normally restrain Wnt pathways; altered regulation has been associated with axSpA structural outcomes. Inflammatory and repair signalling therefore coexist rather than being mutually exclusive. PMID 23566662; PMID 26411424.</w:t>
      </w:r>
      <w:r>
        <w:t xml:space="preserve"> </w:t>
      </w:r>
      <w:hyperlink r:id="rId18">
        <w:r>
          <w:rPr>
            <w:rStyle w:val="Hyperlink"/>
          </w:rPr>
          <w:t xml:space="preserve">[46]</w:t>
        </w:r>
      </w:hyperlink>
    </w:p>
    <w:bookmarkEnd w:id="96"/>
    <w:bookmarkStart w:id="99" w:name="X8545bce3cb2da965a448ef6cbba8de47f0de9da"/>
    <w:p>
      <w:pPr>
        <w:pStyle w:val="Heading3"/>
      </w:pPr>
      <w:r>
        <w:t xml:space="preserve">Why exercise is beneficial despite this mechanism</w:t>
      </w:r>
    </w:p>
    <w:p>
      <w:pPr>
        <w:pStyle w:val="FirstParagraph"/>
      </w:pPr>
      <w:r>
        <w:t xml:space="preserve">The relevant dose-response curve is likely non-linear.</w:t>
      </w:r>
    </w:p>
    <w:p>
      <w:pPr>
        <w:pStyle w:val="BodyText"/>
      </w:pPr>
      <w:r>
        <w:t xml:space="preserve">Too little loading promotes deconditioning, loss of mobility, sarcopenia and poor load distribution. Excessive novel loading can injure a specific enthesis. Progressive resistance, aerobic and mobility training can increase the capacity of bone, muscle and connective tissues to tolerate the same external load with less relative strain.</w:t>
      </w:r>
    </w:p>
    <w:p>
      <w:pPr>
        <w:pStyle w:val="BodyText"/>
      </w:pPr>
      <w:r>
        <w:t xml:space="preserve">The best human evidence strongly favours exercise rather than avoidance. A randomized high-intensity exercise trial in 100 axSpA patients found reductions in symptoms and inflammatory measures; PMID 30745314, DOI 10.1136/bjsports-2018-099943.</w:t>
      </w:r>
      <w:r>
        <w:t xml:space="preserve"> </w:t>
      </w:r>
      <w:hyperlink r:id="rId19">
        <w:r>
          <w:rPr>
            <w:rStyle w:val="Hyperlink"/>
          </w:rPr>
          <w:t xml:space="preserve">[93]</w:t>
        </w:r>
      </w:hyperlink>
    </w:p>
    <w:p>
      <w:pPr>
        <w:pStyle w:val="BodyText"/>
      </w:pPr>
      <w:r>
        <w:t xml:space="preserve">EXTASI subsequently randomized patients to a walking-based exercise programme and documented changes in inflammatory immune profiles alongside less spinal pain; PMID 38854418.</w:t>
      </w:r>
      <w:r>
        <w:t xml:space="preserve"> </w:t>
      </w:r>
      <w:hyperlink r:id="rId97">
        <w:r>
          <w:rPr>
            <w:rStyle w:val="Hyperlink"/>
          </w:rPr>
          <w:t xml:space="preserve">[94]</w:t>
        </w:r>
      </w:hyperlink>
    </w:p>
    <w:p>
      <w:pPr>
        <w:pStyle w:val="BodyText"/>
      </w:pPr>
      <w:r>
        <w:t xml:space="preserve">A 2025 meta-analysis and newer synthesis support improvements in disease activity, function, mobility and fatigue. These effects are clinically meaningful, but available trials do not establish exercise alone as a reliable remission-inducing or syndesmophyte-preventing treatment.</w:t>
      </w:r>
      <w:r>
        <w:t xml:space="preserve"> </w:t>
      </w:r>
      <w:hyperlink r:id="rId98">
        <w:r>
          <w:rPr>
            <w:rStyle w:val="Hyperlink"/>
          </w:rPr>
          <w:t xml:space="preserve">[95]</w:t>
        </w:r>
      </w:hyperlink>
    </w:p>
    <w:p>
      <w:pPr>
        <w:pStyle w:val="BodyText"/>
      </w:pPr>
      <w:r>
        <w:rPr>
          <w:b/>
          <w:bCs/>
        </w:rPr>
        <w:t xml:space="preserve">Exercise: A for supportive treatment; B/C for direct inflammatory modulation; D for proven stand-alone structural disease modification.</w:t>
      </w:r>
    </w:p>
    <w:bookmarkEnd w:id="99"/>
    <w:bookmarkEnd w:id="100"/>
    <w:bookmarkStart w:id="145" w:name="X4e06fef963ea567126238aca1a9c3a44cce5dce"/>
    <w:p>
      <w:pPr>
        <w:pStyle w:val="Heading2"/>
      </w:pPr>
      <w:r>
        <w:t xml:space="preserve">Non-pharmaceutical interventions, experimental approaches, and remission evidence</w:t>
      </w:r>
    </w:p>
    <w:p>
      <w:pPr>
        <w:pStyle w:val="FirstParagraph"/>
      </w:pPr>
      <w:r>
        <w:rPr>
          <w:b/>
          <w:bCs/>
        </w:rPr>
        <w:t xml:space="preserve">Part IX — Non-pharmaceutical interventions and their mechanisms</w:t>
      </w:r>
    </w:p>
    <w:bookmarkStart w:id="111" w:name="dietary-patterns"/>
    <w:p>
      <w:pPr>
        <w:pStyle w:val="Heading3"/>
      </w:pPr>
      <w:r>
        <w:t xml:space="preserve">Dietary patterns</w:t>
      </w:r>
    </w:p>
    <w:bookmarkStart w:id="103" w:name="mediterranean-style-diet"/>
    <w:p>
      <w:pPr>
        <w:pStyle w:val="Heading4"/>
      </w:pPr>
      <w:r>
        <w:t xml:space="preserve">Mediterranean-style diet</w:t>
      </w:r>
    </w:p>
    <w:p>
      <w:pPr>
        <w:pStyle w:val="FirstParagraph"/>
      </w:pPr>
      <w:r>
        <w:t xml:space="preserve">Mechanistically, Mediterranean-style eating simultaneously changes numerous variables: replacing saturated fat with unsaturated fats; increasing plant polyphenols, fibre and micronutrients; increasing fish-derived n-3 fatty acids; lowering ultra-processed food exposure; and often improving body composition and insulin sensitivity.</w:t>
      </w:r>
    </w:p>
    <w:p>
      <w:pPr>
        <w:pStyle w:val="BodyText"/>
      </w:pPr>
      <w:r>
        <w:t xml:space="preserve">A prospective AS study found greater ASDAS-CRP improvement in patients receiving Mediterranean-diet nutritional advice over six months, but the design was not a definitive blinded randomized efficacy trial. PMID 34416917.</w:t>
      </w:r>
      <w:r>
        <w:t xml:space="preserve"> </w:t>
      </w:r>
      <w:hyperlink r:id="rId101">
        <w:r>
          <w:rPr>
            <w:rStyle w:val="Hyperlink"/>
          </w:rPr>
          <w:t xml:space="preserve">[96]</w:t>
        </w:r>
      </w:hyperlink>
    </w:p>
    <w:p>
      <w:pPr>
        <w:pStyle w:val="BodyText"/>
      </w:pPr>
      <w:r>
        <w:t xml:space="preserve">Meta-analytic evidence outside AS indicates Mediterranean diets can modestly reduce inflammatory markers such as CRP and some cytokines, but translating generic CRP changes into AS disease modification is inappropriate.</w:t>
      </w:r>
      <w:r>
        <w:t xml:space="preserve"> </w:t>
      </w:r>
      <w:hyperlink r:id="rId102">
        <w:r>
          <w:rPr>
            <w:rStyle w:val="Hyperlink"/>
          </w:rPr>
          <w:t xml:space="preserve">[97]</w:t>
        </w:r>
      </w:hyperlink>
    </w:p>
    <w:p>
      <w:pPr>
        <w:pStyle w:val="BodyText"/>
      </w:pPr>
      <w:r>
        <w:rPr>
          <w:b/>
          <w:bCs/>
        </w:rPr>
        <w:t xml:space="preserve">AS-specific: C/B. Symptomatic/general-health effect: B. Objective AS remission: unproven.</w:t>
      </w:r>
    </w:p>
    <w:bookmarkEnd w:id="103"/>
    <w:bookmarkStart w:id="104" w:name="low-starch-diet"/>
    <w:p>
      <w:pPr>
        <w:pStyle w:val="Heading4"/>
      </w:pPr>
      <w:r>
        <w:t xml:space="preserve">Low-starch diet</w:t>
      </w:r>
    </w:p>
    <w:p>
      <w:pPr>
        <w:pStyle w:val="FirstParagraph"/>
      </w:pPr>
      <w:r>
        <w:t xml:space="preserve">Mechanism: reduced starch → altered microbial substrates → hypothesised reduction in Klebsiella → reduced mucosal immune activation.</w:t>
      </w:r>
    </w:p>
    <w:p>
      <w:pPr>
        <w:pStyle w:val="BodyText"/>
      </w:pPr>
      <w:r>
        <w:t xml:space="preserve">Evidence: one influential but old uncontrolled AS study plus subsequent mechanistic discussion; no replicated modern evidence demonstrating MRI remission or structural modification.</w:t>
      </w:r>
      <w:r>
        <w:t xml:space="preserve"> </w:t>
      </w:r>
      <w:hyperlink r:id="rId90">
        <w:r>
          <w:rPr>
            <w:rStyle w:val="Hyperlink"/>
          </w:rPr>
          <w:t xml:space="preserve">[98]</w:t>
        </w:r>
      </w:hyperlink>
    </w:p>
    <w:p>
      <w:pPr>
        <w:pStyle w:val="BodyText"/>
      </w:pPr>
      <w:r>
        <w:rPr>
          <w:b/>
          <w:bCs/>
        </w:rPr>
        <w:t xml:space="preserve">Grade C/D.</w:t>
      </w:r>
    </w:p>
    <w:p>
      <w:pPr>
        <w:pStyle w:val="BodyText"/>
      </w:pPr>
      <w:r>
        <w:t xml:space="preserve">A major risk of extremely restrictive versions is that low-starch becomes low-fibre, low-micronutrient and socially difficult, potentially eliminating foods that support beneficial microbial fermentation.</w:t>
      </w:r>
    </w:p>
    <w:bookmarkEnd w:id="104"/>
    <w:bookmarkStart w:id="106" w:name="ketogeniclow-carbohydrate-diets"/>
    <w:p>
      <w:pPr>
        <w:pStyle w:val="Heading4"/>
      </w:pPr>
      <w:r>
        <w:t xml:space="preserve">Ketogenic/low-carbohydrate diets</w:t>
      </w:r>
    </w:p>
    <w:p>
      <w:pPr>
        <w:pStyle w:val="FirstParagraph"/>
      </w:pPr>
      <w:r>
        <w:t xml:space="preserve">Ketosis lowers glucose/insulin exposure, changes adiposity, increases β-hydroxybutyrate and can modulate NLRP3 in experimental systems. These mechanisms are interesting given inflammasome and metabolic findings in AS.</w:t>
      </w:r>
      <w:r>
        <w:t xml:space="preserve"> </w:t>
      </w:r>
      <w:hyperlink r:id="rId40">
        <w:r>
          <w:rPr>
            <w:rStyle w:val="Hyperlink"/>
          </w:rPr>
          <w:t xml:space="preserve">[99]</w:t>
        </w:r>
      </w:hyperlink>
    </w:p>
    <w:p>
      <w:pPr>
        <w:pStyle w:val="BodyText"/>
      </w:pPr>
      <w:r>
        <w:t xml:space="preserve">But there is</w:t>
      </w:r>
      <w:r>
        <w:t xml:space="preserve"> </w:t>
      </w:r>
      <w:r>
        <w:rPr>
          <w:b/>
          <w:bCs/>
        </w:rPr>
        <w:t xml:space="preserve">no persuasive AS RCT</w:t>
      </w:r>
      <w:r>
        <w:t xml:space="preserve"> </w:t>
      </w:r>
      <w:r>
        <w:t xml:space="preserve">showing that a ketogenic diet normalizes MRI inflammation or induces sustained remission. Cross-disease evidence from psoriasis/PsA cannot be assumed to transfer to axSpA.</w:t>
      </w:r>
      <w:r>
        <w:t xml:space="preserve"> </w:t>
      </w:r>
      <w:hyperlink r:id="rId105">
        <w:r>
          <w:rPr>
            <w:rStyle w:val="Hyperlink"/>
          </w:rPr>
          <w:t xml:space="preserve">[100]</w:t>
        </w:r>
      </w:hyperlink>
    </w:p>
    <w:p>
      <w:pPr>
        <w:pStyle w:val="BodyText"/>
      </w:pPr>
      <w:r>
        <w:rPr>
          <w:b/>
          <w:bCs/>
        </w:rPr>
        <w:t xml:space="preserve">Grade D for AS disease modification.</w:t>
      </w:r>
    </w:p>
    <w:bookmarkEnd w:id="106"/>
    <w:bookmarkStart w:id="107" w:name="X2e9348fa1acfbf0c52046bb3496525cd497f031"/>
    <w:p>
      <w:pPr>
        <w:pStyle w:val="Heading4"/>
      </w:pPr>
      <w:r>
        <w:t xml:space="preserve">Fasting, intermittent fasting and time-restricted eating</w:t>
      </w:r>
    </w:p>
    <w:p>
      <w:pPr>
        <w:pStyle w:val="FirstParagraph"/>
      </w:pPr>
      <w:r>
        <w:t xml:space="preserve">Potential mechanisms include energy deficit, lower adiposity, ketogenesis, circadian feeding alignment, autophagy and immunometabolic reprogramming.</w:t>
      </w:r>
    </w:p>
    <w:p>
      <w:pPr>
        <w:pStyle w:val="BodyText"/>
      </w:pPr>
      <w:r>
        <w:t xml:space="preserve">The crucial confounder is that fasting protocols commonly reduce energy intake and weight. Any benefit must therefore distinguish</w:t>
      </w:r>
      <w:r>
        <w:t xml:space="preserve"> </w:t>
      </w:r>
      <w:r>
        <w:rPr>
          <w:b/>
          <w:bCs/>
        </w:rPr>
        <w:t xml:space="preserve">fasting biology</w:t>
      </w:r>
      <w:r>
        <w:t xml:space="preserve"> </w:t>
      </w:r>
      <w:r>
        <w:t xml:space="preserve">from simple weight loss and improved metabolic health.</w:t>
      </w:r>
    </w:p>
    <w:p>
      <w:pPr>
        <w:pStyle w:val="BodyText"/>
      </w:pPr>
      <w:r>
        <w:t xml:space="preserve">Direct AS remission trials are lacking.</w:t>
      </w:r>
      <w:r>
        <w:t xml:space="preserve"> </w:t>
      </w:r>
      <w:r>
        <w:rPr>
          <w:b/>
          <w:bCs/>
        </w:rPr>
        <w:t xml:space="preserve">Grade D.</w:t>
      </w:r>
    </w:p>
    <w:bookmarkEnd w:id="107"/>
    <w:bookmarkStart w:id="108" w:name="eliminationaipgluten-free-diets"/>
    <w:p>
      <w:pPr>
        <w:pStyle w:val="Heading4"/>
      </w:pPr>
      <w:r>
        <w:t xml:space="preserve">Elimination/AIP/gluten-free diets</w:t>
      </w:r>
    </w:p>
    <w:p>
      <w:pPr>
        <w:pStyle w:val="FirstParagraph"/>
      </w:pPr>
      <w:r>
        <w:t xml:space="preserve">Unless a person has coeliac disease, allergy or another independently diagnosed indication, there is no robust AS evidence that gluten, dairy or broad AIP elimination specifically removes the disease trigger.</w:t>
      </w:r>
    </w:p>
    <w:p>
      <w:pPr>
        <w:pStyle w:val="BodyText"/>
      </w:pPr>
      <w:r>
        <w:t xml:space="preserve">The major published alternative-medicine AS case used a dairy-free, gluten-free and sugar-free diet together with multiple supplements after adalimumab withdrawal, making it impossible to identify which element mattered.</w:t>
      </w:r>
      <w:r>
        <w:t xml:space="preserve"> </w:t>
      </w:r>
      <w:hyperlink r:id="rId23">
        <w:r>
          <w:rPr>
            <w:rStyle w:val="Hyperlink"/>
          </w:rPr>
          <w:t xml:space="preserve">[14]</w:t>
        </w:r>
      </w:hyperlink>
    </w:p>
    <w:p>
      <w:pPr>
        <w:pStyle w:val="BodyText"/>
      </w:pPr>
      <w:r>
        <w:rPr>
          <w:b/>
          <w:bCs/>
        </w:rPr>
        <w:t xml:space="preserve">Grade E/C.</w:t>
      </w:r>
    </w:p>
    <w:bookmarkEnd w:id="108"/>
    <w:bookmarkStart w:id="109" w:name="plant-predominanthigh-fibre-diets"/>
    <w:p>
      <w:pPr>
        <w:pStyle w:val="Heading4"/>
      </w:pPr>
      <w:r>
        <w:t xml:space="preserve">Plant-predominant/high-fibre diets</w:t>
      </w:r>
    </w:p>
    <w:p>
      <w:pPr>
        <w:pStyle w:val="FirstParagraph"/>
      </w:pPr>
      <w:r>
        <w:t xml:space="preserve">Potential mechanisms include SCFA production, improved barrier biology, cardiometabolic improvements and lower adiposity.</w:t>
      </w:r>
    </w:p>
    <w:p>
      <w:pPr>
        <w:pStyle w:val="BodyText"/>
      </w:pPr>
      <w:r>
        <w:t xml:space="preserve">These mechanisms are plausible, but high fibre is not synonymous with anti-AS activity. No high-quality trial has demonstrated AS-specific remission.</w:t>
      </w:r>
      <w:r>
        <w:t xml:space="preserve"> </w:t>
      </w:r>
      <w:r>
        <w:rPr>
          <w:b/>
          <w:bCs/>
        </w:rPr>
        <w:t xml:space="preserve">Grade D/C.</w:t>
      </w:r>
    </w:p>
    <w:bookmarkEnd w:id="109"/>
    <w:bookmarkStart w:id="110" w:name="weightfat-mass-reduction"/>
    <w:p>
      <w:pPr>
        <w:pStyle w:val="Heading4"/>
      </w:pPr>
      <w:r>
        <w:t xml:space="preserve">Weight/fat-mass reduction</w:t>
      </w:r>
    </w:p>
    <w:p>
      <w:pPr>
        <w:pStyle w:val="FirstParagraph"/>
      </w:pPr>
      <w:r>
        <w:t xml:space="preserve">For patients with excess adiposity, this may be one of the more mechanistically credible interventions because it simultaneously reduces:</w:t>
      </w:r>
    </w:p>
    <w:p>
      <w:pPr>
        <w:pStyle w:val="BodyText"/>
      </w:pPr>
      <w:r>
        <w:t xml:space="preserve">mechanical entheseal load, leptin/adipokine signalling, insulin resistance, systemic inflammatory tone and cardiovascular risk.</w:t>
      </w:r>
    </w:p>
    <w:p>
      <w:pPr>
        <w:pStyle w:val="BodyText"/>
      </w:pPr>
      <w:r>
        <w:t xml:space="preserve">Lower BMI was associated with remission in DESIR, but that does not prove losing weight produces remission.</w:t>
      </w:r>
      <w:r>
        <w:t xml:space="preserve"> </w:t>
      </w:r>
      <w:hyperlink r:id="rId22">
        <w:r>
          <w:rPr>
            <w:rStyle w:val="Hyperlink"/>
          </w:rPr>
          <w:t xml:space="preserve">[65]</w:t>
        </w:r>
      </w:hyperlink>
    </w:p>
    <w:p>
      <w:pPr>
        <w:pStyle w:val="BodyText"/>
      </w:pPr>
      <w:r>
        <w:rPr>
          <w:b/>
          <w:bCs/>
        </w:rPr>
        <w:t xml:space="preserve">Association B; intervention causality C.</w:t>
      </w:r>
    </w:p>
    <w:bookmarkEnd w:id="110"/>
    <w:bookmarkEnd w:id="111"/>
    <w:bookmarkStart w:id="112" w:name="microbiome-directed-approaches"/>
    <w:p>
      <w:pPr>
        <w:pStyle w:val="Heading3"/>
      </w:pPr>
      <w:r>
        <w:t xml:space="preserve">Microbiome-directed approaches</w:t>
      </w:r>
    </w:p>
    <w:p>
      <w:pPr>
        <w:pStyle w:val="FirstParagraph"/>
      </w:pPr>
      <w:r>
        <w:rPr>
          <w:b/>
          <w:bCs/>
        </w:rPr>
        <w:t xml:space="preserve">Probiotics:</w:t>
      </w:r>
      <w:r>
        <w:t xml:space="preserve"> </w:t>
      </w:r>
      <w:r>
        <w:t xml:space="preserve">A randomized SpA trial did not demonstrate meaningful improvement. PMID 20716665. Subsequent reviews conclude existing probiotic evidence is insufficient. This is a valuable negative result against the simplistic “replace good bacteria” model.</w:t>
      </w:r>
      <w:r>
        <w:t xml:space="preserve"> </w:t>
      </w:r>
      <w:hyperlink r:id="rId20">
        <w:r>
          <w:rPr>
            <w:rStyle w:val="Hyperlink"/>
          </w:rPr>
          <w:t xml:space="preserve">[101]</w:t>
        </w:r>
      </w:hyperlink>
    </w:p>
    <w:p>
      <w:pPr>
        <w:pStyle w:val="BodyText"/>
      </w:pPr>
      <w:r>
        <w:rPr>
          <w:b/>
          <w:bCs/>
        </w:rPr>
        <w:t xml:space="preserve">Prebiotics/resistant starch:</w:t>
      </w:r>
      <w:r>
        <w:t xml:space="preserve"> </w:t>
      </w:r>
      <w:r>
        <w:t xml:space="preserve">Mechanistically capable of increasing SCFA production, but no AS-specific evidence establishes an optimal substrate. The conflict with low-starch/Klebsiella theory remains unresolved.</w:t>
      </w:r>
      <w:r>
        <w:t xml:space="preserve"> </w:t>
      </w:r>
      <w:r>
        <w:rPr>
          <w:b/>
          <w:bCs/>
        </w:rPr>
        <w:t xml:space="preserve">Grade D.</w:t>
      </w:r>
    </w:p>
    <w:p>
      <w:pPr>
        <w:pStyle w:val="BodyText"/>
      </w:pPr>
      <w:r>
        <w:rPr>
          <w:b/>
          <w:bCs/>
        </w:rPr>
        <w:t xml:space="preserve">Fermented foods:</w:t>
      </w:r>
      <w:r>
        <w:t xml:space="preserve"> </w:t>
      </w:r>
      <w:r>
        <w:t xml:space="preserve">plausible ecosystem/food-matrix effects, no convincing AS-specific efficacy evidence.</w:t>
      </w:r>
      <w:r>
        <w:t xml:space="preserve"> </w:t>
      </w:r>
      <w:r>
        <w:rPr>
          <w:b/>
          <w:bCs/>
        </w:rPr>
        <w:t xml:space="preserve">D.</w:t>
      </w:r>
    </w:p>
    <w:p>
      <w:pPr>
        <w:pStyle w:val="BodyText"/>
      </w:pPr>
      <w:r>
        <w:rPr>
          <w:b/>
          <w:bCs/>
        </w:rPr>
        <w:t xml:space="preserve">Postbiotics/butyrate:</w:t>
      </w:r>
      <w:r>
        <w:t xml:space="preserve"> </w:t>
      </w:r>
      <w:r>
        <w:t xml:space="preserve">mechanistically attractive for Treg/barrier/macrophage regulation, but direct axSpA human intervention evidence is inadequate.</w:t>
      </w:r>
      <w:r>
        <w:t xml:space="preserve"> </w:t>
      </w:r>
      <w:r>
        <w:rPr>
          <w:b/>
          <w:bCs/>
        </w:rPr>
        <w:t xml:space="preserve">D.</w:t>
      </w:r>
    </w:p>
    <w:p>
      <w:pPr>
        <w:pStyle w:val="BodyText"/>
      </w:pPr>
      <w:r>
        <w:rPr>
          <w:b/>
          <w:bCs/>
        </w:rPr>
        <w:t xml:space="preserve">FMT:</w:t>
      </w:r>
      <w:r>
        <w:t xml:space="preserve"> </w:t>
      </w:r>
      <w:r>
        <w:t xml:space="preserve">stronger causal perturbation than probiotics but clinically experimental; case evidence E and RCT evidence pending.</w:t>
      </w:r>
      <w:r>
        <w:t xml:space="preserve"> </w:t>
      </w:r>
      <w:hyperlink r:id="rId93">
        <w:r>
          <w:rPr>
            <w:rStyle w:val="Hyperlink"/>
          </w:rPr>
          <w:t xml:space="preserve">[102]</w:t>
        </w:r>
      </w:hyperlink>
    </w:p>
    <w:bookmarkEnd w:id="112"/>
    <w:bookmarkStart w:id="120" w:name="nutraceutical-evidence-audit"/>
    <w:p>
      <w:pPr>
        <w:pStyle w:val="Heading3"/>
      </w:pPr>
      <w:r>
        <w:t xml:space="preserve">Nutraceutical evidence audit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Compound</w:t>
            </w:r>
          </w:p>
        </w:tc>
        <w:tc>
          <w:tcPr/>
          <w:p>
            <w:pPr>
              <w:pStyle w:val="Compact"/>
            </w:pPr>
            <w:r>
              <w:t xml:space="preserve">Plausible mechanism</w:t>
            </w:r>
          </w:p>
        </w:tc>
        <w:tc>
          <w:tcPr/>
          <w:p>
            <w:pPr>
              <w:pStyle w:val="Compact"/>
            </w:pPr>
            <w:r>
              <w:t xml:space="preserve">AS-specific human evidence/dose</w:t>
            </w:r>
          </w:p>
        </w:tc>
        <w:tc>
          <w:tcPr/>
          <w:p>
            <w:pPr>
              <w:pStyle w:val="Compact"/>
            </w:pPr>
            <w:r>
              <w:t xml:space="preserve">Safety and interactions</w:t>
            </w:r>
          </w:p>
        </w:tc>
        <w:tc>
          <w:tcPr/>
          <w:p>
            <w:pPr>
              <w:pStyle w:val="Compact"/>
            </w:pPr>
            <w:r>
              <w:t xml:space="preserve">Verdict</w:t>
            </w:r>
          </w:p>
        </w:tc>
      </w:tr>
      <w:tr>
        <w:tc>
          <w:tcPr/>
          <w:p>
            <w:pPr>
              <w:pStyle w:val="Compact"/>
            </w:pPr>
            <w:r>
              <w:rPr>
                <w:b/>
                <w:bCs/>
              </w:rPr>
              <w:t xml:space="preserve">Omega-3 EPA/DHA</w:t>
            </w:r>
          </w:p>
        </w:tc>
        <w:tc>
          <w:tcPr/>
          <w:p>
            <w:pPr>
              <w:pStyle w:val="Compact"/>
            </w:pPr>
            <w:r>
              <w:t xml:space="preserve">Eicosanoid competition; SPM precursor biology</w:t>
            </w:r>
          </w:p>
        </w:tc>
        <w:tc>
          <w:tcPr/>
          <w:p>
            <w:pPr>
              <w:pStyle w:val="Compact"/>
            </w:pPr>
            <w:r>
              <w:t xml:space="preserve">24-person trial: 1.95 vs</w:t>
            </w:r>
            <w:r>
              <w:t xml:space="preserve"> </w:t>
            </w:r>
            <w:r>
              <w:rPr>
                <w:b/>
                <w:bCs/>
              </w:rPr>
              <w:t xml:space="preserve">4.55 g/day omega-3</w:t>
            </w:r>
            <w:r>
              <w:t xml:space="preserve"> </w:t>
            </w:r>
            <w:r>
              <w:t xml:space="preserve">for 21 weeks; possible benefit mainly high dose; PMID 17062435, DOI 10.1080/03009740600844357</w:t>
            </w:r>
            <w:r>
              <w:t xml:space="preserve"> </w:t>
            </w:r>
            <w:hyperlink r:id="rId21">
              <w:r>
                <w:rPr>
                  <w:rStyle w:val="Hyperlink"/>
                </w:rPr>
                <w:t xml:space="preserve">[103]</w:t>
              </w:r>
            </w:hyperlink>
          </w:p>
        </w:tc>
        <w:tc>
          <w:tcPr/>
          <w:p>
            <w:pPr>
              <w:pStyle w:val="Compact"/>
            </w:pPr>
            <w:r>
              <w:t xml:space="preserve">GI effects; high doses have antiplatelet effects and merit attention with anticoagulants, although clinically important warfarin effects have not been consistently observed</w:t>
            </w:r>
            <w:r>
              <w:t xml:space="preserve"> </w:t>
            </w:r>
            <w:hyperlink r:id="rId113">
              <w:r>
                <w:rPr>
                  <w:rStyle w:val="Hyperlink"/>
                </w:rPr>
                <w:t xml:space="preserve">[104]</w:t>
              </w:r>
            </w:hyperlink>
          </w:p>
        </w:tc>
        <w:tc>
          <w:tcPr/>
          <w:p>
            <w:pPr>
              <w:pStyle w:val="Compact"/>
            </w:pPr>
            <w:r>
              <w:rPr>
                <w:b/>
                <w:bCs/>
              </w:rPr>
              <w:t xml:space="preserve">C</w:t>
            </w:r>
          </w:p>
        </w:tc>
      </w:tr>
      <w:tr>
        <w:tc>
          <w:tcPr/>
          <w:p>
            <w:pPr>
              <w:pStyle w:val="Compact"/>
            </w:pPr>
            <w:r>
              <w:rPr>
                <w:b/>
                <w:bCs/>
              </w:rPr>
              <w:t xml:space="preserve">Vitamin D</w:t>
            </w:r>
          </w:p>
        </w:tc>
        <w:tc>
          <w:tcPr/>
          <w:p>
            <w:pPr>
              <w:pStyle w:val="Compact"/>
            </w:pPr>
            <w:r>
              <w:t xml:space="preserve">Immune differentiation, bone/mineral biology</w:t>
            </w:r>
          </w:p>
        </w:tc>
        <w:tc>
          <w:tcPr/>
          <w:p>
            <w:pPr>
              <w:pStyle w:val="Compact"/>
            </w:pPr>
            <w:r>
              <w:t xml:space="preserve">Deficiency correlates with activity; no established AS therapeutic dose or robust remission RCT</w:t>
            </w:r>
            <w:r>
              <w:t xml:space="preserve"> </w:t>
            </w:r>
            <w:hyperlink r:id="rId74">
              <w:r>
                <w:rPr>
                  <w:rStyle w:val="Hyperlink"/>
                </w:rPr>
                <w:t xml:space="preserve">[105]</w:t>
              </w:r>
            </w:hyperlink>
          </w:p>
        </w:tc>
        <w:tc>
          <w:tcPr/>
          <w:p>
            <w:pPr>
              <w:pStyle w:val="Compact"/>
            </w:pPr>
            <w:r>
              <w:t xml:space="preserve">Excess causes hypercalcaemia/hypercalciuria and can injure kidneys; dose should be guided by actual status when treating deficiency</w:t>
            </w:r>
            <w:r>
              <w:t xml:space="preserve"> </w:t>
            </w:r>
            <w:hyperlink r:id="rId114">
              <w:r>
                <w:rPr>
                  <w:rStyle w:val="Hyperlink"/>
                </w:rPr>
                <w:t xml:space="preserve">[106]</w:t>
              </w:r>
            </w:hyperlink>
          </w:p>
        </w:tc>
        <w:tc>
          <w:tcPr/>
          <w:p>
            <w:pPr>
              <w:pStyle w:val="Compact"/>
            </w:pPr>
            <w:r>
              <w:rPr>
                <w:b/>
                <w:bCs/>
              </w:rPr>
              <w:t xml:space="preserve">B for correcting deficiency/bone health; D for AS remission</w:t>
            </w:r>
          </w:p>
        </w:tc>
      </w:tr>
      <w:tr>
        <w:tc>
          <w:tcPr/>
          <w:p>
            <w:pPr>
              <w:pStyle w:val="Compact"/>
            </w:pPr>
            <w:r>
              <w:rPr>
                <w:b/>
                <w:bCs/>
              </w:rPr>
              <w:t xml:space="preserve">Magnesium</w:t>
            </w:r>
          </w:p>
        </w:tc>
        <w:tc>
          <w:tcPr/>
          <w:p>
            <w:pPr>
              <w:pStyle w:val="Compact"/>
            </w:pPr>
            <w:r>
              <w:t xml:space="preserve">Enzyme/ATP/mitochondrial physiology; deficiency may increase inflammatory stress</w:t>
            </w:r>
          </w:p>
        </w:tc>
        <w:tc>
          <w:tcPr/>
          <w:p>
            <w:pPr>
              <w:pStyle w:val="Compact"/>
            </w:pPr>
            <w:r>
              <w:t xml:space="preserve">No replicated AS RCT demonstrating efficacy</w:t>
            </w:r>
          </w:p>
        </w:tc>
        <w:tc>
          <w:tcPr/>
          <w:p>
            <w:pPr>
              <w:pStyle w:val="Compact"/>
            </w:pPr>
            <w:r>
              <w:t xml:space="preserve">Supplements interact with tetracycline/quinolone antibiotics and bisphosphonates; excess particularly problematic with renal impairment</w:t>
            </w:r>
            <w:r>
              <w:t xml:space="preserve"> </w:t>
            </w:r>
            <w:hyperlink r:id="rId115">
              <w:r>
                <w:rPr>
                  <w:rStyle w:val="Hyperlink"/>
                </w:rPr>
                <w:t xml:space="preserve">[107]</w:t>
              </w:r>
            </w:hyperlink>
          </w:p>
        </w:tc>
        <w:tc>
          <w:tcPr/>
          <w:p>
            <w:pPr>
              <w:pStyle w:val="Compact"/>
            </w:pPr>
            <w:r>
              <w:rPr>
                <w:b/>
                <w:bCs/>
              </w:rPr>
              <w:t xml:space="preserve">D</w:t>
            </w:r>
          </w:p>
        </w:tc>
      </w:tr>
      <w:tr>
        <w:tc>
          <w:tcPr/>
          <w:p>
            <w:pPr>
              <w:pStyle w:val="Compact"/>
            </w:pPr>
            <w:r>
              <w:rPr>
                <w:b/>
                <w:bCs/>
              </w:rPr>
              <w:t xml:space="preserve">Curcumin</w:t>
            </w:r>
          </w:p>
        </w:tc>
        <w:tc>
          <w:tcPr/>
          <w:p>
            <w:pPr>
              <w:pStyle w:val="Compact"/>
            </w:pPr>
            <w:r>
              <w:t xml:space="preserve">NF-κB, cytokine/redox/inflammasome effects</w:t>
            </w:r>
          </w:p>
        </w:tc>
        <w:tc>
          <w:tcPr/>
          <w:p>
            <w:pPr>
              <w:pStyle w:val="Compact"/>
            </w:pPr>
            <w:r>
              <w:t xml:space="preserve">No high-quality replicated AS trial; present in isolated multimodal cases and uncertain “spondylitis” trials</w:t>
            </w:r>
          </w:p>
        </w:tc>
        <w:tc>
          <w:tcPr/>
          <w:p>
            <w:pPr>
              <w:pStyle w:val="Compact"/>
            </w:pPr>
            <w:r>
              <w:t xml:space="preserve">GI effects; formulation-dependent exposure; potential drug/bleeding interactions warrant review</w:t>
            </w:r>
          </w:p>
        </w:tc>
        <w:tc>
          <w:tcPr/>
          <w:p>
            <w:pPr>
              <w:pStyle w:val="Compact"/>
            </w:pPr>
            <w:r>
              <w:rPr>
                <w:b/>
                <w:bCs/>
              </w:rPr>
              <w:t xml:space="preserve">D/E AS-specific</w:t>
            </w:r>
          </w:p>
        </w:tc>
      </w:tr>
      <w:tr>
        <w:tc>
          <w:tcPr/>
          <w:p>
            <w:pPr>
              <w:pStyle w:val="Compact"/>
            </w:pPr>
            <w:r>
              <w:rPr>
                <w:b/>
                <w:bCs/>
              </w:rPr>
              <w:t xml:space="preserve">Boswellia</w:t>
            </w:r>
          </w:p>
        </w:tc>
        <w:tc>
          <w:tcPr/>
          <w:p>
            <w:pPr>
              <w:pStyle w:val="Compact"/>
            </w:pPr>
            <w:r>
              <w:t xml:space="preserve">5-LOX/eicosanoid and inflammatory signalling</w:t>
            </w:r>
          </w:p>
        </w:tc>
        <w:tc>
          <w:tcPr/>
          <w:p>
            <w:pPr>
              <w:pStyle w:val="Compact"/>
            </w:pPr>
            <w:r>
              <w:t xml:space="preserve">2025 trial in a broadly defined “spondylitis” population reported symptom/marker changes, but diagnostic specificity for axSpA is insufficient to establish AS efficacy</w:t>
            </w:r>
            <w:r>
              <w:t xml:space="preserve"> </w:t>
            </w:r>
            <w:hyperlink r:id="rId116">
              <w:r>
                <w:rPr>
                  <w:rStyle w:val="Hyperlink"/>
                </w:rPr>
                <w:t xml:space="preserve">[108]</w:t>
              </w:r>
            </w:hyperlink>
          </w:p>
        </w:tc>
        <w:tc>
          <w:tcPr/>
          <w:p>
            <w:pPr>
              <w:pStyle w:val="Compact"/>
            </w:pPr>
            <w:r>
              <w:t xml:space="preserve">GI and potential drug interactions</w:t>
            </w:r>
          </w:p>
        </w:tc>
        <w:tc>
          <w:tcPr/>
          <w:p>
            <w:pPr>
              <w:pStyle w:val="Compact"/>
            </w:pPr>
            <w:r>
              <w:rPr>
                <w:b/>
                <w:bCs/>
              </w:rPr>
              <w:t xml:space="preserve">C/D</w:t>
            </w:r>
          </w:p>
        </w:tc>
      </w:tr>
      <w:tr>
        <w:tc>
          <w:tcPr/>
          <w:p>
            <w:pPr>
              <w:pStyle w:val="Compact"/>
            </w:pPr>
            <w:r>
              <w:rPr>
                <w:b/>
                <w:bCs/>
              </w:rPr>
              <w:t xml:space="preserve">NAC</w:t>
            </w:r>
          </w:p>
        </w:tc>
        <w:tc>
          <w:tcPr/>
          <w:p>
            <w:pPr>
              <w:pStyle w:val="Compact"/>
            </w:pPr>
            <w:r>
              <w:t xml:space="preserve">Cysteine donor, glutathione/redox support; potential NLRP3 modulation</w:t>
            </w:r>
          </w:p>
        </w:tc>
        <w:tc>
          <w:tcPr/>
          <w:p>
            <w:pPr>
              <w:pStyle w:val="Compact"/>
            </w:pPr>
            <w:r>
              <w:t xml:space="preserve">No convincing AS efficacy trial</w:t>
            </w:r>
          </w:p>
        </w:tc>
        <w:tc>
          <w:tcPr/>
          <w:p>
            <w:pPr>
              <w:pStyle w:val="Compact"/>
            </w:pPr>
            <w:r>
              <w:t xml:space="preserve">Can cause GI symptoms; medication interactions possible</w:t>
            </w:r>
          </w:p>
        </w:tc>
        <w:tc>
          <w:tcPr/>
          <w:p>
            <w:pPr>
              <w:pStyle w:val="Compact"/>
            </w:pPr>
            <w:r>
              <w:rPr>
                <w:b/>
                <w:bCs/>
              </w:rPr>
              <w:t xml:space="preserve">D</w:t>
            </w:r>
          </w:p>
        </w:tc>
      </w:tr>
      <w:tr>
        <w:tc>
          <w:tcPr/>
          <w:p>
            <w:pPr>
              <w:pStyle w:val="Compact"/>
            </w:pPr>
            <w:r>
              <w:rPr>
                <w:b/>
                <w:bCs/>
              </w:rPr>
              <w:t xml:space="preserve">Glutathione</w:t>
            </w:r>
          </w:p>
        </w:tc>
        <w:tc>
          <w:tcPr/>
          <w:p>
            <w:pPr>
              <w:pStyle w:val="Compact"/>
            </w:pPr>
            <w:r>
              <w:t xml:space="preserve">Antioxidant/redox system</w:t>
            </w:r>
          </w:p>
        </w:tc>
        <w:tc>
          <w:tcPr/>
          <w:p>
            <w:pPr>
              <w:pStyle w:val="Compact"/>
            </w:pPr>
            <w:r>
              <w:t xml:space="preserve">No meaningful AS evidence</w:t>
            </w:r>
          </w:p>
        </w:tc>
        <w:tc>
          <w:tcPr/>
          <w:p>
            <w:pPr>
              <w:pStyle w:val="Compact"/>
            </w:pPr>
            <w:r>
              <w:t xml:space="preserve">Oral bioavailability/formulation variable</w:t>
            </w:r>
          </w:p>
        </w:tc>
        <w:tc>
          <w:tcPr/>
          <w:p>
            <w:pPr>
              <w:pStyle w:val="Compact"/>
            </w:pPr>
            <w:r>
              <w:rPr>
                <w:b/>
                <w:bCs/>
              </w:rPr>
              <w:t xml:space="preserve">D</w:t>
            </w:r>
          </w:p>
        </w:tc>
      </w:tr>
      <w:tr>
        <w:tc>
          <w:tcPr/>
          <w:p>
            <w:pPr>
              <w:pStyle w:val="Compact"/>
            </w:pPr>
            <w:r>
              <w:rPr>
                <w:b/>
                <w:bCs/>
              </w:rPr>
              <w:t xml:space="preserve">Quercetin</w:t>
            </w:r>
          </w:p>
        </w:tc>
        <w:tc>
          <w:tcPr/>
          <w:p>
            <w:pPr>
              <w:pStyle w:val="Compact"/>
            </w:pPr>
            <w:r>
              <w:t xml:space="preserve">NF-κB/redox signalling in experimental models</w:t>
            </w:r>
          </w:p>
        </w:tc>
        <w:tc>
          <w:tcPr/>
          <w:p>
            <w:pPr>
              <w:pStyle w:val="Compact"/>
            </w:pPr>
            <w:r>
              <w:t xml:space="preserve">No AS clinical efficacy evidence</w:t>
            </w:r>
          </w:p>
        </w:tc>
        <w:tc>
          <w:tcPr/>
          <w:p>
            <w:pPr>
              <w:pStyle w:val="Compact"/>
            </w:pPr>
            <w:r>
              <w:t xml:space="preserve">High-dose supplement pharmacology/interactions poorly characterized</w:t>
            </w:r>
          </w:p>
        </w:tc>
        <w:tc>
          <w:tcPr/>
          <w:p>
            <w:pPr>
              <w:pStyle w:val="Compact"/>
            </w:pPr>
            <w:r>
              <w:rPr>
                <w:b/>
                <w:bCs/>
              </w:rPr>
              <w:t xml:space="preserve">D</w:t>
            </w:r>
          </w:p>
        </w:tc>
      </w:tr>
      <w:tr>
        <w:tc>
          <w:tcPr/>
          <w:p>
            <w:pPr>
              <w:pStyle w:val="Compact"/>
            </w:pPr>
            <w:r>
              <w:rPr>
                <w:b/>
                <w:bCs/>
              </w:rPr>
              <w:t xml:space="preserve">Resveratrol</w:t>
            </w:r>
          </w:p>
        </w:tc>
        <w:tc>
          <w:tcPr/>
          <w:p>
            <w:pPr>
              <w:pStyle w:val="Compact"/>
            </w:pPr>
            <w:r>
              <w:t xml:space="preserve">SIRT/AMPK/redox signalling</w:t>
            </w:r>
          </w:p>
        </w:tc>
        <w:tc>
          <w:tcPr/>
          <w:p>
            <w:pPr>
              <w:pStyle w:val="Compact"/>
            </w:pPr>
            <w:r>
              <w:t xml:space="preserve">No AS-specific therapeutic evidence</w:t>
            </w:r>
          </w:p>
        </w:tc>
        <w:tc>
          <w:tcPr/>
          <w:p>
            <w:pPr>
              <w:pStyle w:val="Compact"/>
            </w:pPr>
            <w:r>
              <w:t xml:space="preserve">GI effects and drug interactions at supplemental doses</w:t>
            </w:r>
          </w:p>
        </w:tc>
        <w:tc>
          <w:tcPr/>
          <w:p>
            <w:pPr>
              <w:pStyle w:val="Compact"/>
            </w:pPr>
            <w:r>
              <w:rPr>
                <w:b/>
                <w:bCs/>
              </w:rPr>
              <w:t xml:space="preserve">D</w:t>
            </w:r>
          </w:p>
        </w:tc>
      </w:tr>
      <w:tr>
        <w:tc>
          <w:tcPr/>
          <w:p>
            <w:pPr>
              <w:pStyle w:val="Compact"/>
            </w:pPr>
            <w:r>
              <w:rPr>
                <w:b/>
                <w:bCs/>
              </w:rPr>
              <w:t xml:space="preserve">Berberine</w:t>
            </w:r>
          </w:p>
        </w:tc>
        <w:tc>
          <w:tcPr/>
          <w:p>
            <w:pPr>
              <w:pStyle w:val="Compact"/>
            </w:pPr>
            <w:r>
              <w:t xml:space="preserve">AMPK/metabolic and microbiome effects; experimental NLRP3 effects</w:t>
            </w:r>
          </w:p>
        </w:tc>
        <w:tc>
          <w:tcPr/>
          <w:p>
            <w:pPr>
              <w:pStyle w:val="Compact"/>
            </w:pPr>
            <w:r>
              <w:t xml:space="preserve">No AS clinical evidence</w:t>
            </w:r>
          </w:p>
        </w:tc>
        <w:tc>
          <w:tcPr/>
          <w:p>
            <w:pPr>
              <w:pStyle w:val="Compact"/>
            </w:pPr>
            <w:r>
              <w:t xml:space="preserve">Substantial potential for GI effects and drug–metabolism interactions</w:t>
            </w:r>
          </w:p>
        </w:tc>
        <w:tc>
          <w:tcPr/>
          <w:p>
            <w:pPr>
              <w:pStyle w:val="Compact"/>
            </w:pPr>
            <w:r>
              <w:rPr>
                <w:b/>
                <w:bCs/>
              </w:rPr>
              <w:t xml:space="preserve">D</w:t>
            </w:r>
          </w:p>
        </w:tc>
      </w:tr>
      <w:tr>
        <w:tc>
          <w:tcPr/>
          <w:p>
            <w:pPr>
              <w:pStyle w:val="Compact"/>
            </w:pPr>
            <w:r>
              <w:rPr>
                <w:b/>
                <w:bCs/>
              </w:rPr>
              <w:t xml:space="preserve">Zinc</w:t>
            </w:r>
          </w:p>
        </w:tc>
        <w:tc>
          <w:tcPr/>
          <w:p>
            <w:pPr>
              <w:pStyle w:val="Compact"/>
            </w:pPr>
            <w:r>
              <w:t xml:space="preserve">Barrier and immune enzyme function</w:t>
            </w:r>
          </w:p>
        </w:tc>
        <w:tc>
          <w:tcPr/>
          <w:p>
            <w:pPr>
              <w:pStyle w:val="Compact"/>
            </w:pPr>
            <w:r>
              <w:t xml:space="preserve">No evidence that supplementation without deficiency treats AS; MR evidence does not support a clear causal mineral–AS relationship</w:t>
            </w:r>
            <w:r>
              <w:t xml:space="preserve"> </w:t>
            </w:r>
            <w:hyperlink r:id="rId117">
              <w:r>
                <w:rPr>
                  <w:rStyle w:val="Hyperlink"/>
                </w:rPr>
                <w:t xml:space="preserve">[109]</w:t>
              </w:r>
            </w:hyperlink>
          </w:p>
        </w:tc>
        <w:tc>
          <w:tcPr/>
          <w:p>
            <w:pPr>
              <w:pStyle w:val="Compact"/>
            </w:pPr>
            <w:r>
              <w:t xml:space="preserve">Chronic high dosing can impair copper absorption and cause copper deficiency</w:t>
            </w:r>
            <w:r>
              <w:t xml:space="preserve"> </w:t>
            </w:r>
            <w:hyperlink r:id="rId118">
              <w:r>
                <w:rPr>
                  <w:rStyle w:val="Hyperlink"/>
                </w:rPr>
                <w:t xml:space="preserve">[110]</w:t>
              </w:r>
            </w:hyperlink>
          </w:p>
        </w:tc>
        <w:tc>
          <w:tcPr/>
          <w:p>
            <w:pPr>
              <w:pStyle w:val="Compact"/>
            </w:pPr>
            <w:r>
              <w:rPr>
                <w:b/>
                <w:bCs/>
              </w:rPr>
              <w:t xml:space="preserve">D unless deficient</w:t>
            </w:r>
          </w:p>
        </w:tc>
      </w:tr>
      <w:tr>
        <w:tc>
          <w:tcPr/>
          <w:p>
            <w:pPr>
              <w:pStyle w:val="Compact"/>
            </w:pPr>
            <w:r>
              <w:rPr>
                <w:b/>
                <w:bCs/>
              </w:rPr>
              <w:t xml:space="preserve">Selenium</w:t>
            </w:r>
          </w:p>
        </w:tc>
        <w:tc>
          <w:tcPr/>
          <w:p>
            <w:pPr>
              <w:pStyle w:val="Compact"/>
            </w:pPr>
            <w:r>
              <w:t xml:space="preserve">Selenoprotein/redox systems</w:t>
            </w:r>
          </w:p>
        </w:tc>
        <w:tc>
          <w:tcPr/>
          <w:p>
            <w:pPr>
              <w:pStyle w:val="Compact"/>
            </w:pPr>
            <w:r>
              <w:t xml:space="preserve">No AS therapeutic evidence</w:t>
            </w:r>
          </w:p>
        </w:tc>
        <w:tc>
          <w:tcPr/>
          <w:p>
            <w:pPr>
              <w:pStyle w:val="Compact"/>
            </w:pPr>
            <w:r>
              <w:t xml:space="preserve">Excess can cause hair/nail abnormalities, GI and neurological toxicity and, at extreme exposure, major organ toxicity</w:t>
            </w:r>
            <w:r>
              <w:t xml:space="preserve"> </w:t>
            </w:r>
            <w:hyperlink r:id="rId119">
              <w:r>
                <w:rPr>
                  <w:rStyle w:val="Hyperlink"/>
                </w:rPr>
                <w:t xml:space="preserve">[111]</w:t>
              </w:r>
            </w:hyperlink>
          </w:p>
        </w:tc>
        <w:tc>
          <w:tcPr/>
          <w:p>
            <w:pPr>
              <w:pStyle w:val="Compact"/>
            </w:pPr>
            <w:r>
              <w:rPr>
                <w:b/>
                <w:bCs/>
              </w:rPr>
              <w:t xml:space="preserve">D unless deficient</w:t>
            </w:r>
          </w:p>
        </w:tc>
      </w:tr>
      <w:tr>
        <w:tc>
          <w:tcPr/>
          <w:p>
            <w:pPr>
              <w:pStyle w:val="Compact"/>
            </w:pPr>
            <w:r>
              <w:rPr>
                <w:b/>
                <w:bCs/>
              </w:rPr>
              <w:t xml:space="preserve">Glycine</w:t>
            </w:r>
          </w:p>
        </w:tc>
        <w:tc>
          <w:tcPr/>
          <w:p>
            <w:pPr>
              <w:pStyle w:val="Compact"/>
            </w:pPr>
            <w:r>
              <w:t xml:space="preserve">Metabolic/neurotransmitter and glutathione precursor roles</w:t>
            </w:r>
          </w:p>
        </w:tc>
        <w:tc>
          <w:tcPr/>
          <w:p>
            <w:pPr>
              <w:pStyle w:val="Compact"/>
            </w:pPr>
            <w:r>
              <w:t xml:space="preserve">No AS clinical evidence</w:t>
            </w:r>
          </w:p>
        </w:tc>
        <w:tc>
          <w:tcPr/>
          <w:p>
            <w:pPr>
              <w:pStyle w:val="Compact"/>
            </w:pPr>
            <w:r>
              <w:t xml:space="preserve">Generally food-compatible, but therapeutic AS dosing undefined</w:t>
            </w:r>
          </w:p>
        </w:tc>
        <w:tc>
          <w:tcPr/>
          <w:p>
            <w:pPr>
              <w:pStyle w:val="Compact"/>
            </w:pPr>
            <w:r>
              <w:rPr>
                <w:b/>
                <w:bCs/>
              </w:rPr>
              <w:t xml:space="preserve">D</w:t>
            </w:r>
          </w:p>
        </w:tc>
      </w:tr>
      <w:tr>
        <w:tc>
          <w:tcPr/>
          <w:p>
            <w:pPr>
              <w:pStyle w:val="Compact"/>
            </w:pPr>
            <w:r>
              <w:rPr>
                <w:b/>
                <w:bCs/>
              </w:rPr>
              <w:t xml:space="preserve">Probiotics</w:t>
            </w:r>
          </w:p>
        </w:tc>
        <w:tc>
          <w:tcPr/>
          <w:p>
            <w:pPr>
              <w:pStyle w:val="Compact"/>
            </w:pPr>
            <w:r>
              <w:t xml:space="preserve">Barrier/microbiota modulation</w:t>
            </w:r>
          </w:p>
        </w:tc>
        <w:tc>
          <w:tcPr/>
          <w:p>
            <w:pPr>
              <w:pStyle w:val="Compact"/>
            </w:pPr>
            <w:r>
              <w:t xml:space="preserve">Controlled SpA trial negative; PMID 20716665</w:t>
            </w:r>
            <w:r>
              <w:t xml:space="preserve"> </w:t>
            </w:r>
            <w:hyperlink r:id="rId20">
              <w:r>
                <w:rPr>
                  <w:rStyle w:val="Hyperlink"/>
                </w:rPr>
                <w:t xml:space="preserve">[112]</w:t>
              </w:r>
            </w:hyperlink>
          </w:p>
        </w:tc>
        <w:tc>
          <w:tcPr/>
          <w:p>
            <w:pPr>
              <w:pStyle w:val="Compact"/>
            </w:pPr>
            <w:r>
              <w:t xml:space="preserve">Usually mild GI effects; infection risk can matter in severely immunocompromised hosts</w:t>
            </w:r>
          </w:p>
        </w:tc>
        <w:tc>
          <w:tcPr/>
          <w:p>
            <w:pPr>
              <w:pStyle w:val="Compact"/>
            </w:pPr>
            <w:r>
              <w:rPr>
                <w:b/>
                <w:bCs/>
              </w:rPr>
              <w:t xml:space="preserve">C, negative</w:t>
            </w:r>
          </w:p>
        </w:tc>
      </w:tr>
      <w:tr>
        <w:tc>
          <w:tcPr/>
          <w:p>
            <w:pPr>
              <w:pStyle w:val="Compact"/>
            </w:pPr>
            <w:r>
              <w:rPr>
                <w:b/>
                <w:bCs/>
              </w:rPr>
              <w:t xml:space="preserve">Prebiotics</w:t>
            </w:r>
          </w:p>
        </w:tc>
        <w:tc>
          <w:tcPr/>
          <w:p>
            <w:pPr>
              <w:pStyle w:val="Compact"/>
            </w:pPr>
            <w:r>
              <w:t xml:space="preserve">SCFA/microbiota substrate</w:t>
            </w:r>
          </w:p>
        </w:tc>
        <w:tc>
          <w:tcPr/>
          <w:p>
            <w:pPr>
              <w:pStyle w:val="Compact"/>
            </w:pPr>
            <w:r>
              <w:t xml:space="preserve">No AS efficacy dose established</w:t>
            </w:r>
          </w:p>
        </w:tc>
        <w:tc>
          <w:tcPr/>
          <w:p>
            <w:pPr>
              <w:pStyle w:val="Compact"/>
            </w:pPr>
            <w:r>
              <w:t xml:space="preserve">Gas/GI intolerance possible</w:t>
            </w:r>
          </w:p>
        </w:tc>
        <w:tc>
          <w:tcPr/>
          <w:p>
            <w:pPr>
              <w:pStyle w:val="Compact"/>
            </w:pPr>
            <w:r>
              <w:rPr>
                <w:b/>
                <w:bCs/>
              </w:rPr>
              <w:t xml:space="preserve">D</w:t>
            </w:r>
          </w:p>
        </w:tc>
      </w:tr>
      <w:tr>
        <w:tc>
          <w:tcPr/>
          <w:p>
            <w:pPr>
              <w:pStyle w:val="Compact"/>
            </w:pPr>
            <w:r>
              <w:rPr>
                <w:b/>
                <w:bCs/>
              </w:rPr>
              <w:t xml:space="preserve">SPM/resolvin supplements</w:t>
            </w:r>
          </w:p>
        </w:tc>
        <w:tc>
          <w:tcPr/>
          <w:p>
            <w:pPr>
              <w:pStyle w:val="Compact"/>
            </w:pPr>
            <w:r>
              <w:t xml:space="preserve">Direct pro-resolution signalling</w:t>
            </w:r>
          </w:p>
        </w:tc>
        <w:tc>
          <w:tcPr/>
          <w:p>
            <w:pPr>
              <w:pStyle w:val="Compact"/>
            </w:pPr>
            <w:r>
              <w:t xml:space="preserve">No convincing AS intervention trial</w:t>
            </w:r>
          </w:p>
        </w:tc>
        <w:tc>
          <w:tcPr/>
          <w:p>
            <w:pPr>
              <w:pStyle w:val="Compact"/>
            </w:pPr>
            <w:r>
              <w:t xml:space="preserve">Products/doses not clinically validated</w:t>
            </w:r>
          </w:p>
        </w:tc>
        <w:tc>
          <w:tcPr/>
          <w:p>
            <w:pPr>
              <w:pStyle w:val="Compact"/>
            </w:pPr>
            <w:r>
              <w:rPr>
                <w:b/>
                <w:bCs/>
              </w:rPr>
              <w:t xml:space="preserve">D</w:t>
            </w:r>
          </w:p>
        </w:tc>
      </w:tr>
    </w:tbl>
    <w:p>
      <w:pPr>
        <w:pStyle w:val="BodyText"/>
      </w:pPr>
      <w:r>
        <w:t xml:space="preserve">There is therefore</w:t>
      </w:r>
      <w:r>
        <w:t xml:space="preserve"> </w:t>
      </w:r>
      <w:r>
        <w:rPr>
          <w:b/>
          <w:bCs/>
        </w:rPr>
        <w:t xml:space="preserve">no rational evidence-based “AS supplement stack.”</w:t>
      </w:r>
      <w:r>
        <w:t xml:space="preserve"> </w:t>
      </w:r>
      <w:r>
        <w:t xml:space="preserve">The strongest role of laboratory testing is identifying genuine deficiency or comorbidity, not optimizing dozens of unvalidated inflammatory biomarkers.</w:t>
      </w:r>
    </w:p>
    <w:bookmarkEnd w:id="120"/>
    <w:bookmarkStart w:id="122" w:name="exercise-and-load-management"/>
    <w:p>
      <w:pPr>
        <w:pStyle w:val="Heading3"/>
      </w:pPr>
      <w:r>
        <w:t xml:space="preserve">Exercise and load management</w:t>
      </w:r>
    </w:p>
    <w:p>
      <w:pPr>
        <w:pStyle w:val="FirstParagraph"/>
      </w:pPr>
      <w:r>
        <w:t xml:space="preserve">This is the strongest non-drug domain.</w:t>
      </w:r>
    </w:p>
    <w:p>
      <w:pPr>
        <w:pStyle w:val="BodyText"/>
      </w:pPr>
      <w:r>
        <w:t xml:space="preserve">A practical mechanistic framework is:</w:t>
      </w:r>
    </w:p>
    <w:p>
      <w:pPr>
        <w:pStyle w:val="BodyText"/>
      </w:pPr>
      <w:r>
        <w:rPr>
          <w:b/>
          <w:bCs/>
        </w:rPr>
        <w:t xml:space="preserve">aerobic exercise → cardiorespiratory and metabolic adaptation + myokines + lower visceral adiposity + improved autonomic function;</w:t>
      </w:r>
    </w:p>
    <w:p>
      <w:pPr>
        <w:pStyle w:val="BodyText"/>
      </w:pPr>
      <w:r>
        <w:rPr>
          <w:b/>
          <w:bCs/>
        </w:rPr>
        <w:t xml:space="preserve">resistance exercise → higher muscle/tendon capacity and better load distribution;</w:t>
      </w:r>
    </w:p>
    <w:p>
      <w:pPr>
        <w:pStyle w:val="BodyText"/>
      </w:pPr>
      <w:r>
        <w:rPr>
          <w:b/>
          <w:bCs/>
        </w:rPr>
        <w:t xml:space="preserve">mobility/postural work → preservation of range and function;</w:t>
      </w:r>
    </w:p>
    <w:p>
      <w:pPr>
        <w:pStyle w:val="BodyText"/>
      </w:pPr>
      <w:r>
        <w:rPr>
          <w:b/>
          <w:bCs/>
        </w:rPr>
        <w:t xml:space="preserve">load management → avoidance of abrupt focal overload while maintaining enough stimulus for adaptation.</w:t>
      </w:r>
    </w:p>
    <w:p>
      <w:pPr>
        <w:pStyle w:val="BodyText"/>
      </w:pPr>
      <w:r>
        <w:t xml:space="preserve">Randomized and meta-analytic evidence supports exercise for disease activity, function and symptoms, and current management guidelines explicitly recommend regular exercise/physiotherapy.</w:t>
      </w:r>
      <w:r>
        <w:t xml:space="preserve"> </w:t>
      </w:r>
      <w:hyperlink r:id="rId121">
        <w:r>
          <w:rPr>
            <w:rStyle w:val="Hyperlink"/>
          </w:rPr>
          <w:t xml:space="preserve">[113]</w:t>
        </w:r>
      </w:hyperlink>
    </w:p>
    <w:p>
      <w:pPr>
        <w:pStyle w:val="BodyText"/>
      </w:pPr>
      <w:r>
        <w:t xml:space="preserve">Swimming and walking can be useful low-impact modes, but no evidence demonstrates that swimming possesses a unique anti-cytokine effect. The important variables are</w:t>
      </w:r>
      <w:r>
        <w:t xml:space="preserve"> </w:t>
      </w:r>
      <w:r>
        <w:rPr>
          <w:b/>
          <w:bCs/>
        </w:rPr>
        <w:t xml:space="preserve">adherence, progressive overload, cardiorespiratory dose and symptom-compatible load selection</w:t>
      </w:r>
      <w:r>
        <w:t xml:space="preserve">, not a particular sport.</w:t>
      </w:r>
    </w:p>
    <w:p>
      <w:pPr>
        <w:pStyle w:val="BodyText"/>
      </w:pPr>
      <w:r>
        <w:t xml:space="preserve">High-intensity exercise can be appropriate in selected patients and has trial support; this directly contradicts the simplistic claim that mechanical stress should always be minimized in AS.</w:t>
      </w:r>
      <w:r>
        <w:t xml:space="preserve"> </w:t>
      </w:r>
      <w:hyperlink r:id="rId19">
        <w:r>
          <w:rPr>
            <w:rStyle w:val="Hyperlink"/>
          </w:rPr>
          <w:t xml:space="preserve">[114]</w:t>
        </w:r>
      </w:hyperlink>
    </w:p>
    <w:bookmarkEnd w:id="122"/>
    <w:bookmarkStart w:id="123" w:name="sleep-and-stress-interventions"/>
    <w:p>
      <w:pPr>
        <w:pStyle w:val="Heading3"/>
      </w:pPr>
      <w:r>
        <w:t xml:space="preserve">Sleep and stress interventions</w:t>
      </w:r>
    </w:p>
    <w:p>
      <w:pPr>
        <w:pStyle w:val="FirstParagraph"/>
      </w:pPr>
      <w:r>
        <w:t xml:space="preserve">Sleep treatment is justified by the high symptom burden and biological plausibility of sleep–immune feedback, but</w:t>
      </w:r>
      <w:r>
        <w:t xml:space="preserve"> </w:t>
      </w:r>
      <w:r>
        <w:rPr>
          <w:b/>
          <w:bCs/>
        </w:rPr>
        <w:t xml:space="preserve">no AS trial shows that optimizing sleep alone reliably normalizes MRI inflammation</w:t>
      </w:r>
      <w:r>
        <w:t xml:space="preserve">.</w:t>
      </w:r>
      <w:r>
        <w:t xml:space="preserve"> </w:t>
      </w:r>
      <w:hyperlink r:id="rId52">
        <w:r>
          <w:rPr>
            <w:rStyle w:val="Hyperlink"/>
          </w:rPr>
          <w:t xml:space="preserve">[115]</w:t>
        </w:r>
      </w:hyperlink>
    </w:p>
    <w:p>
      <w:pPr>
        <w:pStyle w:val="BodyText"/>
      </w:pPr>
      <w:r>
        <w:t xml:space="preserve">Meditation, CBT, controlled breathing and biofeedback may reduce perceived stress, pain amplification and sympathetic arousal. That can be clinically meaningful even when the immune lesion is unchanged.</w:t>
      </w:r>
    </w:p>
    <w:p>
      <w:pPr>
        <w:pStyle w:val="BodyText"/>
      </w:pPr>
      <w:r>
        <w:rPr>
          <w:b/>
          <w:bCs/>
        </w:rPr>
        <w:t xml:space="preserve">Symptomatic/general-physiology evidence: B/C.</w:t>
      </w:r>
      <w:r>
        <w:br/>
      </w:r>
      <w:r>
        <w:rPr>
          <w:b/>
          <w:bCs/>
        </w:rPr>
        <w:t xml:space="preserve">Direct AS anti-inflammatory evidence: D/C.</w:t>
      </w:r>
    </w:p>
    <w:bookmarkEnd w:id="123"/>
    <w:bookmarkStart w:id="124" w:name="smoking-cessation"/>
    <w:p>
      <w:pPr>
        <w:pStyle w:val="Heading3"/>
      </w:pPr>
      <w:r>
        <w:t xml:space="preserve">Smoking cessation</w:t>
      </w:r>
    </w:p>
    <w:p>
      <w:pPr>
        <w:pStyle w:val="FirstParagraph"/>
      </w:pPr>
      <w:r>
        <w:t xml:space="preserve">Among lifestyle changes, smoking cessation has unusually strong justification because smoking is consistently associated with poorer axSpA outcomes and structural progression. Whether cessation reverses inflammation immediately has not been established, but there is little scientific rationale for preserving the exposure.</w:t>
      </w:r>
      <w:r>
        <w:t xml:space="preserve"> </w:t>
      </w:r>
      <w:hyperlink r:id="rId65">
        <w:r>
          <w:rPr>
            <w:rStyle w:val="Hyperlink"/>
          </w:rPr>
          <w:t xml:space="preserve">[64]</w:t>
        </w:r>
      </w:hyperlink>
    </w:p>
    <w:p>
      <w:pPr>
        <w:pStyle w:val="BodyText"/>
      </w:pPr>
      <w:r>
        <w:rPr>
          <w:b/>
          <w:bCs/>
        </w:rPr>
        <w:t xml:space="preserve">Risk-modification evidence: B/A; remission-induction evidence: unproven.</w:t>
      </w:r>
    </w:p>
    <w:bookmarkEnd w:id="124"/>
    <w:bookmarkStart w:id="126" w:name="oral-health"/>
    <w:p>
      <w:pPr>
        <w:pStyle w:val="Heading3"/>
      </w:pPr>
      <w:r>
        <w:t xml:space="preserve">Oral health</w:t>
      </w:r>
    </w:p>
    <w:p>
      <w:pPr>
        <w:pStyle w:val="FirstParagraph"/>
      </w:pPr>
      <w:r>
        <w:t xml:space="preserve">Periodontitis is more prevalent in some AS cohorts, but early microbiome work did not find a clean AS-specific subgingival microbial signature. A 2026 study found oral microbial differences in r-axSpA, but this remains association rather than evidence that periodontal treatment reduces axial inflammation.</w:t>
      </w:r>
      <w:r>
        <w:t xml:space="preserve"> </w:t>
      </w:r>
      <w:hyperlink r:id="rId125">
        <w:r>
          <w:rPr>
            <w:rStyle w:val="Hyperlink"/>
          </w:rPr>
          <w:t xml:space="preserve">[116]</w:t>
        </w:r>
      </w:hyperlink>
    </w:p>
    <w:p>
      <w:pPr>
        <w:pStyle w:val="BodyText"/>
      </w:pPr>
      <w:r>
        <w:t xml:space="preserve">Good oral care is sensible for general health; using periodontal interventions as an AS treatment is</w:t>
      </w:r>
      <w:r>
        <w:t xml:space="preserve"> </w:t>
      </w:r>
      <w:r>
        <w:rPr>
          <w:b/>
          <w:bCs/>
        </w:rPr>
        <w:t xml:space="preserve">C/D experimental reasoning</w:t>
      </w:r>
      <w:r>
        <w:t xml:space="preserve">.</w:t>
      </w:r>
    </w:p>
    <w:p>
      <w:pPr>
        <w:pStyle w:val="BodyText"/>
      </w:pPr>
      <w:r>
        <w:rPr>
          <w:b/>
          <w:bCs/>
        </w:rPr>
        <w:t xml:space="preserve">Part X — Documented remission or major improvement without ongoing pharmaceutical therapy</w:t>
      </w:r>
    </w:p>
    <w:p>
      <w:pPr>
        <w:pStyle w:val="BodyText"/>
      </w:pPr>
      <w:r>
        <w:t xml:space="preserve">This search produced a more nuanced result than either “natural remission never happens” or “diet cures AS.”</w:t>
      </w:r>
    </w:p>
    <w:bookmarkEnd w:id="126"/>
    <w:bookmarkStart w:id="128" w:name="naturaldrug-free-remission-in-cohorts"/>
    <w:p>
      <w:pPr>
        <w:pStyle w:val="Heading3"/>
      </w:pPr>
      <w:r>
        <w:t xml:space="preserve">Natural/drug-free remission in cohorts</w:t>
      </w:r>
    </w:p>
    <w:p>
      <w:pPr>
        <w:pStyle w:val="FirstParagraph"/>
      </w:pPr>
      <w:r>
        <w:t xml:space="preserve">The most informative evidence comes from the</w:t>
      </w:r>
      <w:r>
        <w:t xml:space="preserve"> </w:t>
      </w:r>
      <w:r>
        <w:rPr>
          <w:b/>
          <w:bCs/>
        </w:rPr>
        <w:t xml:space="preserve">DESIR cohort</w:t>
      </w:r>
      <w:r>
        <w:t xml:space="preserve">, not alternative-medicine cases.</w:t>
      </w:r>
    </w:p>
    <w:p>
      <w:pPr>
        <w:pStyle w:val="BodyText"/>
      </w:pPr>
      <w:r>
        <w:t xml:space="preserve">Among 449 recent-onset axSpA participants assessed at five years, 111 (25%) were in ASDAS-CRP remission. Thirty-two were in</w:t>
      </w:r>
      <w:r>
        <w:t xml:space="preserve"> </w:t>
      </w:r>
      <w:r>
        <w:rPr>
          <w:b/>
          <w:bCs/>
        </w:rPr>
        <w:t xml:space="preserve">drug-free remission</w:t>
      </w:r>
      <w:r>
        <w:t xml:space="preserve">, defined as no TNFi, NSAID or conventional DMARD at the five-year assessment; this represented roughly 7% of the overall cohort. Lower initial activity and lower BMI were associated with better remission probability, among other demographic features.</w:t>
      </w:r>
      <w:r>
        <w:t xml:space="preserve"> </w:t>
      </w:r>
      <w:hyperlink r:id="rId22">
        <w:r>
          <w:rPr>
            <w:rStyle w:val="Hyperlink"/>
          </w:rPr>
          <w:t xml:space="preserve">[13]</w:t>
        </w:r>
      </w:hyperlink>
    </w:p>
    <w:p>
      <w:pPr>
        <w:pStyle w:val="BodyText"/>
      </w:pPr>
      <w:r>
        <w:t xml:space="preserve">Important limitations:</w:t>
      </w:r>
    </w:p>
    <w:p>
      <w:pPr>
        <w:pStyle w:val="BodyText"/>
      </w:pPr>
      <w:r>
        <w:t xml:space="preserve">The outcome was assessed at a defined follow-up point rather than proving continuous five-year remission; some patients could previously have used medications other than the restricted categories; recent-onset axSpA includes heterogeneous disease; and the observation cannot determine why spontaneous remission occurred.</w:t>
      </w:r>
      <w:r>
        <w:t xml:space="preserve"> </w:t>
      </w:r>
      <w:hyperlink r:id="rId22">
        <w:r>
          <w:rPr>
            <w:rStyle w:val="Hyperlink"/>
          </w:rPr>
          <w:t xml:space="preserve">[13]</w:t>
        </w:r>
      </w:hyperlink>
    </w:p>
    <w:p>
      <w:pPr>
        <w:pStyle w:val="BodyText"/>
      </w:pPr>
      <w:r>
        <w:t xml:space="preserve">Still, it establishes a fundamental biological fact:</w:t>
      </w:r>
      <w:r>
        <w:t xml:space="preserve"> </w:t>
      </w:r>
      <w:r>
        <w:rPr>
          <w:b/>
          <w:bCs/>
        </w:rPr>
        <w:t xml:space="preserve">axSpA can sometimes move into a drug-free low-inflammatory attractor state.</w:t>
      </w:r>
    </w:p>
    <w:p>
      <w:pPr>
        <w:pStyle w:val="BodyText"/>
      </w:pPr>
      <w:r>
        <w:t xml:space="preserve">Older reviews had concluded that reliable spontaneous-remission data in axial SpA were sparse and that anti-TNF withdrawal in established AS usually led to relapse. PMID 25488786.</w:t>
      </w:r>
      <w:r>
        <w:t xml:space="preserve"> </w:t>
      </w:r>
      <w:hyperlink r:id="rId127">
        <w:r>
          <w:rPr>
            <w:rStyle w:val="Hyperlink"/>
          </w:rPr>
          <w:t xml:space="preserve">[117]</w:t>
        </w:r>
      </w:hyperlink>
    </w:p>
    <w:bookmarkEnd w:id="128"/>
    <w:bookmarkStart w:id="129" w:name="Xa1ed80114a12eeaa8bea05f70445b2c9a44f20b"/>
    <w:p>
      <w:pPr>
        <w:pStyle w:val="Heading3"/>
      </w:pPr>
      <w:r>
        <w:t xml:space="preserve">Multimodal diet/supplement case after adalimumab</w:t>
      </w:r>
    </w:p>
    <w:p>
      <w:pPr>
        <w:pStyle w:val="FirstParagraph"/>
      </w:pPr>
      <w:r>
        <w:t xml:space="preserve">A 38-year-old HLA-B27-positive woman with diagnosed AS had previously failed NSAID therapy and then improved on adalimumab. Adalimumab was stopped after disseminated refractory molluscum contagiosum. According to the published case, she then used an anti-inflammatory elimination diet plus supplements including approximately curcuma 500 mg,</w:t>
      </w:r>
      <w:r>
        <w:t xml:space="preserve"> </w:t>
      </w:r>
      <w:r>
        <w:rPr>
          <w:i/>
          <w:iCs/>
        </w:rPr>
        <w:t xml:space="preserve">Rhodiola rosea</w:t>
      </w:r>
      <w:r>
        <w:t xml:space="preserve"> </w:t>
      </w:r>
      <w:r>
        <w:t xml:space="preserve">400 mg and omega-3 3 g/day; inflammatory markers reportedly normalized after about two months and follow-up sacroiliac MRI reportedly improved. PMID 34715506.</w:t>
      </w:r>
      <w:r>
        <w:t xml:space="preserve"> </w:t>
      </w:r>
      <w:hyperlink r:id="rId23">
        <w:r>
          <w:rPr>
            <w:rStyle w:val="Hyperlink"/>
          </w:rPr>
          <w:t xml:space="preserve">[14]</w:t>
        </w:r>
      </w:hyperlink>
    </w:p>
    <w:p>
      <w:pPr>
        <w:pStyle w:val="BodyText"/>
      </w:pPr>
      <w:r>
        <w:t xml:space="preserve">Evidence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Assessment</w:t>
            </w:r>
          </w:p>
        </w:tc>
      </w:tr>
      <w:tr>
        <w:tc>
          <w:tcPr/>
          <w:p>
            <w:pPr>
              <w:pStyle w:val="Compact"/>
            </w:pPr>
            <w:r>
              <w:t xml:space="preserve">Medical AS diagnosis</w:t>
            </w:r>
          </w:p>
        </w:tc>
        <w:tc>
          <w:tcPr/>
          <w:p>
            <w:pPr>
              <w:pStyle w:val="Compact"/>
            </w:pPr>
            <w:r>
              <w:t xml:space="preserve">Reported</w:t>
            </w:r>
            <w:r>
              <w:t xml:space="preserve"> </w:t>
            </w:r>
            <w:r>
              <w:rPr>
                <w:b/>
                <w:bCs/>
              </w:rPr>
              <w:t xml:space="preserve">yes</w:t>
            </w:r>
          </w:p>
        </w:tc>
      </w:tr>
      <w:tr>
        <w:tc>
          <w:tcPr/>
          <w:p>
            <w:pPr>
              <w:pStyle w:val="Compact"/>
            </w:pPr>
            <w:r>
              <w:t xml:space="preserve">HLA-B27</w:t>
            </w:r>
          </w:p>
        </w:tc>
        <w:tc>
          <w:tcPr/>
          <w:p>
            <w:pPr>
              <w:pStyle w:val="Compact"/>
            </w:pPr>
            <w:r>
              <w:rPr>
                <w:b/>
                <w:bCs/>
              </w:rPr>
              <w:t xml:space="preserve">Positive</w:t>
            </w:r>
          </w:p>
        </w:tc>
      </w:tr>
      <w:tr>
        <w:tc>
          <w:tcPr/>
          <w:p>
            <w:pPr>
              <w:pStyle w:val="Compact"/>
            </w:pPr>
            <w:r>
              <w:t xml:space="preserve">Imaging</w:t>
            </w:r>
          </w:p>
        </w:tc>
        <w:tc>
          <w:tcPr/>
          <w:p>
            <w:pPr>
              <w:pStyle w:val="Compact"/>
            </w:pPr>
            <w:r>
              <w:t xml:space="preserve">Sacroiliac MRI reported</w:t>
            </w:r>
          </w:p>
        </w:tc>
      </w:tr>
      <w:tr>
        <w:tc>
          <w:tcPr/>
          <w:p>
            <w:pPr>
              <w:pStyle w:val="Compact"/>
            </w:pPr>
            <w:r>
              <w:t xml:space="preserve">Objective inflammation</w:t>
            </w:r>
          </w:p>
        </w:tc>
        <w:tc>
          <w:tcPr/>
          <w:p>
            <w:pPr>
              <w:pStyle w:val="Compact"/>
            </w:pPr>
            <w:r>
              <w:t xml:space="preserve">Inflammatory markers and MRI reported</w:t>
            </w:r>
          </w:p>
        </w:tc>
      </w:tr>
      <w:tr>
        <w:tc>
          <w:tcPr/>
          <w:p>
            <w:pPr>
              <w:pStyle w:val="Compact"/>
            </w:pPr>
            <w:r>
              <w:t xml:space="preserve">Prior pharmaceutical treatment</w:t>
            </w:r>
          </w:p>
        </w:tc>
        <w:tc>
          <w:tcPr/>
          <w:p>
            <w:pPr>
              <w:pStyle w:val="Compact"/>
            </w:pPr>
            <w:r>
              <w:rPr>
                <w:b/>
                <w:bCs/>
              </w:rPr>
              <w:t xml:space="preserve">Yes—adalimumab</w:t>
            </w:r>
            <w:r>
              <w:t xml:space="preserve">, with prior clinical response</w:t>
            </w:r>
          </w:p>
        </w:tc>
      </w:tr>
      <w:tr>
        <w:tc>
          <w:tcPr/>
          <w:p>
            <w:pPr>
              <w:pStyle w:val="Compact"/>
            </w:pPr>
            <w:r>
              <w:t xml:space="preserve">Intervention isolated?</w:t>
            </w:r>
          </w:p>
        </w:tc>
        <w:tc>
          <w:tcPr/>
          <w:p>
            <w:pPr>
              <w:pStyle w:val="Compact"/>
            </w:pPr>
            <w:r>
              <w:rPr>
                <w:b/>
                <w:bCs/>
              </w:rPr>
              <w:t xml:space="preserve">No; diet + multiple supplements simultaneously</w:t>
            </w:r>
          </w:p>
        </w:tc>
      </w:tr>
      <w:tr>
        <w:tc>
          <w:tcPr/>
          <w:p>
            <w:pPr>
              <w:pStyle w:val="Compact"/>
            </w:pPr>
            <w:r>
              <w:t xml:space="preserve">Durable remission</w:t>
            </w:r>
          </w:p>
        </w:tc>
        <w:tc>
          <w:tcPr/>
          <w:p>
            <w:pPr>
              <w:pStyle w:val="Compact"/>
            </w:pPr>
            <w:r>
              <w:t xml:space="preserve">Case follow-up too limited for strong inference</w:t>
            </w:r>
          </w:p>
        </w:tc>
      </w:tr>
      <w:tr>
        <w:tc>
          <w:tcPr/>
          <w:p>
            <w:pPr>
              <w:pStyle w:val="Compact"/>
            </w:pPr>
            <w:r>
              <w:t xml:space="preserve">Alternative explanation</w:t>
            </w:r>
          </w:p>
        </w:tc>
        <w:tc>
          <w:tcPr/>
          <w:p>
            <w:pPr>
              <w:pStyle w:val="Compact"/>
            </w:pPr>
            <w:r>
              <w:t xml:space="preserve">Delayed effect of previous TNF blockade, spontaneous remission, regression to mean and combined behavioural changes all possible</w:t>
            </w:r>
          </w:p>
        </w:tc>
      </w:tr>
      <w:tr>
        <w:tc>
          <w:tcPr/>
          <w:p>
            <w:pPr>
              <w:pStyle w:val="Compact"/>
            </w:pPr>
            <w:r>
              <w:t xml:space="preserve">Replication</w:t>
            </w:r>
          </w:p>
        </w:tc>
        <w:tc>
          <w:tcPr/>
          <w:p>
            <w:pPr>
              <w:pStyle w:val="Compact"/>
            </w:pPr>
            <w:r>
              <w:rPr>
                <w:b/>
                <w:bCs/>
              </w:rPr>
              <w:t xml:space="preserve">No</w:t>
            </w:r>
          </w:p>
        </w:tc>
      </w:tr>
      <w:tr>
        <w:tc>
          <w:tcPr/>
          <w:p>
            <w:pPr>
              <w:pStyle w:val="Compact"/>
            </w:pPr>
            <w:r>
              <w:t xml:space="preserve">Evidence grade</w:t>
            </w:r>
          </w:p>
        </w:tc>
        <w:tc>
          <w:tcPr/>
          <w:p>
            <w:pPr>
              <w:pStyle w:val="Compact"/>
            </w:pPr>
            <w:r>
              <w:rPr>
                <w:b/>
                <w:bCs/>
              </w:rPr>
              <w:t xml:space="preserve">E</w:t>
            </w:r>
          </w:p>
        </w:tc>
      </w:tr>
    </w:tbl>
    <w:p>
      <w:pPr>
        <w:pStyle w:val="BodyText"/>
      </w:pPr>
      <w:r>
        <w:t xml:space="preserve">This is stronger than a pure testimonial but nowhere near causal proof.</w:t>
      </w:r>
    </w:p>
    <w:bookmarkEnd w:id="129"/>
    <w:bookmarkStart w:id="130" w:name="fmt-in-as-plus-ulcerative-colitis"/>
    <w:p>
      <w:pPr>
        <w:pStyle w:val="Heading3"/>
      </w:pPr>
      <w:r>
        <w:t xml:space="preserve">FMT in AS plus ulcerative colitis</w:t>
      </w:r>
    </w:p>
    <w:p>
      <w:pPr>
        <w:pStyle w:val="FirstParagraph"/>
      </w:pPr>
      <w:r>
        <w:t xml:space="preserve">The 2023 FMT report described refractory AS and UC with rapid back-pain improvement and CRP reduction following FMT.</w:t>
      </w:r>
      <w:r>
        <w:t xml:space="preserve"> </w:t>
      </w:r>
      <w:hyperlink r:id="rId93">
        <w:r>
          <w:rPr>
            <w:rStyle w:val="Hyperlink"/>
          </w:rPr>
          <w:t xml:space="preserve">[88]</w:t>
        </w:r>
      </w:hyperlink>
    </w:p>
    <w:p>
      <w:pPr>
        <w:pStyle w:val="BodyText"/>
      </w:pPr>
      <w:r>
        <w:t xml:space="preserve">The diagnostic and objective data make it mechanistically interesting, but the simultaneous inflammatory bowel disease is a huge confounder. Improving severe gut inflammation could secondarily improve systemic inflammatory burden without demonstrating that microbiome transplantation directly treats primary axial disease.</w:t>
      </w:r>
    </w:p>
    <w:p>
      <w:pPr>
        <w:pStyle w:val="BodyText"/>
      </w:pPr>
      <w:r>
        <w:rPr>
          <w:b/>
          <w:bCs/>
        </w:rPr>
        <w:t xml:space="preserve">Grade E.</w:t>
      </w:r>
    </w:p>
    <w:bookmarkEnd w:id="130"/>
    <w:bookmarkStart w:id="131" w:name="pregnancy-associated-remission"/>
    <w:p>
      <w:pPr>
        <w:pStyle w:val="Heading3"/>
      </w:pPr>
      <w:r>
        <w:t xml:space="preserve">Pregnancy-associated remission</w:t>
      </w:r>
    </w:p>
    <w:p>
      <w:pPr>
        <w:pStyle w:val="FirstParagraph"/>
      </w:pPr>
      <w:r>
        <w:t xml:space="preserve">Long-form patient accounts document striking remissions during pregnancy and relapses postpartum. One Spondylitis Association history describes HLA-B27 positivity, radiographic/MRI-supported AS, past biologic treatment, a severe flare after stopping etanercept during one pregnancy, remission later in pregnancy and prolonged remission around a subsequent pregnancy.</w:t>
      </w:r>
      <w:r>
        <w:t xml:space="preserve"> </w:t>
      </w:r>
      <w:hyperlink r:id="rId72">
        <w:r>
          <w:rPr>
            <w:rStyle w:val="Hyperlink"/>
          </w:rPr>
          <w:t xml:space="preserve">[68]</w:t>
        </w:r>
      </w:hyperlink>
    </w:p>
    <w:p>
      <w:pPr>
        <w:pStyle w:val="BodyText"/>
      </w:pPr>
      <w:r>
        <w:t xml:space="preserve">This is excellent hypothesis-generation for endocrine/immune-tolerance research but does not establish a reproducible intervention.</w:t>
      </w:r>
    </w:p>
    <w:p>
      <w:pPr>
        <w:pStyle w:val="BodyText"/>
      </w:pPr>
      <w:r>
        <w:rPr>
          <w:b/>
          <w:bCs/>
        </w:rPr>
        <w:t xml:space="preserve">Grade E.</w:t>
      </w:r>
    </w:p>
    <w:bookmarkEnd w:id="131"/>
    <w:bookmarkStart w:id="133" w:name="Xd31ce2a6ead2fda6200f4263e4dfeb108c4aaa0"/>
    <w:p>
      <w:pPr>
        <w:pStyle w:val="Heading3"/>
      </w:pPr>
      <w:r>
        <w:t xml:space="preserve">Exercise-associated patient remission reports</w:t>
      </w:r>
    </w:p>
    <w:p>
      <w:pPr>
        <w:pStyle w:val="FirstParagraph"/>
      </w:pPr>
      <w:r>
        <w:t xml:space="preserve">Patient abstracts and accounts describe prolonged near-remission associated with intensive exercise. Such reports are consistent with RCT evidence that exercise helps disease activity, but objective serial MRI/CRP documentation and medication isolation are generally absent.</w:t>
      </w:r>
      <w:r>
        <w:t xml:space="preserve"> </w:t>
      </w:r>
      <w:hyperlink r:id="rId132">
        <w:r>
          <w:rPr>
            <w:rStyle w:val="Hyperlink"/>
          </w:rPr>
          <w:t xml:space="preserve">[118]</w:t>
        </w:r>
      </w:hyperlink>
    </w:p>
    <w:p>
      <w:pPr>
        <w:pStyle w:val="BodyText"/>
      </w:pPr>
      <w:r>
        <w:rPr>
          <w:b/>
          <w:bCs/>
        </w:rPr>
        <w:t xml:space="preserve">Grade E for remission; A/B for exercise as supportive therapy.</w:t>
      </w:r>
    </w:p>
    <w:bookmarkEnd w:id="133"/>
    <w:bookmarkStart w:id="134" w:name="X002784d1845ef3594a43c39f02ef862b10b21e5"/>
    <w:p>
      <w:pPr>
        <w:pStyle w:val="Heading3"/>
      </w:pPr>
      <w:r>
        <w:t xml:space="preserve">What the remission literature does</w:t>
      </w:r>
      <w:r>
        <w:t xml:space="preserve"> </w:t>
      </w:r>
      <w:r>
        <w:rPr>
          <w:i/>
          <w:iCs/>
        </w:rPr>
        <w:t xml:space="preserve">not</w:t>
      </w:r>
      <w:r>
        <w:t xml:space="preserve"> </w:t>
      </w:r>
      <w:r>
        <w:t xml:space="preserve">show</w:t>
      </w:r>
    </w:p>
    <w:p>
      <w:pPr>
        <w:pStyle w:val="FirstParagraph"/>
      </w:pPr>
      <w:r>
        <w:t xml:space="preserve">I did not identify replicated controlled evidence showing that any of the following reliably induces sustained, objective, medication-free AS remission:</w:t>
      </w:r>
    </w:p>
    <w:p>
      <w:pPr>
        <w:pStyle w:val="BodyText"/>
      </w:pPr>
      <w:r>
        <w:rPr>
          <w:b/>
          <w:bCs/>
        </w:rPr>
        <w:t xml:space="preserve">low-starch diets, ketogenic diets, fasting, AIP/elimination diets, probiotics, omega-3s, curcumin, Boswellia, magnesium, vitamin D, NAC, meditation, breathwork, sauna, cold exposure or vagal exercises.</w:t>
      </w:r>
    </w:p>
    <w:p>
      <w:pPr>
        <w:pStyle w:val="BodyText"/>
      </w:pPr>
      <w:r>
        <w:t xml:space="preserve">The absence of proof is not proof that no individual can respond; it means the probability, subgroup, magnitude and causality are unknown.</w:t>
      </w:r>
    </w:p>
    <w:p>
      <w:pPr>
        <w:pStyle w:val="BodyText"/>
      </w:pPr>
      <w:r>
        <w:rPr>
          <w:b/>
          <w:bCs/>
        </w:rPr>
        <w:t xml:space="preserve">Part XI — Emerging and unconventional hypotheses</w:t>
      </w:r>
    </w:p>
    <w:p>
      <w:pPr>
        <w:pStyle w:val="BodyText"/>
      </w:pPr>
      <w:r>
        <w:t xml:space="preserve">Several mechanisms deserve more research despite not being ready for clinical claims.</w:t>
      </w:r>
    </w:p>
    <w:bookmarkEnd w:id="134"/>
    <w:bookmarkStart w:id="135" w:name="X903e66e98222f52e649a9e5a797d545a4437f18"/>
    <w:p>
      <w:pPr>
        <w:pStyle w:val="Heading3"/>
      </w:pPr>
      <w:r>
        <w:t xml:space="preserve">IL-23-dependent initiation followed by IL-23-independent maintenance</w:t>
      </w:r>
    </w:p>
    <w:p>
      <w:pPr>
        <w:pStyle w:val="FirstParagraph"/>
      </w:pPr>
      <w:r>
        <w:t xml:space="preserve">This is among the strongest emerging conceptual frameworks because it directly explains an otherwise puzzling clinical experiment: IL-23 biology looks compelling, but blocking IL-23 fails in established axial disease. Tissue-resident γδ cells, MAIT cells or other populations may maintain IL-17 production through IL-1, IL-7 or other signals once disease is established.</w:t>
      </w:r>
      <w:r>
        <w:t xml:space="preserve"> </w:t>
      </w:r>
      <w:hyperlink r:id="rId26">
        <w:r>
          <w:rPr>
            <w:rStyle w:val="Hyperlink"/>
          </w:rPr>
          <w:t xml:space="preserve">[119]</w:t>
        </w:r>
      </w:hyperlink>
    </w:p>
    <w:bookmarkEnd w:id="135"/>
    <w:bookmarkStart w:id="136" w:name="neutrophilcard9th17-amplification"/>
    <w:p>
      <w:pPr>
        <w:pStyle w:val="Heading3"/>
      </w:pPr>
      <w:r>
        <w:t xml:space="preserve">Neutrophil–CARD9–Th17 amplification</w:t>
      </w:r>
    </w:p>
    <w:p>
      <w:pPr>
        <w:pStyle w:val="FirstParagraph"/>
      </w:pPr>
      <w:r>
        <w:t xml:space="preserve">Recent human work indicates AS neutrophils can expand autologous Th17 responses and implicates CARD9 genetic variation. This bridges microbiota sensing, innate immunity and type-3 adaptive responses and deserves replication.</w:t>
      </w:r>
      <w:r>
        <w:t xml:space="preserve"> </w:t>
      </w:r>
      <w:hyperlink r:id="rId38">
        <w:r>
          <w:rPr>
            <w:rStyle w:val="Hyperlink"/>
          </w:rPr>
          <w:t xml:space="preserve">[36]</w:t>
        </w:r>
      </w:hyperlink>
    </w:p>
    <w:bookmarkEnd w:id="136"/>
    <w:bookmarkStart w:id="138" w:name="Xe7a0e7811408d71a5624288c683968717c7f8f7"/>
    <w:p>
      <w:pPr>
        <w:pStyle w:val="Heading3"/>
      </w:pPr>
      <w:r>
        <w:t xml:space="preserve">Type-I interferon-defined treatment subtype</w:t>
      </w:r>
    </w:p>
    <w:p>
      <w:pPr>
        <w:pStyle w:val="FirstParagraph"/>
      </w:pPr>
      <w:r>
        <w:t xml:space="preserve">A 2025 multi-omics study found elevated type-I interferon signatures associated with poor TNF-inhibitor response and altered Th17 responses after treatment. This may imply that “AS” contains immunologically different endotypes rather than one cytokine state.</w:t>
      </w:r>
      <w:r>
        <w:t xml:space="preserve"> </w:t>
      </w:r>
      <w:hyperlink r:id="rId137">
        <w:r>
          <w:rPr>
            <w:rStyle w:val="Hyperlink"/>
          </w:rPr>
          <w:t xml:space="preserve">[120]</w:t>
        </w:r>
      </w:hyperlink>
    </w:p>
    <w:p>
      <w:pPr>
        <w:pStyle w:val="BodyText"/>
      </w:pPr>
      <w:r>
        <w:rPr>
          <w:b/>
          <w:bCs/>
        </w:rPr>
        <w:t xml:space="preserve">Grade C.</w:t>
      </w:r>
    </w:p>
    <w:bookmarkEnd w:id="138"/>
    <w:bookmarkStart w:id="139" w:name="purinergic-atpp2x7nlrp3-signalling"/>
    <w:p>
      <w:pPr>
        <w:pStyle w:val="Heading3"/>
      </w:pPr>
      <w:r>
        <w:t xml:space="preserve">Purinergic ATP–P2X7–NLRP3 signalling</w:t>
      </w:r>
    </w:p>
    <w:p>
      <w:pPr>
        <w:pStyle w:val="FirstParagraph"/>
      </w:pPr>
      <w:r>
        <w:t xml:space="preserve">Mechanical injury and cell stress release extracellular ATP. AS macrophage work shows altered P2X7-dependent cytokine responses, while separate human studies identify NLRP3 activation. This provides an elegant molecular bridge between</w:t>
      </w:r>
      <w:r>
        <w:t xml:space="preserve"> </w:t>
      </w:r>
      <w:r>
        <w:rPr>
          <w:b/>
          <w:bCs/>
        </w:rPr>
        <w:t xml:space="preserve">mechanical damage and innate inflammatory amplification</w:t>
      </w:r>
      <w:r>
        <w:t xml:space="preserve">.</w:t>
      </w:r>
      <w:r>
        <w:t xml:space="preserve"> </w:t>
      </w:r>
      <w:hyperlink r:id="rId40">
        <w:r>
          <w:rPr>
            <w:rStyle w:val="Hyperlink"/>
          </w:rPr>
          <w:t xml:space="preserve">[121]</w:t>
        </w:r>
      </w:hyperlink>
    </w:p>
    <w:p>
      <w:pPr>
        <w:pStyle w:val="BodyText"/>
      </w:pPr>
      <w:r>
        <w:rPr>
          <w:b/>
          <w:bCs/>
        </w:rPr>
        <w:t xml:space="preserve">Grade C.</w:t>
      </w:r>
    </w:p>
    <w:bookmarkEnd w:id="139"/>
    <w:bookmarkStart w:id="140" w:name="defective-active-resolution"/>
    <w:p>
      <w:pPr>
        <w:pStyle w:val="Heading3"/>
      </w:pPr>
      <w:r>
        <w:t xml:space="preserve">Defective active resolution</w:t>
      </w:r>
    </w:p>
    <w:p>
      <w:pPr>
        <w:pStyle w:val="FirstParagraph"/>
      </w:pPr>
      <w:r>
        <w:t xml:space="preserve">Repeated flares might reflect not only excessive ignition but failure to complete macrophage/efferocytosis/SPM/Treg resolution. The concept is biologically strong but almost untested longitudinally in AS.</w:t>
      </w:r>
    </w:p>
    <w:p>
      <w:pPr>
        <w:pStyle w:val="BodyText"/>
      </w:pPr>
      <w:r>
        <w:rPr>
          <w:b/>
          <w:bCs/>
        </w:rPr>
        <w:t xml:space="preserve">Grade D.</w:t>
      </w:r>
    </w:p>
    <w:bookmarkEnd w:id="140"/>
    <w:bookmarkStart w:id="141" w:name="Xe8f3f1f6ef686c0bf3f10536afce18acea73f2e"/>
    <w:p>
      <w:pPr>
        <w:pStyle w:val="Heading3"/>
      </w:pPr>
      <w:r>
        <w:t xml:space="preserve">Repair-driven ankylosis independent of active inflammation</w:t>
      </w:r>
    </w:p>
    <w:p>
      <w:pPr>
        <w:pStyle w:val="FirstParagraph"/>
      </w:pPr>
      <w:r>
        <w:t xml:space="preserve">Once the inflammatory lesion enters repair, Wnt/BMP/TGF-β/mesenchymal pathways may continue osteogenesis even when classical inflammatory activity falls. This may explain imperfect coupling between MRI inflammation and future new bone.</w:t>
      </w:r>
      <w:r>
        <w:t xml:space="preserve"> </w:t>
      </w:r>
      <w:hyperlink r:id="rId18">
        <w:r>
          <w:rPr>
            <w:rStyle w:val="Hyperlink"/>
          </w:rPr>
          <w:t xml:space="preserve">[122]</w:t>
        </w:r>
      </w:hyperlink>
    </w:p>
    <w:p>
      <w:pPr>
        <w:pStyle w:val="BodyText"/>
      </w:pPr>
      <w:r>
        <w:rPr>
          <w:b/>
          <w:bCs/>
        </w:rPr>
        <w:t xml:space="preserve">Grade B/C.</w:t>
      </w:r>
    </w:p>
    <w:bookmarkEnd w:id="141"/>
    <w:bookmarkStart w:id="142" w:name="oralgutjoint-mucosal-network"/>
    <w:p>
      <w:pPr>
        <w:pStyle w:val="Heading3"/>
      </w:pPr>
      <w:r>
        <w:t xml:space="preserve">Oral–gut–joint mucosal network</w:t>
      </w:r>
    </w:p>
    <w:p>
      <w:pPr>
        <w:pStyle w:val="FirstParagraph"/>
      </w:pPr>
      <w:r>
        <w:t xml:space="preserve">A 2026 r-axSpA study found oral microbiome differences and correlations with inflammatory phenotype, extending the concept from a gut–joint axis to a broader mucosal ecosystem. Earlier work, however, found periodontitis without a convincing disease-specific microbial community.</w:t>
      </w:r>
      <w:r>
        <w:t xml:space="preserve"> </w:t>
      </w:r>
      <w:hyperlink r:id="rId48">
        <w:r>
          <w:rPr>
            <w:rStyle w:val="Hyperlink"/>
          </w:rPr>
          <w:t xml:space="preserve">[53]</w:t>
        </w:r>
      </w:hyperlink>
    </w:p>
    <w:p>
      <w:pPr>
        <w:pStyle w:val="BodyText"/>
      </w:pPr>
      <w:r>
        <w:rPr>
          <w:b/>
          <w:bCs/>
        </w:rPr>
        <w:t xml:space="preserve">Grade C/D.</w:t>
      </w:r>
    </w:p>
    <w:bookmarkEnd w:id="142"/>
    <w:bookmarkStart w:id="144" w:name="immunometabolic-disease-states"/>
    <w:p>
      <w:pPr>
        <w:pStyle w:val="Heading3"/>
      </w:pPr>
      <w:r>
        <w:t xml:space="preserve">Immunometabolic disease states</w:t>
      </w:r>
    </w:p>
    <w:p>
      <w:pPr>
        <w:pStyle w:val="FirstParagraph"/>
      </w:pPr>
      <w:r>
        <w:t xml:space="preserve">AS serum metabolomics changes after TNF inhibition, suggesting inflammation creates a recognizable metabolic state. Mitochondrial oxidative stress may also affect mesenchymal stromal cells and osteogenic behaviour. But metabolic alterations can be downstream of inflammation rather than its source.</w:t>
      </w:r>
      <w:r>
        <w:t xml:space="preserve"> </w:t>
      </w:r>
      <w:hyperlink r:id="rId43">
        <w:r>
          <w:rPr>
            <w:rStyle w:val="Hyperlink"/>
          </w:rPr>
          <w:t xml:space="preserve">[43]</w:t>
        </w:r>
      </w:hyperlink>
    </w:p>
    <w:p>
      <w:pPr>
        <w:pStyle w:val="BodyText"/>
      </w:pPr>
      <w:r>
        <w:rPr>
          <w:b/>
          <w:bCs/>
        </w:rPr>
        <w:t xml:space="preserve">Grade C.</w:t>
      </w:r>
    </w:p>
    <w:p>
      <w:pPr>
        <w:pStyle w:val="BodyText"/>
      </w:pPr>
      <w:r>
        <w:rPr>
          <w:b/>
          <w:bCs/>
        </w:rPr>
        <w:t xml:space="preserve">Part XII — Contradictions, failed hypotheses, and negative evidence</w:t>
      </w:r>
    </w:p>
    <w:p>
      <w:pPr>
        <w:pStyle w:val="BodyText"/>
      </w:pPr>
      <w:r>
        <w:t xml:space="preserve">The negative evidence is unusually informative.</w:t>
      </w:r>
    </w:p>
    <w:p>
      <w:pPr>
        <w:pStyle w:val="BodyText"/>
      </w:pPr>
      <w:r>
        <w:rPr>
          <w:b/>
          <w:bCs/>
        </w:rPr>
        <w:t xml:space="preserve">IL-23 paradox:</w:t>
      </w:r>
      <w:r>
        <w:t xml:space="preserve"> </w:t>
      </w:r>
      <w:r>
        <w:t xml:space="preserve">convincing preclinical pathway; IL-23 antagonism fails in axial disease. Therefore “IL-23 drives AS” is incomplete.</w:t>
      </w:r>
      <w:r>
        <w:t xml:space="preserve"> </w:t>
      </w:r>
      <w:hyperlink r:id="rId26">
        <w:r>
          <w:rPr>
            <w:rStyle w:val="Hyperlink"/>
          </w:rPr>
          <w:t xml:space="preserve">[17]</w:t>
        </w:r>
      </w:hyperlink>
    </w:p>
    <w:p>
      <w:pPr>
        <w:pStyle w:val="BodyText"/>
      </w:pPr>
      <w:r>
        <w:rPr>
          <w:b/>
          <w:bCs/>
        </w:rPr>
        <w:t xml:space="preserve">GM-CSF paradox:</w:t>
      </w:r>
      <w:r>
        <w:t xml:space="preserve"> </w:t>
      </w:r>
      <w:r>
        <w:t xml:space="preserve">elevated in active AS and primes patient monocytes, but namilumab failed its phase-II efficacy test. Elevated mediator ≠ necessary driver.</w:t>
      </w:r>
      <w:r>
        <w:t xml:space="preserve"> </w:t>
      </w:r>
      <w:hyperlink r:id="rId39">
        <w:r>
          <w:rPr>
            <w:rStyle w:val="Hyperlink"/>
          </w:rPr>
          <w:t xml:space="preserve">[38]</w:t>
        </w:r>
      </w:hyperlink>
    </w:p>
    <w:p>
      <w:pPr>
        <w:pStyle w:val="BodyText"/>
      </w:pPr>
      <w:r>
        <w:rPr>
          <w:b/>
          <w:bCs/>
        </w:rPr>
        <w:t xml:space="preserve">Microbiome paradox:</w:t>
      </w:r>
      <w:r>
        <w:t xml:space="preserve"> </w:t>
      </w:r>
      <w:r>
        <w:t xml:space="preserve">dysbiosis is repeatedly observed, but microbial signatures differ between studies and treatment can normalize dysbiosis. Therefore dysbiosis may be partly cause, partly consequence and partly treatment marker.</w:t>
      </w:r>
      <w:r>
        <w:t xml:space="preserve"> </w:t>
      </w:r>
      <w:hyperlink r:id="rId13">
        <w:r>
          <w:rPr>
            <w:rStyle w:val="Hyperlink"/>
          </w:rPr>
          <w:t xml:space="preserve">[123]</w:t>
        </w:r>
      </w:hyperlink>
    </w:p>
    <w:p>
      <w:pPr>
        <w:pStyle w:val="BodyText"/>
      </w:pPr>
      <w:r>
        <w:rPr>
          <w:b/>
          <w:bCs/>
        </w:rPr>
        <w:t xml:space="preserve">Probiotic failure:</w:t>
      </w:r>
      <w:r>
        <w:t xml:space="preserve"> </w:t>
      </w:r>
      <w:r>
        <w:t xml:space="preserve">if generic “good bacteria” replacement were sufficient, probiotic RCTs should produce disease improvement. Existing controlled SpA evidence does not.</w:t>
      </w:r>
      <w:r>
        <w:t xml:space="preserve"> </w:t>
      </w:r>
      <w:hyperlink r:id="rId20">
        <w:r>
          <w:rPr>
            <w:rStyle w:val="Hyperlink"/>
          </w:rPr>
          <w:t xml:space="preserve">[101]</w:t>
        </w:r>
      </w:hyperlink>
    </w:p>
    <w:p>
      <w:pPr>
        <w:pStyle w:val="BodyText"/>
      </w:pPr>
      <w:r>
        <w:rPr>
          <w:b/>
          <w:bCs/>
        </w:rPr>
        <w:t xml:space="preserve">Klebsiella specificity problem:</w:t>
      </w:r>
      <w:r>
        <w:t xml:space="preserve"> </w:t>
      </w:r>
      <w:r>
        <w:t xml:space="preserve">association data persist, but anti-Klebsiella immune responses have not consistently distinguished AS from controls, and there is no decisive eradication/recurrence experiment proving causal necessity.</w:t>
      </w:r>
      <w:r>
        <w:t xml:space="preserve"> </w:t>
      </w:r>
      <w:hyperlink r:id="rId89">
        <w:r>
          <w:rPr>
            <w:rStyle w:val="Hyperlink"/>
          </w:rPr>
          <w:t xml:space="preserve">[124]</w:t>
        </w:r>
      </w:hyperlink>
    </w:p>
    <w:p>
      <w:pPr>
        <w:pStyle w:val="BodyText"/>
      </w:pPr>
      <w:r>
        <w:rPr>
          <w:b/>
          <w:bCs/>
        </w:rPr>
        <w:t xml:space="preserve">UPR inconsistency:</w:t>
      </w:r>
      <w:r>
        <w:t xml:space="preserve"> </w:t>
      </w:r>
      <w:r>
        <w:t xml:space="preserve">HLA-B27 misfolding is mechanistically demonstrable, but human AS macrophage studies have not uniformly shown the predicted UPR signature.</w:t>
      </w:r>
      <w:r>
        <w:t xml:space="preserve"> </w:t>
      </w:r>
      <w:hyperlink r:id="rId11">
        <w:r>
          <w:rPr>
            <w:rStyle w:val="Hyperlink"/>
          </w:rPr>
          <w:t xml:space="preserve">[30]</w:t>
        </w:r>
      </w:hyperlink>
    </w:p>
    <w:p>
      <w:pPr>
        <w:pStyle w:val="BodyText"/>
      </w:pPr>
      <w:r>
        <w:rPr>
          <w:b/>
          <w:bCs/>
        </w:rPr>
        <w:t xml:space="preserve">HPA inconsistency:</w:t>
      </w:r>
      <w:r>
        <w:t xml:space="preserve"> </w:t>
      </w:r>
      <w:r>
        <w:t xml:space="preserve">studies variously report preserved or impaired HPA function. Therefore “low cortisol/adrenal fatigue causes AS” is not an evidence-based explanation.</w:t>
      </w:r>
      <w:r>
        <w:t xml:space="preserve"> </w:t>
      </w:r>
      <w:hyperlink r:id="rId51">
        <w:r>
          <w:rPr>
            <w:rStyle w:val="Hyperlink"/>
          </w:rPr>
          <w:t xml:space="preserve">[56]</w:t>
        </w:r>
      </w:hyperlink>
    </w:p>
    <w:p>
      <w:pPr>
        <w:pStyle w:val="BodyText"/>
      </w:pPr>
      <w:r>
        <w:rPr>
          <w:b/>
          <w:bCs/>
        </w:rPr>
        <w:t xml:space="preserve">HRV inconsistency:</w:t>
      </w:r>
      <w:r>
        <w:t xml:space="preserve"> </w:t>
      </w:r>
      <w:r>
        <w:t xml:space="preserve">newer meta-analysis indicates lower HRV, while older studies found no difference. Fitness, inflammation and medication confounding remain substantial.</w:t>
      </w:r>
      <w:r>
        <w:t xml:space="preserve"> </w:t>
      </w:r>
      <w:hyperlink r:id="rId49">
        <w:r>
          <w:rPr>
            <w:rStyle w:val="Hyperlink"/>
          </w:rPr>
          <w:t xml:space="preserve">[54]</w:t>
        </w:r>
      </w:hyperlink>
    </w:p>
    <w:p>
      <w:pPr>
        <w:pStyle w:val="BodyText"/>
      </w:pPr>
      <w:r>
        <w:rPr>
          <w:b/>
          <w:bCs/>
        </w:rPr>
        <w:t xml:space="preserve">Vitamin/mineral reverse causality:</w:t>
      </w:r>
      <w:r>
        <w:t xml:space="preserve"> </w:t>
      </w:r>
      <w:r>
        <w:t xml:space="preserve">low nutrient status can correlate with active disease because people with active disease move less, get less sun and eat differently. Mendelian-randomisation work does not support several simple mineral-causality narratives.</w:t>
      </w:r>
      <w:r>
        <w:t xml:space="preserve"> </w:t>
      </w:r>
      <w:hyperlink r:id="rId117">
        <w:r>
          <w:rPr>
            <w:rStyle w:val="Hyperlink"/>
          </w:rPr>
          <w:t xml:space="preserve">[125]</w:t>
        </w:r>
      </w:hyperlink>
    </w:p>
    <w:p>
      <w:pPr>
        <w:pStyle w:val="BodyText"/>
      </w:pPr>
      <w:r>
        <w:rPr>
          <w:b/>
          <w:bCs/>
        </w:rPr>
        <w:t xml:space="preserve">Diet confounding:</w:t>
      </w:r>
      <w:r>
        <w:t xml:space="preserve"> </w:t>
      </w:r>
      <w:r>
        <w:t xml:space="preserve">losing weight, eating fewer ultra-processed foods, sleeping better, exercising and reducing alcohol frequently happen together. A response to “ketogenic,” “AIP” or “low starch” therefore cannot automatically be assigned to ketones, gluten removal or Klebsiella deprivation.</w:t>
      </w:r>
    </w:p>
    <w:p>
      <w:pPr>
        <w:pStyle w:val="BodyText"/>
      </w:pPr>
      <w:r>
        <w:rPr>
          <w:b/>
          <w:bCs/>
        </w:rPr>
        <w:t xml:space="preserve">Pain–inflammation dissociation:</w:t>
      </w:r>
      <w:r>
        <w:t xml:space="preserve"> </w:t>
      </w:r>
      <w:r>
        <w:t xml:space="preserve">axSpA symptoms are not a direct inflammatory biomarker. Sleep, central pain processing, mechanical stiffness, depression/anxiety and structural damage can change symptoms independently of CRP/MRI inflammation.</w:t>
      </w:r>
      <w:r>
        <w:t xml:space="preserve"> </w:t>
      </w:r>
      <w:hyperlink r:id="rId143">
        <w:r>
          <w:rPr>
            <w:rStyle w:val="Hyperlink"/>
          </w:rPr>
          <w:t xml:space="preserve">[126]</w:t>
        </w:r>
      </w:hyperlink>
    </w:p>
    <w:p>
      <w:pPr>
        <w:pStyle w:val="BodyText"/>
      </w:pPr>
      <w:r>
        <w:t xml:space="preserve">That last point is critical when interpreting dramatic lifestyle testimonials.</w:t>
      </w:r>
    </w:p>
    <w:bookmarkEnd w:id="144"/>
    <w:bookmarkEnd w:id="145"/>
    <w:bookmarkStart w:id="169" w:name="X49c05daee63686000b27cfed0545c9ebd95b705"/>
    <w:p>
      <w:pPr>
        <w:pStyle w:val="Heading2"/>
      </w:pPr>
      <w:r>
        <w:t xml:space="preserve">Evidence matrices, ranked hypotheses, integrated model, and practical conclusions</w:t>
      </w:r>
    </w:p>
    <w:p>
      <w:pPr>
        <w:pStyle w:val="FirstParagraph"/>
      </w:pPr>
      <w:r>
        <w:rPr>
          <w:b/>
          <w:bCs/>
        </w:rPr>
        <w:t xml:space="preserve">Part XIII — Intervention evidence matrix</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Intervention</w:t>
            </w:r>
          </w:p>
        </w:tc>
        <w:tc>
          <w:tcPr/>
          <w:p>
            <w:pPr>
              <w:pStyle w:val="Compact"/>
            </w:pPr>
            <w:r>
              <w:t xml:space="preserve">Proposed mechanism</w:t>
            </w:r>
          </w:p>
        </w:tc>
        <w:tc>
          <w:tcPr/>
          <w:p>
            <w:pPr>
              <w:pStyle w:val="Compact"/>
            </w:pPr>
            <w:r>
              <w:t xml:space="preserve">AS-specific human evidence</w:t>
            </w:r>
          </w:p>
        </w:tc>
        <w:tc>
          <w:tcPr/>
          <w:p>
            <w:pPr>
              <w:pStyle w:val="Compact"/>
            </w:pPr>
            <w:r>
              <w:t xml:space="preserve">Related-disease/general evidence</w:t>
            </w:r>
          </w:p>
        </w:tc>
        <w:tc>
          <w:tcPr/>
          <w:p>
            <w:pPr>
              <w:pStyle w:val="Compact"/>
            </w:pPr>
            <w:r>
              <w:t xml:space="preserve">Objective inflammatory outcomes</w:t>
            </w:r>
          </w:p>
        </w:tc>
        <w:tc>
          <w:tcPr/>
          <w:p>
            <w:pPr>
              <w:pStyle w:val="Compact"/>
            </w:pPr>
            <w:r>
              <w:t xml:space="preserve">Symptom outcomes</w:t>
            </w:r>
          </w:p>
        </w:tc>
        <w:tc>
          <w:tcPr/>
          <w:p>
            <w:pPr>
              <w:pStyle w:val="Compact"/>
            </w:pPr>
            <w:r>
              <w:t xml:space="preserve">Grade</w:t>
            </w:r>
          </w:p>
        </w:tc>
        <w:tc>
          <w:tcPr/>
          <w:p>
            <w:pPr>
              <w:pStyle w:val="Compact"/>
            </w:pPr>
            <w:r>
              <w:t xml:space="preserve">Major risks</w:t>
            </w:r>
          </w:p>
        </w:tc>
        <w:tc>
          <w:tcPr/>
          <w:p>
            <w:pPr>
              <w:pStyle w:val="Compact"/>
            </w:pPr>
            <w:r>
              <w:t xml:space="preserve">Confidence</w:t>
            </w:r>
          </w:p>
        </w:tc>
      </w:tr>
      <w:tr>
        <w:tc>
          <w:tcPr/>
          <w:p>
            <w:pPr>
              <w:pStyle w:val="Compact"/>
            </w:pPr>
            <w:r>
              <w:rPr>
                <w:b/>
                <w:bCs/>
              </w:rPr>
              <w:t xml:space="preserve">Structured exercise/physiotherapy</w:t>
            </w:r>
          </w:p>
        </w:tc>
        <w:tc>
          <w:tcPr/>
          <w:p>
            <w:pPr>
              <w:pStyle w:val="Compact"/>
            </w:pPr>
            <w:r>
              <w:t xml:space="preserve">Myokines, conditioning, load distribution, autonomic/metabolic effects</w:t>
            </w:r>
          </w:p>
        </w:tc>
        <w:tc>
          <w:tcPr/>
          <w:p>
            <w:pPr>
              <w:pStyle w:val="Compact"/>
            </w:pPr>
            <w:r>
              <w:t xml:space="preserve">Multiple RCTs/meta-analyses</w:t>
            </w:r>
            <w:r>
              <w:t xml:space="preserve"> </w:t>
            </w:r>
            <w:hyperlink r:id="rId19">
              <w:r>
                <w:rPr>
                  <w:rStyle w:val="Hyperlink"/>
                </w:rPr>
                <w:t xml:space="preserve">[127]</w:t>
              </w:r>
            </w:hyperlink>
          </w:p>
        </w:tc>
        <w:tc>
          <w:tcPr/>
          <w:p>
            <w:pPr>
              <w:pStyle w:val="Compact"/>
            </w:pPr>
            <w:r>
              <w:t xml:space="preserve">Strong</w:t>
            </w:r>
          </w:p>
        </w:tc>
        <w:tc>
          <w:tcPr/>
          <w:p>
            <w:pPr>
              <w:pStyle w:val="Compact"/>
            </w:pPr>
            <w:r>
              <w:t xml:space="preserve">Some inflammatory improvement reported, including EXTASI</w:t>
            </w:r>
            <w:r>
              <w:t xml:space="preserve"> </w:t>
            </w:r>
            <w:hyperlink r:id="rId97">
              <w:r>
                <w:rPr>
                  <w:rStyle w:val="Hyperlink"/>
                </w:rPr>
                <w:t xml:space="preserve">[128]</w:t>
              </w:r>
            </w:hyperlink>
          </w:p>
        </w:tc>
        <w:tc>
          <w:tcPr/>
          <w:p>
            <w:pPr>
              <w:pStyle w:val="Compact"/>
            </w:pPr>
            <w:r>
              <w:t xml:space="preserve">Consistent benefit</w:t>
            </w:r>
          </w:p>
        </w:tc>
        <w:tc>
          <w:tcPr/>
          <w:p>
            <w:pPr>
              <w:pStyle w:val="Compact"/>
            </w:pPr>
            <w:r>
              <w:rPr>
                <w:b/>
                <w:bCs/>
              </w:rPr>
              <w:t xml:space="preserve">A</w:t>
            </w:r>
            <w:r>
              <w:t xml:space="preserve"> </w:t>
            </w:r>
            <w:r>
              <w:t xml:space="preserve">supportive;</w:t>
            </w:r>
            <w:r>
              <w:t xml:space="preserve"> </w:t>
            </w:r>
            <w:r>
              <w:rPr>
                <w:b/>
                <w:bCs/>
              </w:rPr>
              <w:t xml:space="preserve">B/C</w:t>
            </w:r>
            <w:r>
              <w:t xml:space="preserve"> </w:t>
            </w:r>
            <w:r>
              <w:t xml:space="preserve">anti-inflammatory</w:t>
            </w:r>
          </w:p>
        </w:tc>
        <w:tc>
          <w:tcPr/>
          <w:p>
            <w:pPr>
              <w:pStyle w:val="Compact"/>
            </w:pPr>
            <w:r>
              <w:t xml:space="preserve">Overload/injury if poorly progressed</w:t>
            </w:r>
          </w:p>
        </w:tc>
        <w:tc>
          <w:tcPr/>
          <w:p>
            <w:pPr>
              <w:pStyle w:val="Compact"/>
            </w:pPr>
            <w:r>
              <w:rPr>
                <w:b/>
                <w:bCs/>
              </w:rPr>
              <w:t xml:space="preserve">High</w:t>
            </w:r>
          </w:p>
        </w:tc>
      </w:tr>
      <w:tr>
        <w:tc>
          <w:tcPr/>
          <w:p>
            <w:pPr>
              <w:pStyle w:val="Compact"/>
            </w:pPr>
            <w:r>
              <w:rPr>
                <w:b/>
                <w:bCs/>
              </w:rPr>
              <w:t xml:space="preserve">Smoking cessation</w:t>
            </w:r>
          </w:p>
        </w:tc>
        <w:tc>
          <w:tcPr/>
          <w:p>
            <w:pPr>
              <w:pStyle w:val="Compact"/>
            </w:pPr>
            <w:r>
              <w:t xml:space="preserve">Removes oxidative/mucosal/vascular inflammatory exposure</w:t>
            </w:r>
          </w:p>
        </w:tc>
        <w:tc>
          <w:tcPr/>
          <w:p>
            <w:pPr>
              <w:pStyle w:val="Compact"/>
            </w:pPr>
            <w:r>
              <w:t xml:space="preserve">Strong prognostic observational evidence</w:t>
            </w:r>
            <w:r>
              <w:t xml:space="preserve"> </w:t>
            </w:r>
            <w:hyperlink r:id="rId146">
              <w:r>
                <w:rPr>
                  <w:rStyle w:val="Hyperlink"/>
                </w:rPr>
                <w:t xml:space="preserve">[129]</w:t>
              </w:r>
            </w:hyperlink>
          </w:p>
        </w:tc>
        <w:tc>
          <w:tcPr/>
          <w:p>
            <w:pPr>
              <w:pStyle w:val="Compact"/>
            </w:pPr>
            <w:r>
              <w:t xml:space="preserve">Very strong general health</w:t>
            </w:r>
          </w:p>
        </w:tc>
        <w:tc>
          <w:tcPr/>
          <w:p>
            <w:pPr>
              <w:pStyle w:val="Compact"/>
            </w:pPr>
            <w:r>
              <w:t xml:space="preserve">Direct cessation-MRI data limited</w:t>
            </w:r>
          </w:p>
        </w:tc>
        <w:tc>
          <w:tcPr/>
          <w:p>
            <w:pPr>
              <w:pStyle w:val="Compact"/>
            </w:pPr>
            <w:r>
              <w:t xml:space="preserve">Indirect</w:t>
            </w:r>
          </w:p>
        </w:tc>
        <w:tc>
          <w:tcPr/>
          <w:p>
            <w:pPr>
              <w:pStyle w:val="Compact"/>
            </w:pPr>
            <w:r>
              <w:rPr>
                <w:b/>
                <w:bCs/>
              </w:rPr>
              <w:t xml:space="preserve">B/A risk reduction</w:t>
            </w:r>
          </w:p>
        </w:tc>
        <w:tc>
          <w:tcPr/>
          <w:p>
            <w:pPr>
              <w:pStyle w:val="Compact"/>
            </w:pPr>
            <w:r>
              <w:t xml:space="preserve">Minimal; withdrawal management</w:t>
            </w:r>
          </w:p>
        </w:tc>
        <w:tc>
          <w:tcPr/>
          <w:p>
            <w:pPr>
              <w:pStyle w:val="Compact"/>
            </w:pPr>
            <w:r>
              <w:rPr>
                <w:b/>
                <w:bCs/>
              </w:rPr>
              <w:t xml:space="preserve">High for overall value</w:t>
            </w:r>
          </w:p>
        </w:tc>
      </w:tr>
      <w:tr>
        <w:tc>
          <w:tcPr/>
          <w:p>
            <w:pPr>
              <w:pStyle w:val="Compact"/>
            </w:pPr>
            <w:r>
              <w:rPr>
                <w:b/>
                <w:bCs/>
              </w:rPr>
              <w:t xml:space="preserve">Weight/fat loss when overweight</w:t>
            </w:r>
          </w:p>
        </w:tc>
        <w:tc>
          <w:tcPr/>
          <w:p>
            <w:pPr>
              <w:pStyle w:val="Compact"/>
            </w:pPr>
            <w:r>
              <w:t xml:space="preserve">Less adipose signalling, insulin resistance and mechanical load</w:t>
            </w:r>
          </w:p>
        </w:tc>
        <w:tc>
          <w:tcPr/>
          <w:p>
            <w:pPr>
              <w:pStyle w:val="Compact"/>
            </w:pPr>
            <w:r>
              <w:t xml:space="preserve">BMI predicts outcome/remission; intervention studies lacking</w:t>
            </w:r>
            <w:r>
              <w:t xml:space="preserve"> </w:t>
            </w:r>
            <w:hyperlink r:id="rId22">
              <w:r>
                <w:rPr>
                  <w:rStyle w:val="Hyperlink"/>
                </w:rPr>
                <w:t xml:space="preserve">[13]</w:t>
              </w:r>
            </w:hyperlink>
          </w:p>
        </w:tc>
        <w:tc>
          <w:tcPr/>
          <w:p>
            <w:pPr>
              <w:pStyle w:val="Compact"/>
            </w:pPr>
            <w:r>
              <w:t xml:space="preserve">Strong metabolic evidence</w:t>
            </w:r>
          </w:p>
        </w:tc>
        <w:tc>
          <w:tcPr/>
          <w:p>
            <w:pPr>
              <w:pStyle w:val="Compact"/>
            </w:pPr>
            <w:r>
              <w:t xml:space="preserve">Not established in AS trials</w:t>
            </w:r>
          </w:p>
        </w:tc>
        <w:tc>
          <w:tcPr/>
          <w:p>
            <w:pPr>
              <w:pStyle w:val="Compact"/>
            </w:pPr>
            <w:r>
              <w:t xml:space="preserve">Likely functional benefit</w:t>
            </w:r>
          </w:p>
        </w:tc>
        <w:tc>
          <w:tcPr/>
          <w:p>
            <w:pPr>
              <w:pStyle w:val="Compact"/>
            </w:pPr>
            <w:r>
              <w:rPr>
                <w:b/>
                <w:bCs/>
              </w:rPr>
              <w:t xml:space="preserve">C</w:t>
            </w:r>
          </w:p>
        </w:tc>
        <w:tc>
          <w:tcPr/>
          <w:p>
            <w:pPr>
              <w:pStyle w:val="Compact"/>
            </w:pPr>
            <w:r>
              <w:t xml:space="preserve">Excessive restriction/loss of muscle</w:t>
            </w:r>
          </w:p>
        </w:tc>
        <w:tc>
          <w:tcPr/>
          <w:p>
            <w:pPr>
              <w:pStyle w:val="Compact"/>
            </w:pPr>
            <w:r>
              <w:rPr>
                <w:b/>
                <w:bCs/>
              </w:rPr>
              <w:t xml:space="preserve">Moderate</w:t>
            </w:r>
          </w:p>
        </w:tc>
      </w:tr>
      <w:tr>
        <w:tc>
          <w:tcPr/>
          <w:p>
            <w:pPr>
              <w:pStyle w:val="Compact"/>
            </w:pPr>
            <w:r>
              <w:rPr>
                <w:b/>
                <w:bCs/>
              </w:rPr>
              <w:t xml:space="preserve">Mediterranean-style diet</w:t>
            </w:r>
          </w:p>
        </w:tc>
        <w:tc>
          <w:tcPr/>
          <w:p>
            <w:pPr>
              <w:pStyle w:val="Compact"/>
            </w:pPr>
            <w:r>
              <w:t xml:space="preserve">Fibre/polyphenols/unsaturated fats/body composition</w:t>
            </w:r>
          </w:p>
        </w:tc>
        <w:tc>
          <w:tcPr/>
          <w:p>
            <w:pPr>
              <w:pStyle w:val="Compact"/>
            </w:pPr>
            <w:r>
              <w:t xml:space="preserve">Prospective AS study</w:t>
            </w:r>
            <w:r>
              <w:t xml:space="preserve"> </w:t>
            </w:r>
            <w:hyperlink r:id="rId101">
              <w:r>
                <w:rPr>
                  <w:rStyle w:val="Hyperlink"/>
                </w:rPr>
                <w:t xml:space="preserve">[130]</w:t>
              </w:r>
            </w:hyperlink>
          </w:p>
        </w:tc>
        <w:tc>
          <w:tcPr/>
          <w:p>
            <w:pPr>
              <w:pStyle w:val="Compact"/>
            </w:pPr>
            <w:r>
              <w:t xml:space="preserve">Strong cardiometabolic/anti-inflammatory evidence</w:t>
            </w:r>
          </w:p>
        </w:tc>
        <w:tc>
          <w:tcPr/>
          <w:p>
            <w:pPr>
              <w:pStyle w:val="Compact"/>
            </w:pPr>
            <w:r>
              <w:t xml:space="preserve">Possible ASDAS-CRP improvement; not definitive</w:t>
            </w:r>
          </w:p>
        </w:tc>
        <w:tc>
          <w:tcPr/>
          <w:p>
            <w:pPr>
              <w:pStyle w:val="Compact"/>
            </w:pPr>
            <w:r>
              <w:t xml:space="preserve">Possible</w:t>
            </w:r>
          </w:p>
        </w:tc>
        <w:tc>
          <w:tcPr/>
          <w:p>
            <w:pPr>
              <w:pStyle w:val="Compact"/>
            </w:pPr>
            <w:r>
              <w:rPr>
                <w:b/>
                <w:bCs/>
              </w:rPr>
              <w:t xml:space="preserve">B/C</w:t>
            </w:r>
          </w:p>
        </w:tc>
        <w:tc>
          <w:tcPr/>
          <w:p>
            <w:pPr>
              <w:pStyle w:val="Compact"/>
            </w:pPr>
            <w:r>
              <w:t xml:space="preserve">Low if nutritionally adequate</w:t>
            </w:r>
          </w:p>
        </w:tc>
        <w:tc>
          <w:tcPr/>
          <w:p>
            <w:pPr>
              <w:pStyle w:val="Compact"/>
            </w:pPr>
            <w:r>
              <w:rPr>
                <w:b/>
                <w:bCs/>
              </w:rPr>
              <w:t xml:space="preserve">Moderate</w:t>
            </w:r>
          </w:p>
        </w:tc>
      </w:tr>
      <w:tr>
        <w:tc>
          <w:tcPr/>
          <w:p>
            <w:pPr>
              <w:pStyle w:val="Compact"/>
            </w:pPr>
            <w:r>
              <w:rPr>
                <w:b/>
                <w:bCs/>
              </w:rPr>
              <w:t xml:space="preserve">Low-starch diet</w:t>
            </w:r>
          </w:p>
        </w:tc>
        <w:tc>
          <w:tcPr/>
          <w:p>
            <w:pPr>
              <w:pStyle w:val="Compact"/>
            </w:pPr>
            <w:r>
              <w:t xml:space="preserve">Klebsiella/substrate hypothesis</w:t>
            </w:r>
          </w:p>
        </w:tc>
        <w:tc>
          <w:tcPr/>
          <w:p>
            <w:pPr>
              <w:pStyle w:val="Compact"/>
            </w:pPr>
            <w:r>
              <w:t xml:space="preserve">Old uncontrolled AS intervention</w:t>
            </w:r>
            <w:r>
              <w:t xml:space="preserve"> </w:t>
            </w:r>
            <w:hyperlink r:id="rId90">
              <w:r>
                <w:rPr>
                  <w:rStyle w:val="Hyperlink"/>
                </w:rPr>
                <w:t xml:space="preserve">[86]</w:t>
              </w:r>
            </w:hyperlink>
          </w:p>
        </w:tc>
        <w:tc>
          <w:tcPr/>
          <w:p>
            <w:pPr>
              <w:pStyle w:val="Compact"/>
            </w:pPr>
            <w:r>
              <w:t xml:space="preserve">Weak</w:t>
            </w:r>
          </w:p>
        </w:tc>
        <w:tc>
          <w:tcPr/>
          <w:p>
            <w:pPr>
              <w:pStyle w:val="Compact"/>
            </w:pPr>
            <w:r>
              <w:t xml:space="preserve">Reported inflammatory reduction, uncontrolled</w:t>
            </w:r>
          </w:p>
        </w:tc>
        <w:tc>
          <w:tcPr/>
          <w:p>
            <w:pPr>
              <w:pStyle w:val="Compact"/>
            </w:pPr>
            <w:r>
              <w:t xml:space="preserve">Reported</w:t>
            </w:r>
          </w:p>
        </w:tc>
        <w:tc>
          <w:tcPr/>
          <w:p>
            <w:pPr>
              <w:pStyle w:val="Compact"/>
            </w:pPr>
            <w:r>
              <w:rPr>
                <w:b/>
                <w:bCs/>
              </w:rPr>
              <w:t xml:space="preserve">C/D</w:t>
            </w:r>
          </w:p>
        </w:tc>
        <w:tc>
          <w:tcPr/>
          <w:p>
            <w:pPr>
              <w:pStyle w:val="Compact"/>
            </w:pPr>
            <w:r>
              <w:t xml:space="preserve">Low fibre/micronutrient inadequacy if extreme</w:t>
            </w:r>
          </w:p>
        </w:tc>
        <w:tc>
          <w:tcPr/>
          <w:p>
            <w:pPr>
              <w:pStyle w:val="Compact"/>
            </w:pPr>
            <w:r>
              <w:rPr>
                <w:b/>
                <w:bCs/>
              </w:rPr>
              <w:t xml:space="preserve">Low</w:t>
            </w:r>
          </w:p>
        </w:tc>
      </w:tr>
      <w:tr>
        <w:tc>
          <w:tcPr/>
          <w:p>
            <w:pPr>
              <w:pStyle w:val="Compact"/>
            </w:pPr>
            <w:r>
              <w:rPr>
                <w:b/>
                <w:bCs/>
              </w:rPr>
              <w:t xml:space="preserve">Ketogenic diet</w:t>
            </w:r>
          </w:p>
        </w:tc>
        <w:tc>
          <w:tcPr/>
          <w:p>
            <w:pPr>
              <w:pStyle w:val="Compact"/>
            </w:pPr>
            <w:r>
              <w:t xml:space="preserve">Ketones, NLRP3, insulin/adiposity</w:t>
            </w:r>
          </w:p>
        </w:tc>
        <w:tc>
          <w:tcPr/>
          <w:p>
            <w:pPr>
              <w:pStyle w:val="Compact"/>
            </w:pPr>
            <w:r>
              <w:t xml:space="preserve">No persuasive AS RCT</w:t>
            </w:r>
          </w:p>
        </w:tc>
        <w:tc>
          <w:tcPr/>
          <w:p>
            <w:pPr>
              <w:pStyle w:val="Compact"/>
            </w:pPr>
            <w:r>
              <w:t xml:space="preserve">Emerging psoriasis/PsA/metabolic data</w:t>
            </w:r>
          </w:p>
        </w:tc>
        <w:tc>
          <w:tcPr/>
          <w:p>
            <w:pPr>
              <w:pStyle w:val="Compact"/>
            </w:pPr>
            <w:r>
              <w:t xml:space="preserve">Unknown</w:t>
            </w:r>
          </w:p>
        </w:tc>
        <w:tc>
          <w:tcPr/>
          <w:p>
            <w:pPr>
              <w:pStyle w:val="Compact"/>
            </w:pPr>
            <w:r>
              <w:t xml:space="preserve">Anecdotal</w:t>
            </w:r>
          </w:p>
        </w:tc>
        <w:tc>
          <w:tcPr/>
          <w:p>
            <w:pPr>
              <w:pStyle w:val="Compact"/>
            </w:pPr>
            <w:r>
              <w:rPr>
                <w:b/>
                <w:bCs/>
              </w:rPr>
              <w:t xml:space="preserve">D</w:t>
            </w:r>
          </w:p>
        </w:tc>
        <w:tc>
          <w:tcPr/>
          <w:p>
            <w:pPr>
              <w:pStyle w:val="Compact"/>
            </w:pPr>
            <w:r>
              <w:t xml:space="preserve">LDL rise in some, deficiencies, GI effects, restrictive burden</w:t>
            </w:r>
          </w:p>
        </w:tc>
        <w:tc>
          <w:tcPr/>
          <w:p>
            <w:pPr>
              <w:pStyle w:val="Compact"/>
            </w:pPr>
            <w:r>
              <w:rPr>
                <w:b/>
                <w:bCs/>
              </w:rPr>
              <w:t xml:space="preserve">Low</w:t>
            </w:r>
          </w:p>
        </w:tc>
      </w:tr>
      <w:tr>
        <w:tc>
          <w:tcPr/>
          <w:p>
            <w:pPr>
              <w:pStyle w:val="Compact"/>
            </w:pPr>
            <w:r>
              <w:rPr>
                <w:b/>
                <w:bCs/>
              </w:rPr>
              <w:t xml:space="preserve">Fasting/TRE</w:t>
            </w:r>
          </w:p>
        </w:tc>
        <w:tc>
          <w:tcPr/>
          <w:p>
            <w:pPr>
              <w:pStyle w:val="Compact"/>
            </w:pPr>
            <w:r>
              <w:t xml:space="preserve">Energy sensing, ketones, circadian/metabolic effects</w:t>
            </w:r>
          </w:p>
        </w:tc>
        <w:tc>
          <w:tcPr/>
          <w:p>
            <w:pPr>
              <w:pStyle w:val="Compact"/>
            </w:pPr>
            <w:r>
              <w:t xml:space="preserve">No convincing AS RCT</w:t>
            </w:r>
          </w:p>
        </w:tc>
        <w:tc>
          <w:tcPr/>
          <w:p>
            <w:pPr>
              <w:pStyle w:val="Compact"/>
            </w:pPr>
            <w:r>
              <w:t xml:space="preserve">Human metabolic data</w:t>
            </w:r>
          </w:p>
        </w:tc>
        <w:tc>
          <w:tcPr/>
          <w:p>
            <w:pPr>
              <w:pStyle w:val="Compact"/>
            </w:pPr>
            <w:r>
              <w:t xml:space="preserve">Unknown</w:t>
            </w:r>
          </w:p>
        </w:tc>
        <w:tc>
          <w:tcPr/>
          <w:p>
            <w:pPr>
              <w:pStyle w:val="Compact"/>
            </w:pPr>
            <w:r>
              <w:t xml:space="preserve">Unknown</w:t>
            </w:r>
          </w:p>
        </w:tc>
        <w:tc>
          <w:tcPr/>
          <w:p>
            <w:pPr>
              <w:pStyle w:val="Compact"/>
            </w:pPr>
            <w:r>
              <w:rPr>
                <w:b/>
                <w:bCs/>
              </w:rPr>
              <w:t xml:space="preserve">D</w:t>
            </w:r>
          </w:p>
        </w:tc>
        <w:tc>
          <w:tcPr/>
          <w:p>
            <w:pPr>
              <w:pStyle w:val="Compact"/>
            </w:pPr>
            <w:r>
              <w:t xml:space="preserve">Undernutrition, disordered-eating risk, hypoglycaemia with relevant therapies</w:t>
            </w:r>
          </w:p>
        </w:tc>
        <w:tc>
          <w:tcPr/>
          <w:p>
            <w:pPr>
              <w:pStyle w:val="Compact"/>
            </w:pPr>
            <w:r>
              <w:rPr>
                <w:b/>
                <w:bCs/>
              </w:rPr>
              <w:t xml:space="preserve">Low</w:t>
            </w:r>
          </w:p>
        </w:tc>
      </w:tr>
      <w:tr>
        <w:tc>
          <w:tcPr/>
          <w:p>
            <w:pPr>
              <w:pStyle w:val="Compact"/>
            </w:pPr>
            <w:r>
              <w:rPr>
                <w:b/>
                <w:bCs/>
              </w:rPr>
              <w:t xml:space="preserve">High-fibre/prebiotic diet</w:t>
            </w:r>
          </w:p>
        </w:tc>
        <w:tc>
          <w:tcPr/>
          <w:p>
            <w:pPr>
              <w:pStyle w:val="Compact"/>
            </w:pPr>
            <w:r>
              <w:t xml:space="preserve">SCFA/barrier/Treg effects</w:t>
            </w:r>
          </w:p>
        </w:tc>
        <w:tc>
          <w:tcPr/>
          <w:p>
            <w:pPr>
              <w:pStyle w:val="Compact"/>
            </w:pPr>
            <w:r>
              <w:t xml:space="preserve">No definitive AS intervention</w:t>
            </w:r>
          </w:p>
        </w:tc>
        <w:tc>
          <w:tcPr/>
          <w:p>
            <w:pPr>
              <w:pStyle w:val="Compact"/>
            </w:pPr>
            <w:r>
              <w:t xml:space="preserve">Strong mechanistic gut evidence</w:t>
            </w:r>
          </w:p>
        </w:tc>
        <w:tc>
          <w:tcPr/>
          <w:p>
            <w:pPr>
              <w:pStyle w:val="Compact"/>
            </w:pPr>
            <w:r>
              <w:t xml:space="preserve">Unknown</w:t>
            </w:r>
          </w:p>
        </w:tc>
        <w:tc>
          <w:tcPr/>
          <w:p>
            <w:pPr>
              <w:pStyle w:val="Compact"/>
            </w:pPr>
            <w:r>
              <w:t xml:space="preserve">Unknown</w:t>
            </w:r>
          </w:p>
        </w:tc>
        <w:tc>
          <w:tcPr/>
          <w:p>
            <w:pPr>
              <w:pStyle w:val="Compact"/>
            </w:pPr>
            <w:r>
              <w:rPr>
                <w:b/>
                <w:bCs/>
              </w:rPr>
              <w:t xml:space="preserve">D/C</w:t>
            </w:r>
          </w:p>
        </w:tc>
        <w:tc>
          <w:tcPr/>
          <w:p>
            <w:pPr>
              <w:pStyle w:val="Compact"/>
            </w:pPr>
            <w:r>
              <w:t xml:space="preserve">GI intolerance</w:t>
            </w:r>
          </w:p>
        </w:tc>
        <w:tc>
          <w:tcPr/>
          <w:p>
            <w:pPr>
              <w:pStyle w:val="Compact"/>
            </w:pPr>
            <w:r>
              <w:rPr>
                <w:b/>
                <w:bCs/>
              </w:rPr>
              <w:t xml:space="preserve">Low–moderate mechanistic</w:t>
            </w:r>
          </w:p>
        </w:tc>
      </w:tr>
      <w:tr>
        <w:tc>
          <w:tcPr/>
          <w:p>
            <w:pPr>
              <w:pStyle w:val="Compact"/>
            </w:pPr>
            <w:r>
              <w:rPr>
                <w:b/>
                <w:bCs/>
              </w:rPr>
              <w:t xml:space="preserve">Probiotics</w:t>
            </w:r>
          </w:p>
        </w:tc>
        <w:tc>
          <w:tcPr/>
          <w:p>
            <w:pPr>
              <w:pStyle w:val="Compact"/>
            </w:pPr>
            <w:r>
              <w:t xml:space="preserve">Microbiota/barrier modulation</w:t>
            </w:r>
          </w:p>
        </w:tc>
        <w:tc>
          <w:tcPr/>
          <w:p>
            <w:pPr>
              <w:pStyle w:val="Compact"/>
            </w:pPr>
            <w:r>
              <w:t xml:space="preserve">Controlled trial negative; PMID 20716665</w:t>
            </w:r>
            <w:r>
              <w:t xml:space="preserve"> </w:t>
            </w:r>
            <w:hyperlink r:id="rId20">
              <w:r>
                <w:rPr>
                  <w:rStyle w:val="Hyperlink"/>
                </w:rPr>
                <w:t xml:space="preserve">[112]</w:t>
              </w:r>
            </w:hyperlink>
          </w:p>
        </w:tc>
        <w:tc>
          <w:tcPr/>
          <w:p>
            <w:pPr>
              <w:pStyle w:val="Compact"/>
            </w:pPr>
            <w:r>
              <w:t xml:space="preserve">Mixed</w:t>
            </w:r>
          </w:p>
        </w:tc>
        <w:tc>
          <w:tcPr/>
          <w:p>
            <w:pPr>
              <w:pStyle w:val="Compact"/>
            </w:pPr>
            <w:r>
              <w:t xml:space="preserve">No established reduction</w:t>
            </w:r>
          </w:p>
        </w:tc>
        <w:tc>
          <w:tcPr/>
          <w:p>
            <w:pPr>
              <w:pStyle w:val="Compact"/>
            </w:pPr>
            <w:r>
              <w:t xml:space="preserve">No convincing benefit</w:t>
            </w:r>
          </w:p>
        </w:tc>
        <w:tc>
          <w:tcPr/>
          <w:p>
            <w:pPr>
              <w:pStyle w:val="Compact"/>
            </w:pPr>
            <w:r>
              <w:rPr>
                <w:b/>
                <w:bCs/>
              </w:rPr>
              <w:t xml:space="preserve">C negative</w:t>
            </w:r>
          </w:p>
        </w:tc>
        <w:tc>
          <w:tcPr/>
          <w:p>
            <w:pPr>
              <w:pStyle w:val="Compact"/>
            </w:pPr>
            <w:r>
              <w:t xml:space="preserve">Usually mild; rare infection risk</w:t>
            </w:r>
          </w:p>
        </w:tc>
        <w:tc>
          <w:tcPr/>
          <w:p>
            <w:pPr>
              <w:pStyle w:val="Compact"/>
            </w:pPr>
            <w:r>
              <w:rPr>
                <w:b/>
                <w:bCs/>
              </w:rPr>
              <w:t xml:space="preserve">Moderate that generic probiotics are insufficient</w:t>
            </w:r>
          </w:p>
        </w:tc>
      </w:tr>
      <w:tr>
        <w:tc>
          <w:tcPr/>
          <w:p>
            <w:pPr>
              <w:pStyle w:val="Compact"/>
            </w:pPr>
            <w:r>
              <w:rPr>
                <w:b/>
                <w:bCs/>
              </w:rPr>
              <w:t xml:space="preserve">FMT</w:t>
            </w:r>
          </w:p>
        </w:tc>
        <w:tc>
          <w:tcPr/>
          <w:p>
            <w:pPr>
              <w:pStyle w:val="Compact"/>
            </w:pPr>
            <w:r>
              <w:t xml:space="preserve">Ecosystem-level microbiome replacement</w:t>
            </w:r>
          </w:p>
        </w:tc>
        <w:tc>
          <w:tcPr/>
          <w:p>
            <w:pPr>
              <w:pStyle w:val="Compact"/>
            </w:pPr>
            <w:r>
              <w:t xml:space="preserve">Case report + ongoing trials</w:t>
            </w:r>
            <w:r>
              <w:t xml:space="preserve"> </w:t>
            </w:r>
            <w:hyperlink r:id="rId93">
              <w:r>
                <w:rPr>
                  <w:rStyle w:val="Hyperlink"/>
                </w:rPr>
                <w:t xml:space="preserve">[102]</w:t>
              </w:r>
            </w:hyperlink>
          </w:p>
        </w:tc>
        <w:tc>
          <w:tcPr/>
          <w:p>
            <w:pPr>
              <w:pStyle w:val="Compact"/>
            </w:pPr>
            <w:r>
              <w:t xml:space="preserve">Effective for specific infectious indications, experimental in inflammatory disease</w:t>
            </w:r>
          </w:p>
        </w:tc>
        <w:tc>
          <w:tcPr/>
          <w:p>
            <w:pPr>
              <w:pStyle w:val="Compact"/>
            </w:pPr>
            <w:r>
              <w:t xml:space="preserve">Case CRP signal only</w:t>
            </w:r>
          </w:p>
        </w:tc>
        <w:tc>
          <w:tcPr/>
          <w:p>
            <w:pPr>
              <w:pStyle w:val="Compact"/>
            </w:pPr>
            <w:r>
              <w:t xml:space="preserve">Case improvement</w:t>
            </w:r>
          </w:p>
        </w:tc>
        <w:tc>
          <w:tcPr/>
          <w:p>
            <w:pPr>
              <w:pStyle w:val="Compact"/>
            </w:pPr>
            <w:r>
              <w:rPr>
                <w:b/>
                <w:bCs/>
              </w:rPr>
              <w:t xml:space="preserve">E/C experimental</w:t>
            </w:r>
          </w:p>
        </w:tc>
        <w:tc>
          <w:tcPr/>
          <w:p>
            <w:pPr>
              <w:pStyle w:val="Compact"/>
            </w:pPr>
            <w:r>
              <w:t xml:space="preserve">Transmission of pathogens, serious GI/infectious complications</w:t>
            </w:r>
          </w:p>
        </w:tc>
        <w:tc>
          <w:tcPr/>
          <w:p>
            <w:pPr>
              <w:pStyle w:val="Compact"/>
            </w:pPr>
            <w:r>
              <w:rPr>
                <w:b/>
                <w:bCs/>
              </w:rPr>
              <w:t xml:space="preserve">Very low currently</w:t>
            </w:r>
          </w:p>
        </w:tc>
      </w:tr>
      <w:tr>
        <w:tc>
          <w:tcPr/>
          <w:p>
            <w:pPr>
              <w:pStyle w:val="Compact"/>
            </w:pPr>
            <w:r>
              <w:rPr>
                <w:b/>
                <w:bCs/>
              </w:rPr>
              <w:t xml:space="preserve">Omega-3</w:t>
            </w:r>
          </w:p>
        </w:tc>
        <w:tc>
          <w:tcPr/>
          <w:p>
            <w:pPr>
              <w:pStyle w:val="Compact"/>
            </w:pPr>
            <w:r>
              <w:t xml:space="preserve">Eicosanoids/SPM precursors</w:t>
            </w:r>
          </w:p>
        </w:tc>
        <w:tc>
          <w:tcPr/>
          <w:p>
            <w:pPr>
              <w:pStyle w:val="Compact"/>
            </w:pPr>
            <w:r>
              <w:t xml:space="preserve">Tiny randomized dose study; 4.55 g/day signal</w:t>
            </w:r>
            <w:r>
              <w:t xml:space="preserve"> </w:t>
            </w:r>
            <w:hyperlink r:id="rId21">
              <w:r>
                <w:rPr>
                  <w:rStyle w:val="Hyperlink"/>
                </w:rPr>
                <w:t xml:space="preserve">[103]</w:t>
              </w:r>
            </w:hyperlink>
          </w:p>
        </w:tc>
        <w:tc>
          <w:tcPr/>
          <w:p>
            <w:pPr>
              <w:pStyle w:val="Compact"/>
            </w:pPr>
            <w:r>
              <w:t xml:space="preserve">Broad inflammatory literature</w:t>
            </w:r>
          </w:p>
        </w:tc>
        <w:tc>
          <w:tcPr/>
          <w:p>
            <w:pPr>
              <w:pStyle w:val="Compact"/>
            </w:pPr>
            <w:r>
              <w:t xml:space="preserve">Weak/inconsistent</w:t>
            </w:r>
          </w:p>
        </w:tc>
        <w:tc>
          <w:tcPr/>
          <w:p>
            <w:pPr>
              <w:pStyle w:val="Compact"/>
            </w:pPr>
            <w:r>
              <w:t xml:space="preserve">Possible modest benefit</w:t>
            </w:r>
          </w:p>
        </w:tc>
        <w:tc>
          <w:tcPr/>
          <w:p>
            <w:pPr>
              <w:pStyle w:val="Compact"/>
            </w:pPr>
            <w:r>
              <w:rPr>
                <w:b/>
                <w:bCs/>
              </w:rPr>
              <w:t xml:space="preserve">C</w:t>
            </w:r>
          </w:p>
        </w:tc>
        <w:tc>
          <w:tcPr/>
          <w:p>
            <w:pPr>
              <w:pStyle w:val="Compact"/>
            </w:pPr>
            <w:r>
              <w:t xml:space="preserve">GI; antiplatelet interactions at high dose</w:t>
            </w:r>
            <w:r>
              <w:t xml:space="preserve"> </w:t>
            </w:r>
            <w:hyperlink r:id="rId113">
              <w:r>
                <w:rPr>
                  <w:rStyle w:val="Hyperlink"/>
                </w:rPr>
                <w:t xml:space="preserve">[104]</w:t>
              </w:r>
            </w:hyperlink>
          </w:p>
        </w:tc>
        <w:tc>
          <w:tcPr/>
          <w:p>
            <w:pPr>
              <w:pStyle w:val="Compact"/>
            </w:pPr>
            <w:r>
              <w:rPr>
                <w:b/>
                <w:bCs/>
              </w:rPr>
              <w:t xml:space="preserve">Low–moderate</w:t>
            </w:r>
          </w:p>
        </w:tc>
      </w:tr>
      <w:tr>
        <w:tc>
          <w:tcPr/>
          <w:p>
            <w:pPr>
              <w:pStyle w:val="Compact"/>
            </w:pPr>
            <w:r>
              <w:rPr>
                <w:b/>
                <w:bCs/>
              </w:rPr>
              <w:t xml:space="preserve">Vitamin D when deficient</w:t>
            </w:r>
          </w:p>
        </w:tc>
        <w:tc>
          <w:tcPr/>
          <w:p>
            <w:pPr>
              <w:pStyle w:val="Compact"/>
            </w:pPr>
            <w:r>
              <w:t xml:space="preserve">Mineral/bone and immune biology</w:t>
            </w:r>
          </w:p>
        </w:tc>
        <w:tc>
          <w:tcPr/>
          <w:p>
            <w:pPr>
              <w:pStyle w:val="Compact"/>
            </w:pPr>
            <w:r>
              <w:t xml:space="preserve">Deficiency association, no robust AS treatment effect</w:t>
            </w:r>
            <w:r>
              <w:t xml:space="preserve"> </w:t>
            </w:r>
            <w:hyperlink r:id="rId74">
              <w:r>
                <w:rPr>
                  <w:rStyle w:val="Hyperlink"/>
                </w:rPr>
                <w:t xml:space="preserve">[131]</w:t>
              </w:r>
            </w:hyperlink>
          </w:p>
        </w:tc>
        <w:tc>
          <w:tcPr/>
          <w:p>
            <w:pPr>
              <w:pStyle w:val="Compact"/>
            </w:pPr>
            <w:r>
              <w:t xml:space="preserve">Strong bone-health indication</w:t>
            </w:r>
          </w:p>
        </w:tc>
        <w:tc>
          <w:tcPr/>
          <w:p>
            <w:pPr>
              <w:pStyle w:val="Compact"/>
            </w:pPr>
            <w:r>
              <w:t xml:space="preserve">No proven AS effect</w:t>
            </w:r>
          </w:p>
        </w:tc>
        <w:tc>
          <w:tcPr/>
          <w:p>
            <w:pPr>
              <w:pStyle w:val="Compact"/>
            </w:pPr>
            <w:r>
              <w:t xml:space="preserve">No proven disease effect</w:t>
            </w:r>
          </w:p>
        </w:tc>
        <w:tc>
          <w:tcPr/>
          <w:p>
            <w:pPr>
              <w:pStyle w:val="Compact"/>
            </w:pPr>
            <w:r>
              <w:rPr>
                <w:b/>
                <w:bCs/>
              </w:rPr>
              <w:t xml:space="preserve">B for deficiency; D AS treatment</w:t>
            </w:r>
          </w:p>
        </w:tc>
        <w:tc>
          <w:tcPr/>
          <w:p>
            <w:pPr>
              <w:pStyle w:val="Compact"/>
            </w:pPr>
            <w:r>
              <w:t xml:space="preserve">Toxicity/hypercalcaemia with excessive dosing</w:t>
            </w:r>
            <w:r>
              <w:t xml:space="preserve"> </w:t>
            </w:r>
            <w:hyperlink r:id="rId114">
              <w:r>
                <w:rPr>
                  <w:rStyle w:val="Hyperlink"/>
                </w:rPr>
                <w:t xml:space="preserve">[106]</w:t>
              </w:r>
            </w:hyperlink>
          </w:p>
        </w:tc>
        <w:tc>
          <w:tcPr/>
          <w:p>
            <w:pPr>
              <w:pStyle w:val="Compact"/>
            </w:pPr>
            <w:r>
              <w:rPr>
                <w:b/>
                <w:bCs/>
              </w:rPr>
              <w:t xml:space="preserve">High for deficiency correction, low for remission</w:t>
            </w:r>
          </w:p>
        </w:tc>
      </w:tr>
      <w:tr>
        <w:tc>
          <w:tcPr/>
          <w:p>
            <w:pPr>
              <w:pStyle w:val="Compact"/>
            </w:pPr>
            <w:r>
              <w:rPr>
                <w:b/>
                <w:bCs/>
              </w:rPr>
              <w:t xml:space="preserve">Curcumin/Boswellia</w:t>
            </w:r>
          </w:p>
        </w:tc>
        <w:tc>
          <w:tcPr/>
          <w:p>
            <w:pPr>
              <w:pStyle w:val="Compact"/>
            </w:pPr>
            <w:r>
              <w:t xml:space="preserve">NF-κB/5-LOX/redox/inflammasome</w:t>
            </w:r>
          </w:p>
        </w:tc>
        <w:tc>
          <w:tcPr/>
          <w:p>
            <w:pPr>
              <w:pStyle w:val="Compact"/>
            </w:pPr>
            <w:r>
              <w:t xml:space="preserve">Diagnostic/quality limitations</w:t>
            </w:r>
            <w:r>
              <w:t xml:space="preserve"> </w:t>
            </w:r>
            <w:hyperlink r:id="rId116">
              <w:r>
                <w:rPr>
                  <w:rStyle w:val="Hyperlink"/>
                </w:rPr>
                <w:t xml:space="preserve">[108]</w:t>
              </w:r>
            </w:hyperlink>
          </w:p>
        </w:tc>
        <w:tc>
          <w:tcPr/>
          <w:p>
            <w:pPr>
              <w:pStyle w:val="Compact"/>
            </w:pPr>
            <w:r>
              <w:t xml:space="preserve">Some arthritis symptom literature</w:t>
            </w:r>
          </w:p>
        </w:tc>
        <w:tc>
          <w:tcPr/>
          <w:p>
            <w:pPr>
              <w:pStyle w:val="Compact"/>
            </w:pPr>
            <w:r>
              <w:t xml:space="preserve">Insufficient</w:t>
            </w:r>
          </w:p>
        </w:tc>
        <w:tc>
          <w:tcPr/>
          <w:p>
            <w:pPr>
              <w:pStyle w:val="Compact"/>
            </w:pPr>
            <w:r>
              <w:t xml:space="preserve">Possible symptom effects</w:t>
            </w:r>
          </w:p>
        </w:tc>
        <w:tc>
          <w:tcPr/>
          <w:p>
            <w:pPr>
              <w:pStyle w:val="Compact"/>
            </w:pPr>
            <w:r>
              <w:rPr>
                <w:b/>
                <w:bCs/>
              </w:rPr>
              <w:t xml:space="preserve">C/D</w:t>
            </w:r>
          </w:p>
        </w:tc>
        <w:tc>
          <w:tcPr/>
          <w:p>
            <w:pPr>
              <w:pStyle w:val="Compact"/>
            </w:pPr>
            <w:r>
              <w:t xml:space="preserve">Interactions, GI, product quality</w:t>
            </w:r>
          </w:p>
        </w:tc>
        <w:tc>
          <w:tcPr/>
          <w:p>
            <w:pPr>
              <w:pStyle w:val="Compact"/>
            </w:pPr>
            <w:r>
              <w:rPr>
                <w:b/>
                <w:bCs/>
              </w:rPr>
              <w:t xml:space="preserve">Low</w:t>
            </w:r>
          </w:p>
        </w:tc>
      </w:tr>
      <w:tr>
        <w:tc>
          <w:tcPr/>
          <w:p>
            <w:pPr>
              <w:pStyle w:val="Compact"/>
            </w:pPr>
            <w:r>
              <w:rPr>
                <w:b/>
                <w:bCs/>
              </w:rPr>
              <w:t xml:space="preserve">NAC/glutathione/polyphenol supplements</w:t>
            </w:r>
          </w:p>
        </w:tc>
        <w:tc>
          <w:tcPr/>
          <w:p>
            <w:pPr>
              <w:pStyle w:val="Compact"/>
            </w:pPr>
            <w:r>
              <w:t xml:space="preserve">Redox/NLRP3 signalling</w:t>
            </w:r>
          </w:p>
        </w:tc>
        <w:tc>
          <w:tcPr/>
          <w:p>
            <w:pPr>
              <w:pStyle w:val="Compact"/>
            </w:pPr>
            <w:r>
              <w:t xml:space="preserve">Essentially absent</w:t>
            </w:r>
          </w:p>
        </w:tc>
        <w:tc>
          <w:tcPr/>
          <w:p>
            <w:pPr>
              <w:pStyle w:val="Compact"/>
            </w:pPr>
            <w:r>
              <w:t xml:space="preserve">Preclinical/other disease</w:t>
            </w:r>
          </w:p>
        </w:tc>
        <w:tc>
          <w:tcPr/>
          <w:p>
            <w:pPr>
              <w:pStyle w:val="Compact"/>
            </w:pPr>
            <w:r>
              <w:t xml:space="preserve">Unknown</w:t>
            </w:r>
          </w:p>
        </w:tc>
        <w:tc>
          <w:tcPr/>
          <w:p>
            <w:pPr>
              <w:pStyle w:val="Compact"/>
            </w:pPr>
            <w:r>
              <w:t xml:space="preserve">Unknown</w:t>
            </w:r>
          </w:p>
        </w:tc>
        <w:tc>
          <w:tcPr/>
          <w:p>
            <w:pPr>
              <w:pStyle w:val="Compact"/>
            </w:pPr>
            <w:r>
              <w:rPr>
                <w:b/>
                <w:bCs/>
              </w:rPr>
              <w:t xml:space="preserve">D</w:t>
            </w:r>
          </w:p>
        </w:tc>
        <w:tc>
          <w:tcPr/>
          <w:p>
            <w:pPr>
              <w:pStyle w:val="Compact"/>
            </w:pPr>
            <w:r>
              <w:t xml:space="preserve">Dose/product interactions</w:t>
            </w:r>
          </w:p>
        </w:tc>
        <w:tc>
          <w:tcPr/>
          <w:p>
            <w:pPr>
              <w:pStyle w:val="Compact"/>
            </w:pPr>
            <w:r>
              <w:rPr>
                <w:b/>
                <w:bCs/>
              </w:rPr>
              <w:t xml:space="preserve">Low</w:t>
            </w:r>
          </w:p>
        </w:tc>
      </w:tr>
      <w:tr>
        <w:tc>
          <w:tcPr/>
          <w:p>
            <w:pPr>
              <w:pStyle w:val="Compact"/>
            </w:pPr>
            <w:r>
              <w:rPr>
                <w:b/>
                <w:bCs/>
              </w:rPr>
              <w:t xml:space="preserve">Magnesium/zinc/selenium</w:t>
            </w:r>
          </w:p>
        </w:tc>
        <w:tc>
          <w:tcPr/>
          <w:p>
            <w:pPr>
              <w:pStyle w:val="Compact"/>
            </w:pPr>
            <w:r>
              <w:t xml:space="preserve">Correct deficiency, redox/cofactor effects</w:t>
            </w:r>
          </w:p>
        </w:tc>
        <w:tc>
          <w:tcPr/>
          <w:p>
            <w:pPr>
              <w:pStyle w:val="Compact"/>
            </w:pPr>
            <w:r>
              <w:t xml:space="preserve">No efficacy evidence for replete AS patients</w:t>
            </w:r>
          </w:p>
        </w:tc>
        <w:tc>
          <w:tcPr/>
          <w:p>
            <w:pPr>
              <w:pStyle w:val="Compact"/>
            </w:pPr>
            <w:r>
              <w:t xml:space="preserve">Nutritional biology</w:t>
            </w:r>
          </w:p>
        </w:tc>
        <w:tc>
          <w:tcPr/>
          <w:p>
            <w:pPr>
              <w:pStyle w:val="Compact"/>
            </w:pPr>
            <w:r>
              <w:t xml:space="preserve">None established</w:t>
            </w:r>
          </w:p>
        </w:tc>
        <w:tc>
          <w:tcPr/>
          <w:p>
            <w:pPr>
              <w:pStyle w:val="Compact"/>
            </w:pPr>
            <w:r>
              <w:t xml:space="preserve">None established</w:t>
            </w:r>
          </w:p>
        </w:tc>
        <w:tc>
          <w:tcPr/>
          <w:p>
            <w:pPr>
              <w:pStyle w:val="Compact"/>
            </w:pPr>
            <w:r>
              <w:rPr>
                <w:b/>
                <w:bCs/>
              </w:rPr>
              <w:t xml:space="preserve">D unless deficient</w:t>
            </w:r>
          </w:p>
        </w:tc>
        <w:tc>
          <w:tcPr/>
          <w:p>
            <w:pPr>
              <w:pStyle w:val="Compact"/>
            </w:pPr>
            <w:r>
              <w:t xml:space="preserve">Excess/toxicity/interactions</w:t>
            </w:r>
            <w:r>
              <w:t xml:space="preserve"> </w:t>
            </w:r>
            <w:hyperlink r:id="rId115">
              <w:r>
                <w:rPr>
                  <w:rStyle w:val="Hyperlink"/>
                </w:rPr>
                <w:t xml:space="preserve">[132]</w:t>
              </w:r>
            </w:hyperlink>
          </w:p>
        </w:tc>
        <w:tc>
          <w:tcPr/>
          <w:p>
            <w:pPr>
              <w:pStyle w:val="Compact"/>
            </w:pPr>
            <w:r>
              <w:rPr>
                <w:b/>
                <w:bCs/>
              </w:rPr>
              <w:t xml:space="preserve">Low</w:t>
            </w:r>
          </w:p>
        </w:tc>
      </w:tr>
      <w:tr>
        <w:tc>
          <w:tcPr/>
          <w:p>
            <w:pPr>
              <w:pStyle w:val="Compact"/>
            </w:pPr>
            <w:r>
              <w:rPr>
                <w:b/>
                <w:bCs/>
              </w:rPr>
              <w:t xml:space="preserve">Sleep optimization</w:t>
            </w:r>
          </w:p>
        </w:tc>
        <w:tc>
          <w:tcPr/>
          <w:p>
            <w:pPr>
              <w:pStyle w:val="Compact"/>
            </w:pPr>
            <w:r>
              <w:t xml:space="preserve">Circadian/HPA/autonomic/pain regulation</w:t>
            </w:r>
          </w:p>
        </w:tc>
        <w:tc>
          <w:tcPr/>
          <w:p>
            <w:pPr>
              <w:pStyle w:val="Compact"/>
            </w:pPr>
            <w:r>
              <w:t xml:space="preserve">Strong association, weak intervention disease data</w:t>
            </w:r>
          </w:p>
        </w:tc>
        <w:tc>
          <w:tcPr/>
          <w:p>
            <w:pPr>
              <w:pStyle w:val="Compact"/>
            </w:pPr>
            <w:r>
              <w:t xml:space="preserve">Strong general health evidence</w:t>
            </w:r>
          </w:p>
        </w:tc>
        <w:tc>
          <w:tcPr/>
          <w:p>
            <w:pPr>
              <w:pStyle w:val="Compact"/>
            </w:pPr>
            <w:r>
              <w:t xml:space="preserve">No proven MRI remission</w:t>
            </w:r>
          </w:p>
        </w:tc>
        <w:tc>
          <w:tcPr/>
          <w:p>
            <w:pPr>
              <w:pStyle w:val="Compact"/>
            </w:pPr>
            <w:r>
              <w:t xml:space="preserve">Likely fatigue/pain benefit</w:t>
            </w:r>
          </w:p>
        </w:tc>
        <w:tc>
          <w:tcPr/>
          <w:p>
            <w:pPr>
              <w:pStyle w:val="Compact"/>
            </w:pPr>
            <w:r>
              <w:rPr>
                <w:b/>
                <w:bCs/>
              </w:rPr>
              <w:t xml:space="preserve">B symptoms; D/C inflammation</w:t>
            </w:r>
          </w:p>
        </w:tc>
        <w:tc>
          <w:tcPr/>
          <w:p>
            <w:pPr>
              <w:pStyle w:val="Compact"/>
            </w:pPr>
            <w:r>
              <w:t xml:space="preserve">Low</w:t>
            </w:r>
          </w:p>
        </w:tc>
        <w:tc>
          <w:tcPr/>
          <w:p>
            <w:pPr>
              <w:pStyle w:val="Compact"/>
            </w:pPr>
            <w:r>
              <w:rPr>
                <w:b/>
                <w:bCs/>
              </w:rPr>
              <w:t xml:space="preserve">Moderate</w:t>
            </w:r>
          </w:p>
        </w:tc>
      </w:tr>
      <w:tr>
        <w:tc>
          <w:tcPr/>
          <w:p>
            <w:pPr>
              <w:pStyle w:val="Compact"/>
            </w:pPr>
            <w:r>
              <w:rPr>
                <w:b/>
                <w:bCs/>
              </w:rPr>
              <w:t xml:space="preserve">Stress reduction/CBT/meditation</w:t>
            </w:r>
          </w:p>
        </w:tc>
        <w:tc>
          <w:tcPr/>
          <w:p>
            <w:pPr>
              <w:pStyle w:val="Compact"/>
            </w:pPr>
            <w:r>
              <w:t xml:space="preserve">Sympathetic/pain/HPA regulation</w:t>
            </w:r>
          </w:p>
        </w:tc>
        <w:tc>
          <w:tcPr/>
          <w:p>
            <w:pPr>
              <w:pStyle w:val="Compact"/>
            </w:pPr>
            <w:r>
              <w:t xml:space="preserve">Stress-flare association but intervention evidence weak</w:t>
            </w:r>
            <w:r>
              <w:t xml:space="preserve"> </w:t>
            </w:r>
            <w:hyperlink r:id="rId62">
              <w:r>
                <w:rPr>
                  <w:rStyle w:val="Hyperlink"/>
                </w:rPr>
                <w:t xml:space="preserve">[63]</w:t>
              </w:r>
            </w:hyperlink>
          </w:p>
        </w:tc>
        <w:tc>
          <w:tcPr/>
          <w:p>
            <w:pPr>
              <w:pStyle w:val="Compact"/>
            </w:pPr>
            <w:r>
              <w:t xml:space="preserve">Moderate stress/pain evidence</w:t>
            </w:r>
          </w:p>
        </w:tc>
        <w:tc>
          <w:tcPr/>
          <w:p>
            <w:pPr>
              <w:pStyle w:val="Compact"/>
            </w:pPr>
            <w:r>
              <w:t xml:space="preserve">Not established</w:t>
            </w:r>
          </w:p>
        </w:tc>
        <w:tc>
          <w:tcPr/>
          <w:p>
            <w:pPr>
              <w:pStyle w:val="Compact"/>
            </w:pPr>
            <w:r>
              <w:t xml:space="preserve">Likely subset benefit</w:t>
            </w:r>
          </w:p>
        </w:tc>
        <w:tc>
          <w:tcPr/>
          <w:p>
            <w:pPr>
              <w:pStyle w:val="Compact"/>
            </w:pPr>
            <w:r>
              <w:rPr>
                <w:b/>
                <w:bCs/>
              </w:rPr>
              <w:t xml:space="preserve">C</w:t>
            </w:r>
          </w:p>
        </w:tc>
        <w:tc>
          <w:tcPr/>
          <w:p>
            <w:pPr>
              <w:pStyle w:val="Compact"/>
            </w:pPr>
            <w:r>
              <w:t xml:space="preserve">Low</w:t>
            </w:r>
          </w:p>
        </w:tc>
        <w:tc>
          <w:tcPr/>
          <w:p>
            <w:pPr>
              <w:pStyle w:val="Compact"/>
            </w:pPr>
            <w:r>
              <w:rPr>
                <w:b/>
                <w:bCs/>
              </w:rPr>
              <w:t xml:space="preserve">Moderate for symptoms, low for disease modification</w:t>
            </w:r>
          </w:p>
        </w:tc>
      </w:tr>
      <w:tr>
        <w:tc>
          <w:tcPr/>
          <w:p>
            <w:pPr>
              <w:pStyle w:val="Compact"/>
            </w:pPr>
            <w:r>
              <w:rPr>
                <w:b/>
                <w:bCs/>
              </w:rPr>
              <w:t xml:space="preserve">Vagal stimulation</w:t>
            </w:r>
          </w:p>
        </w:tc>
        <w:tc>
          <w:tcPr/>
          <w:p>
            <w:pPr>
              <w:pStyle w:val="Compact"/>
            </w:pPr>
            <w:r>
              <w:t xml:space="preserve">Cholinergic anti-inflammatory reflex</w:t>
            </w:r>
          </w:p>
        </w:tc>
        <w:tc>
          <w:tcPr/>
          <w:p>
            <w:pPr>
              <w:pStyle w:val="Compact"/>
            </w:pPr>
            <w:r>
              <w:t xml:space="preserve">Very small open-label AS study in remission</w:t>
            </w:r>
            <w:r>
              <w:t xml:space="preserve"> </w:t>
            </w:r>
            <w:hyperlink r:id="rId50">
              <w:r>
                <w:rPr>
                  <w:rStyle w:val="Hyperlink"/>
                </w:rPr>
                <w:t xml:space="preserve">[55]</w:t>
              </w:r>
            </w:hyperlink>
          </w:p>
        </w:tc>
        <w:tc>
          <w:tcPr/>
          <w:p>
            <w:pPr>
              <w:pStyle w:val="Compact"/>
            </w:pPr>
            <w:r>
              <w:t xml:space="preserve">Emerging inflammatory disease field</w:t>
            </w:r>
          </w:p>
        </w:tc>
        <w:tc>
          <w:tcPr/>
          <w:p>
            <w:pPr>
              <w:pStyle w:val="Compact"/>
            </w:pPr>
            <w:r>
              <w:t xml:space="preserve">Cytokine changes, no remission induction proof</w:t>
            </w:r>
          </w:p>
        </w:tc>
        <w:tc>
          <w:tcPr/>
          <w:p>
            <w:pPr>
              <w:pStyle w:val="Compact"/>
            </w:pPr>
            <w:r>
              <w:t xml:space="preserve">Unclear</w:t>
            </w:r>
          </w:p>
        </w:tc>
        <w:tc>
          <w:tcPr/>
          <w:p>
            <w:pPr>
              <w:pStyle w:val="Compact"/>
            </w:pPr>
            <w:r>
              <w:rPr>
                <w:b/>
                <w:bCs/>
              </w:rPr>
              <w:t xml:space="preserve">C/D</w:t>
            </w:r>
          </w:p>
        </w:tc>
        <w:tc>
          <w:tcPr/>
          <w:p>
            <w:pPr>
              <w:pStyle w:val="Compact"/>
            </w:pPr>
            <w:r>
              <w:t xml:space="preserve">Device-specific</w:t>
            </w:r>
          </w:p>
        </w:tc>
        <w:tc>
          <w:tcPr/>
          <w:p>
            <w:pPr>
              <w:pStyle w:val="Compact"/>
            </w:pPr>
            <w:r>
              <w:rPr>
                <w:b/>
                <w:bCs/>
              </w:rPr>
              <w:t xml:space="preserve">Low</w:t>
            </w:r>
          </w:p>
        </w:tc>
      </w:tr>
      <w:tr>
        <w:tc>
          <w:tcPr/>
          <w:p>
            <w:pPr>
              <w:pStyle w:val="Compact"/>
            </w:pPr>
            <w:r>
              <w:rPr>
                <w:b/>
                <w:bCs/>
              </w:rPr>
              <w:t xml:space="preserve">Heat/sauna</w:t>
            </w:r>
          </w:p>
        </w:tc>
        <w:tc>
          <w:tcPr/>
          <w:p>
            <w:pPr>
              <w:pStyle w:val="Compact"/>
            </w:pPr>
            <w:r>
              <w:t xml:space="preserve">Muscle relaxation, circulation, heat-shock physiology</w:t>
            </w:r>
          </w:p>
        </w:tc>
        <w:tc>
          <w:tcPr/>
          <w:p>
            <w:pPr>
              <w:pStyle w:val="Compact"/>
            </w:pPr>
            <w:r>
              <w:t xml:space="preserve">Insufficient</w:t>
            </w:r>
          </w:p>
        </w:tc>
        <w:tc>
          <w:tcPr/>
          <w:p>
            <w:pPr>
              <w:pStyle w:val="Compact"/>
            </w:pPr>
            <w:r>
              <w:t xml:space="preserve">General symptom physiology</w:t>
            </w:r>
          </w:p>
        </w:tc>
        <w:tc>
          <w:tcPr/>
          <w:p>
            <w:pPr>
              <w:pStyle w:val="Compact"/>
            </w:pPr>
            <w:r>
              <w:t xml:space="preserve">No evidence</w:t>
            </w:r>
          </w:p>
        </w:tc>
        <w:tc>
          <w:tcPr/>
          <w:p>
            <w:pPr>
              <w:pStyle w:val="Compact"/>
            </w:pPr>
            <w:r>
              <w:t xml:space="preserve">Possible stiffness relief</w:t>
            </w:r>
          </w:p>
        </w:tc>
        <w:tc>
          <w:tcPr/>
          <w:p>
            <w:pPr>
              <w:pStyle w:val="Compact"/>
            </w:pPr>
            <w:r>
              <w:rPr>
                <w:b/>
                <w:bCs/>
              </w:rPr>
              <w:t xml:space="preserve">D</w:t>
            </w:r>
          </w:p>
        </w:tc>
        <w:tc>
          <w:tcPr/>
          <w:p>
            <w:pPr>
              <w:pStyle w:val="Compact"/>
            </w:pPr>
            <w:r>
              <w:t xml:space="preserve">Dehydration, hypotension</w:t>
            </w:r>
          </w:p>
        </w:tc>
        <w:tc>
          <w:tcPr/>
          <w:p>
            <w:pPr>
              <w:pStyle w:val="Compact"/>
            </w:pPr>
            <w:r>
              <w:rPr>
                <w:b/>
                <w:bCs/>
              </w:rPr>
              <w:t xml:space="preserve">Low</w:t>
            </w:r>
          </w:p>
        </w:tc>
      </w:tr>
      <w:tr>
        <w:tc>
          <w:tcPr/>
          <w:p>
            <w:pPr>
              <w:pStyle w:val="Compact"/>
            </w:pPr>
            <w:r>
              <w:rPr>
                <w:b/>
                <w:bCs/>
              </w:rPr>
              <w:t xml:space="preserve">Cold exposure</w:t>
            </w:r>
          </w:p>
        </w:tc>
        <w:tc>
          <w:tcPr/>
          <w:p>
            <w:pPr>
              <w:pStyle w:val="Compact"/>
            </w:pPr>
            <w:r>
              <w:t xml:space="preserve">Nociception/catecholamines</w:t>
            </w:r>
          </w:p>
        </w:tc>
        <w:tc>
          <w:tcPr/>
          <w:p>
            <w:pPr>
              <w:pStyle w:val="Compact"/>
            </w:pPr>
            <w:r>
              <w:t xml:space="preserve">Insufficient</w:t>
            </w:r>
          </w:p>
        </w:tc>
        <w:tc>
          <w:tcPr/>
          <w:p>
            <w:pPr>
              <w:pStyle w:val="Compact"/>
            </w:pPr>
            <w:r>
              <w:t xml:space="preserve">General/experimental</w:t>
            </w:r>
          </w:p>
        </w:tc>
        <w:tc>
          <w:tcPr/>
          <w:p>
            <w:pPr>
              <w:pStyle w:val="Compact"/>
            </w:pPr>
            <w:r>
              <w:t xml:space="preserve">No evidence</w:t>
            </w:r>
          </w:p>
        </w:tc>
        <w:tc>
          <w:tcPr/>
          <w:p>
            <w:pPr>
              <w:pStyle w:val="Compact"/>
            </w:pPr>
            <w:r>
              <w:t xml:space="preserve">Temporary analgesia possible</w:t>
            </w:r>
          </w:p>
        </w:tc>
        <w:tc>
          <w:tcPr/>
          <w:p>
            <w:pPr>
              <w:pStyle w:val="Compact"/>
            </w:pPr>
            <w:r>
              <w:rPr>
                <w:b/>
                <w:bCs/>
              </w:rPr>
              <w:t xml:space="preserve">D</w:t>
            </w:r>
          </w:p>
        </w:tc>
        <w:tc>
          <w:tcPr/>
          <w:p>
            <w:pPr>
              <w:pStyle w:val="Compact"/>
            </w:pPr>
            <w:r>
              <w:t xml:space="preserve">Cold injury/cardiovascular stress</w:t>
            </w:r>
          </w:p>
        </w:tc>
        <w:tc>
          <w:tcPr/>
          <w:p>
            <w:pPr>
              <w:pStyle w:val="Compact"/>
            </w:pPr>
            <w:r>
              <w:rPr>
                <w:b/>
                <w:bCs/>
              </w:rPr>
              <w:t xml:space="preserve">Very low</w:t>
            </w:r>
          </w:p>
        </w:tc>
      </w:tr>
    </w:tbl>
    <w:p>
      <w:pPr>
        <w:pStyle w:val="BodyText"/>
      </w:pPr>
      <w:r>
        <w:rPr>
          <w:b/>
          <w:bCs/>
        </w:rPr>
        <w:t xml:space="preserve">Disease-modification hierarchy</w:t>
      </w:r>
    </w:p>
    <w:p>
      <w:pPr>
        <w:pStyle w:val="BodyText"/>
      </w:pPr>
      <w:r>
        <w:t xml:space="preserve">There is a major gap between</w:t>
      </w:r>
      <w:r>
        <w:t xml:space="preserve"> </w:t>
      </w:r>
      <w:r>
        <w:rPr>
          <w:b/>
          <w:bCs/>
        </w:rPr>
        <w:t xml:space="preserve">symptom support</w:t>
      </w:r>
      <w:r>
        <w:t xml:space="preserve"> </w:t>
      </w:r>
      <w:r>
        <w:t xml:space="preserve">and</w:t>
      </w:r>
      <w:r>
        <w:t xml:space="preserve"> </w:t>
      </w:r>
      <w:r>
        <w:rPr>
          <w:b/>
          <w:bCs/>
        </w:rPr>
        <w:t xml:space="preserve">true disease modification</w:t>
      </w:r>
      <w:r>
        <w:t xml:space="preserve">. For most entries above, structural effects on syndesmophyte formation or sustained MRI inflammatory remission have simply not been demonstrated.</w:t>
      </w:r>
    </w:p>
    <w:p>
      <w:pPr>
        <w:pStyle w:val="BodyText"/>
      </w:pPr>
      <w:r>
        <w:rPr>
          <w:b/>
          <w:bCs/>
        </w:rPr>
        <w:t xml:space="preserve">Part XIV — Flare-mechanism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Potential mechanism</w:t>
            </w:r>
          </w:p>
        </w:tc>
        <w:tc>
          <w:tcPr/>
          <w:p>
            <w:pPr>
              <w:pStyle w:val="Compact"/>
            </w:pPr>
            <w:r>
              <w:t xml:space="preserve">Proposed trigger</w:t>
            </w:r>
          </w:p>
        </w:tc>
        <w:tc>
          <w:tcPr/>
          <w:p>
            <w:pPr>
              <w:pStyle w:val="Compact"/>
            </w:pPr>
            <w:r>
              <w:t xml:space="preserve">Biological sequence</w:t>
            </w:r>
          </w:p>
        </w:tc>
        <w:tc>
          <w:tcPr/>
          <w:p>
            <w:pPr>
              <w:pStyle w:val="Compact"/>
            </w:pPr>
            <w:r>
              <w:t xml:space="preserve">Supporting evidence</w:t>
            </w:r>
          </w:p>
        </w:tc>
        <w:tc>
          <w:tcPr/>
          <w:p>
            <w:pPr>
              <w:pStyle w:val="Compact"/>
            </w:pPr>
            <w:r>
              <w:t xml:space="preserve">Contradictions/uncertainty</w:t>
            </w:r>
          </w:p>
        </w:tc>
        <w:tc>
          <w:tcPr/>
          <w:p>
            <w:pPr>
              <w:pStyle w:val="Compact"/>
            </w:pPr>
            <w:r>
              <w:t xml:space="preserve">Relevant biomarkers</w:t>
            </w:r>
          </w:p>
        </w:tc>
        <w:tc>
          <w:tcPr/>
          <w:p>
            <w:pPr>
              <w:pStyle w:val="Compact"/>
            </w:pPr>
            <w:r>
              <w:t xml:space="preserve">Intervention point</w:t>
            </w:r>
          </w:p>
        </w:tc>
        <w:tc>
          <w:tcPr/>
          <w:p>
            <w:pPr>
              <w:pStyle w:val="Compact"/>
            </w:pPr>
            <w:r>
              <w:t xml:space="preserve">Confidence</w:t>
            </w:r>
          </w:p>
        </w:tc>
      </w:tr>
      <w:tr>
        <w:tc>
          <w:tcPr/>
          <w:p>
            <w:pPr>
              <w:pStyle w:val="Compact"/>
            </w:pPr>
            <w:r>
              <w:rPr>
                <w:b/>
                <w:bCs/>
              </w:rPr>
              <w:t xml:space="preserve">Mucosal/infectious flare</w:t>
            </w:r>
          </w:p>
        </w:tc>
        <w:tc>
          <w:tcPr/>
          <w:p>
            <w:pPr>
              <w:pStyle w:val="Compact"/>
            </w:pPr>
            <w:r>
              <w:t xml:space="preserve">GI/respiratory infection, intestinal inflammation</w:t>
            </w:r>
          </w:p>
        </w:tc>
        <w:tc>
          <w:tcPr/>
          <w:p>
            <w:pPr>
              <w:pStyle w:val="Compact"/>
            </w:pPr>
            <w:r>
              <w:t xml:space="preserve">Infection → innate mucosal signals → type-3 cells → systemic activation → enthesis</w:t>
            </w:r>
          </w:p>
        </w:tc>
        <w:tc>
          <w:tcPr/>
          <w:p>
            <w:pPr>
              <w:pStyle w:val="Compact"/>
            </w:pPr>
            <w:r>
              <w:t xml:space="preserve">Infection–SpA biology; gut inflammation common</w:t>
            </w:r>
            <w:r>
              <w:t xml:space="preserve"> </w:t>
            </w:r>
            <w:hyperlink r:id="rId57">
              <w:r>
                <w:rPr>
                  <w:rStyle w:val="Hyperlink"/>
                </w:rPr>
                <w:t xml:space="preserve">[133]</w:t>
              </w:r>
            </w:hyperlink>
          </w:p>
        </w:tc>
        <w:tc>
          <w:tcPr/>
          <w:p>
            <w:pPr>
              <w:pStyle w:val="Compact"/>
            </w:pPr>
            <w:r>
              <w:t xml:space="preserve">Few pre-flare serial human datasets</w:t>
            </w:r>
          </w:p>
        </w:tc>
        <w:tc>
          <w:tcPr/>
          <w:p>
            <w:pPr>
              <w:pStyle w:val="Compact"/>
            </w:pPr>
            <w:r>
              <w:t xml:space="preserve">CRP, fecal calprotectin; experimental microbiome/cytokines</w:t>
            </w:r>
          </w:p>
        </w:tc>
        <w:tc>
          <w:tcPr/>
          <w:p>
            <w:pPr>
              <w:pStyle w:val="Compact"/>
            </w:pPr>
            <w:r>
              <w:t xml:space="preserve">Treat actual infection/IBD; barrier research</w:t>
            </w:r>
          </w:p>
        </w:tc>
        <w:tc>
          <w:tcPr/>
          <w:p>
            <w:pPr>
              <w:pStyle w:val="Compact"/>
            </w:pPr>
            <w:r>
              <w:rPr>
                <w:b/>
                <w:bCs/>
              </w:rPr>
              <w:t xml:space="preserve">C</w:t>
            </w:r>
          </w:p>
        </w:tc>
      </w:tr>
      <w:tr>
        <w:tc>
          <w:tcPr/>
          <w:p>
            <w:pPr>
              <w:pStyle w:val="Compact"/>
            </w:pPr>
            <w:r>
              <w:rPr>
                <w:b/>
                <w:bCs/>
              </w:rPr>
              <w:t xml:space="preserve">Microbiome perturbation</w:t>
            </w:r>
          </w:p>
        </w:tc>
        <w:tc>
          <w:tcPr/>
          <w:p>
            <w:pPr>
              <w:pStyle w:val="Compact"/>
            </w:pPr>
            <w:r>
              <w:t xml:space="preserve">Diet, antibiotics, infection, gut disturbance</w:t>
            </w:r>
          </w:p>
        </w:tc>
        <w:tc>
          <w:tcPr/>
          <w:p>
            <w:pPr>
              <w:pStyle w:val="Compact"/>
            </w:pPr>
            <w:r>
              <w:t xml:space="preserve">ecology/metabolites → barrier/immune change → IL-17 axis</w:t>
            </w:r>
          </w:p>
        </w:tc>
        <w:tc>
          <w:tcPr/>
          <w:p>
            <w:pPr>
              <w:pStyle w:val="Compact"/>
            </w:pPr>
            <w:r>
              <w:t xml:space="preserve">Dysbiosis meta-analyses</w:t>
            </w:r>
            <w:r>
              <w:t xml:space="preserve"> </w:t>
            </w:r>
            <w:hyperlink r:id="rId13">
              <w:r>
                <w:rPr>
                  <w:rStyle w:val="Hyperlink"/>
                </w:rPr>
                <w:t xml:space="preserve">[134]</w:t>
              </w:r>
            </w:hyperlink>
          </w:p>
        </w:tc>
        <w:tc>
          <w:tcPr/>
          <w:p>
            <w:pPr>
              <w:pStyle w:val="Compact"/>
            </w:pPr>
            <w:r>
              <w:t xml:space="preserve">Reverse causation; probiotics negative</w:t>
            </w:r>
          </w:p>
        </w:tc>
        <w:tc>
          <w:tcPr/>
          <w:p>
            <w:pPr>
              <w:pStyle w:val="Compact"/>
            </w:pPr>
            <w:r>
              <w:t xml:space="preserve">Fecal calprotectin; research metagenomics/metabolomics</w:t>
            </w:r>
          </w:p>
        </w:tc>
        <w:tc>
          <w:tcPr/>
          <w:p>
            <w:pPr>
              <w:pStyle w:val="Compact"/>
            </w:pPr>
            <w:r>
              <w:t xml:space="preserve">Diet/FMT/prebiotic research</w:t>
            </w:r>
          </w:p>
        </w:tc>
        <w:tc>
          <w:tcPr/>
          <w:p>
            <w:pPr>
              <w:pStyle w:val="Compact"/>
            </w:pPr>
            <w:r>
              <w:rPr>
                <w:b/>
                <w:bCs/>
              </w:rPr>
              <w:t xml:space="preserve">C/D</w:t>
            </w:r>
          </w:p>
        </w:tc>
      </w:tr>
      <w:tr>
        <w:tc>
          <w:tcPr/>
          <w:p>
            <w:pPr>
              <w:pStyle w:val="Compact"/>
            </w:pPr>
            <w:r>
              <w:rPr>
                <w:b/>
                <w:bCs/>
              </w:rPr>
              <w:t xml:space="preserve">Mechanical enthesis ignition</w:t>
            </w:r>
          </w:p>
        </w:tc>
        <w:tc>
          <w:tcPr/>
          <w:p>
            <w:pPr>
              <w:pStyle w:val="Compact"/>
            </w:pPr>
            <w:r>
              <w:t xml:space="preserve">Unaccustomed repetitive/high focal load</w:t>
            </w:r>
          </w:p>
        </w:tc>
        <w:tc>
          <w:tcPr/>
          <w:p>
            <w:pPr>
              <w:pStyle w:val="Compact"/>
            </w:pPr>
            <w:r>
              <w:t xml:space="preserve">microdamage/ATP → macrophage/NLRP3 → neutrophils/IL-17/TNF</w:t>
            </w:r>
          </w:p>
        </w:tc>
        <w:tc>
          <w:tcPr/>
          <w:p>
            <w:pPr>
              <w:pStyle w:val="Compact"/>
            </w:pPr>
            <w:r>
              <w:t xml:space="preserve">Strong enthesis biology</w:t>
            </w:r>
            <w:r>
              <w:t xml:space="preserve"> </w:t>
            </w:r>
            <w:hyperlink r:id="rId28">
              <w:r>
                <w:rPr>
                  <w:rStyle w:val="Hyperlink"/>
                </w:rPr>
                <w:t xml:space="preserve">[62]</w:t>
              </w:r>
            </w:hyperlink>
          </w:p>
        </w:tc>
        <w:tc>
          <w:tcPr/>
          <w:p>
            <w:pPr>
              <w:pStyle w:val="Compact"/>
            </w:pPr>
            <w:r>
              <w:t xml:space="preserve">Direct prospective flare evidence scarce</w:t>
            </w:r>
          </w:p>
        </w:tc>
        <w:tc>
          <w:tcPr/>
          <w:p>
            <w:pPr>
              <w:pStyle w:val="Compact"/>
            </w:pPr>
            <w:r>
              <w:t xml:space="preserve">MRI, local ultrasound research markers</w:t>
            </w:r>
          </w:p>
        </w:tc>
        <w:tc>
          <w:tcPr/>
          <w:p>
            <w:pPr>
              <w:pStyle w:val="Compact"/>
            </w:pPr>
            <w:r>
              <w:t xml:space="preserve">Load management and progressive conditioning</w:t>
            </w:r>
          </w:p>
        </w:tc>
        <w:tc>
          <w:tcPr/>
          <w:p>
            <w:pPr>
              <w:pStyle w:val="Compact"/>
            </w:pPr>
            <w:r>
              <w:rPr>
                <w:b/>
                <w:bCs/>
              </w:rPr>
              <w:t xml:space="preserve">B mechanism/C flare evidence</w:t>
            </w:r>
          </w:p>
        </w:tc>
      </w:tr>
      <w:tr>
        <w:tc>
          <w:tcPr/>
          <w:p>
            <w:pPr>
              <w:pStyle w:val="Compact"/>
            </w:pPr>
            <w:r>
              <w:rPr>
                <w:b/>
                <w:bCs/>
              </w:rPr>
              <w:t xml:space="preserve">Acute stress flare</w:t>
            </w:r>
          </w:p>
        </w:tc>
        <w:tc>
          <w:tcPr/>
          <w:p>
            <w:pPr>
              <w:pStyle w:val="Compact"/>
            </w:pPr>
            <w:r>
              <w:t xml:space="preserve">Major unexpected stress</w:t>
            </w:r>
          </w:p>
        </w:tc>
        <w:tc>
          <w:tcPr/>
          <w:p>
            <w:pPr>
              <w:pStyle w:val="Compact"/>
            </w:pPr>
            <w:r>
              <w:t xml:space="preserve">SNS/sleep/HPA changes → immune/pain amplification</w:t>
            </w:r>
          </w:p>
        </w:tc>
        <w:tc>
          <w:tcPr/>
          <w:p>
            <w:pPr>
              <w:pStyle w:val="Compact"/>
            </w:pPr>
            <w:r>
              <w:t xml:space="preserve">Human prospective association</w:t>
            </w:r>
            <w:r>
              <w:t xml:space="preserve"> </w:t>
            </w:r>
            <w:hyperlink r:id="rId62">
              <w:r>
                <w:rPr>
                  <w:rStyle w:val="Hyperlink"/>
                </w:rPr>
                <w:t xml:space="preserve">[63]</w:t>
              </w:r>
            </w:hyperlink>
          </w:p>
        </w:tc>
        <w:tc>
          <w:tcPr/>
          <w:p>
            <w:pPr>
              <w:pStyle w:val="Compact"/>
            </w:pPr>
            <w:r>
              <w:t xml:space="preserve">Effect modest/heterogeneous</w:t>
            </w:r>
          </w:p>
        </w:tc>
        <w:tc>
          <w:tcPr/>
          <w:p>
            <w:pPr>
              <w:pStyle w:val="Compact"/>
            </w:pPr>
            <w:r>
              <w:t xml:space="preserve">HRV, cortisol research measures; CRP</w:t>
            </w:r>
          </w:p>
        </w:tc>
        <w:tc>
          <w:tcPr/>
          <w:p>
            <w:pPr>
              <w:pStyle w:val="Compact"/>
            </w:pPr>
            <w:r>
              <w:t xml:space="preserve">Stress/sleep intervention</w:t>
            </w:r>
          </w:p>
        </w:tc>
        <w:tc>
          <w:tcPr/>
          <w:p>
            <w:pPr>
              <w:pStyle w:val="Compact"/>
            </w:pPr>
            <w:r>
              <w:rPr>
                <w:b/>
                <w:bCs/>
              </w:rPr>
              <w:t xml:space="preserve">C</w:t>
            </w:r>
          </w:p>
        </w:tc>
      </w:tr>
      <w:tr>
        <w:tc>
          <w:tcPr/>
          <w:p>
            <w:pPr>
              <w:pStyle w:val="Compact"/>
            </w:pPr>
            <w:r>
              <w:rPr>
                <w:b/>
                <w:bCs/>
              </w:rPr>
              <w:t xml:space="preserve">Sleep/circadian amplifier</w:t>
            </w:r>
          </w:p>
        </w:tc>
        <w:tc>
          <w:tcPr/>
          <w:p>
            <w:pPr>
              <w:pStyle w:val="Compact"/>
            </w:pPr>
            <w:r>
              <w:t xml:space="preserve">Sleep loss/shift work</w:t>
            </w:r>
          </w:p>
        </w:tc>
        <w:tc>
          <w:tcPr/>
          <w:p>
            <w:pPr>
              <w:pStyle w:val="Compact"/>
            </w:pPr>
            <w:r>
              <w:t xml:space="preserve">circadian/endocrine disruption → inflammatory and nociceptive amplification</w:t>
            </w:r>
          </w:p>
        </w:tc>
        <w:tc>
          <w:tcPr/>
          <w:p>
            <w:pPr>
              <w:pStyle w:val="Compact"/>
            </w:pPr>
            <w:r>
              <w:t xml:space="preserve">Strong association</w:t>
            </w:r>
          </w:p>
        </w:tc>
        <w:tc>
          <w:tcPr/>
          <w:p>
            <w:pPr>
              <w:pStyle w:val="Compact"/>
            </w:pPr>
            <w:r>
              <w:t xml:space="preserve">Reverse causality prominent</w:t>
            </w:r>
          </w:p>
        </w:tc>
        <w:tc>
          <w:tcPr/>
          <w:p>
            <w:pPr>
              <w:pStyle w:val="Compact"/>
            </w:pPr>
            <w:r>
              <w:t xml:space="preserve">Actigraphy, sleep duration; experimental cortisol</w:t>
            </w:r>
          </w:p>
        </w:tc>
        <w:tc>
          <w:tcPr/>
          <w:p>
            <w:pPr>
              <w:pStyle w:val="Compact"/>
            </w:pPr>
            <w:r>
              <w:t xml:space="preserve">Sleep treatment/circadian consistency</w:t>
            </w:r>
          </w:p>
        </w:tc>
        <w:tc>
          <w:tcPr/>
          <w:p>
            <w:pPr>
              <w:pStyle w:val="Compact"/>
            </w:pPr>
            <w:r>
              <w:rPr>
                <w:b/>
                <w:bCs/>
              </w:rPr>
              <w:t xml:space="preserve">C/D</w:t>
            </w:r>
          </w:p>
        </w:tc>
      </w:tr>
      <w:tr>
        <w:tc>
          <w:tcPr/>
          <w:p>
            <w:pPr>
              <w:pStyle w:val="Compact"/>
            </w:pPr>
            <w:r>
              <w:rPr>
                <w:b/>
                <w:bCs/>
              </w:rPr>
              <w:t xml:space="preserve">Metabolic/adipose amplifier</w:t>
            </w:r>
          </w:p>
        </w:tc>
        <w:tc>
          <w:tcPr/>
          <w:p>
            <w:pPr>
              <w:pStyle w:val="Compact"/>
            </w:pPr>
            <w:r>
              <w:t xml:space="preserve">Weight gain, insulin resistance</w:t>
            </w:r>
          </w:p>
        </w:tc>
        <w:tc>
          <w:tcPr/>
          <w:p>
            <w:pPr>
              <w:pStyle w:val="Compact"/>
            </w:pPr>
            <w:r>
              <w:t xml:space="preserve">adipokines/metabolic inflammation + mechanical loading</w:t>
            </w:r>
          </w:p>
        </w:tc>
        <w:tc>
          <w:tcPr/>
          <w:p>
            <w:pPr>
              <w:pStyle w:val="Compact"/>
            </w:pPr>
            <w:r>
              <w:t xml:space="preserve">Outcome associations</w:t>
            </w:r>
          </w:p>
        </w:tc>
        <w:tc>
          <w:tcPr/>
          <w:p>
            <w:pPr>
              <w:pStyle w:val="Compact"/>
            </w:pPr>
            <w:r>
              <w:t xml:space="preserve">Not acute; confounding</w:t>
            </w:r>
          </w:p>
        </w:tc>
        <w:tc>
          <w:tcPr/>
          <w:p>
            <w:pPr>
              <w:pStyle w:val="Compact"/>
            </w:pPr>
            <w:r>
              <w:t xml:space="preserve">BMI/waist/body composition, glucose/HbA1c/lipids</w:t>
            </w:r>
          </w:p>
        </w:tc>
        <w:tc>
          <w:tcPr/>
          <w:p>
            <w:pPr>
              <w:pStyle w:val="Compact"/>
            </w:pPr>
            <w:r>
              <w:t xml:space="preserve">Fat-loss/metabolic health</w:t>
            </w:r>
          </w:p>
        </w:tc>
        <w:tc>
          <w:tcPr/>
          <w:p>
            <w:pPr>
              <w:pStyle w:val="Compact"/>
            </w:pPr>
            <w:r>
              <w:rPr>
                <w:b/>
                <w:bCs/>
              </w:rPr>
              <w:t xml:space="preserve">B/C</w:t>
            </w:r>
          </w:p>
        </w:tc>
      </w:tr>
      <w:tr>
        <w:tc>
          <w:tcPr/>
          <w:p>
            <w:pPr>
              <w:pStyle w:val="Compact"/>
            </w:pPr>
            <w:r>
              <w:rPr>
                <w:b/>
                <w:bCs/>
              </w:rPr>
              <w:t xml:space="preserve">Smoking-permissive state</w:t>
            </w:r>
          </w:p>
        </w:tc>
        <w:tc>
          <w:tcPr/>
          <w:p>
            <w:pPr>
              <w:pStyle w:val="Compact"/>
            </w:pPr>
            <w:r>
              <w:t xml:space="preserve">Chronic tobacco exposure</w:t>
            </w:r>
          </w:p>
        </w:tc>
        <w:tc>
          <w:tcPr/>
          <w:p>
            <w:pPr>
              <w:pStyle w:val="Compact"/>
            </w:pPr>
            <w:r>
              <w:t xml:space="preserve">oxidative/mucosal/vascular effects → lower inflammatory threshold</w:t>
            </w:r>
          </w:p>
        </w:tc>
        <w:tc>
          <w:tcPr/>
          <w:p>
            <w:pPr>
              <w:pStyle w:val="Compact"/>
            </w:pPr>
            <w:r>
              <w:t xml:space="preserve">Prognostic human data</w:t>
            </w:r>
            <w:r>
              <w:t xml:space="preserve"> </w:t>
            </w:r>
            <w:hyperlink r:id="rId146">
              <w:r>
                <w:rPr>
                  <w:rStyle w:val="Hyperlink"/>
                </w:rPr>
                <w:t xml:space="preserve">[129]</w:t>
              </w:r>
            </w:hyperlink>
          </w:p>
        </w:tc>
        <w:tc>
          <w:tcPr/>
          <w:p>
            <w:pPr>
              <w:pStyle w:val="Compact"/>
            </w:pPr>
            <w:r>
              <w:t xml:space="preserve">Not a discrete flare trigger</w:t>
            </w:r>
          </w:p>
        </w:tc>
        <w:tc>
          <w:tcPr/>
          <w:p>
            <w:pPr>
              <w:pStyle w:val="Compact"/>
            </w:pPr>
            <w:r>
              <w:t xml:space="preserve">Smoking exposure, CRP</w:t>
            </w:r>
          </w:p>
        </w:tc>
        <w:tc>
          <w:tcPr/>
          <w:p>
            <w:pPr>
              <w:pStyle w:val="Compact"/>
            </w:pPr>
            <w:r>
              <w:t xml:space="preserve">Cessation</w:t>
            </w:r>
          </w:p>
        </w:tc>
        <w:tc>
          <w:tcPr/>
          <w:p>
            <w:pPr>
              <w:pStyle w:val="Compact"/>
            </w:pPr>
            <w:r>
              <w:rPr>
                <w:b/>
                <w:bCs/>
              </w:rPr>
              <w:t xml:space="preserve">B</w:t>
            </w:r>
          </w:p>
        </w:tc>
      </w:tr>
      <w:tr>
        <w:tc>
          <w:tcPr/>
          <w:p>
            <w:pPr>
              <w:pStyle w:val="Compact"/>
            </w:pPr>
            <w:r>
              <w:rPr>
                <w:b/>
                <w:bCs/>
              </w:rPr>
              <w:t xml:space="preserve">Residual inflammatory reactivation</w:t>
            </w:r>
          </w:p>
        </w:tc>
        <w:tc>
          <w:tcPr/>
          <w:p>
            <w:pPr>
              <w:pStyle w:val="Compact"/>
            </w:pPr>
            <w:r>
              <w:t xml:space="preserve">No external trigger required</w:t>
            </w:r>
          </w:p>
        </w:tc>
        <w:tc>
          <w:tcPr/>
          <w:p>
            <w:pPr>
              <w:pStyle w:val="Compact"/>
            </w:pPr>
            <w:r>
              <w:t xml:space="preserve">persistent tissue-resident immune cells → stochastic/local reactivation</w:t>
            </w:r>
          </w:p>
        </w:tc>
        <w:tc>
          <w:tcPr/>
          <w:p>
            <w:pPr>
              <w:pStyle w:val="Compact"/>
            </w:pPr>
            <w:r>
              <w:t xml:space="preserve">Flares occur without identifiable exposures</w:t>
            </w:r>
          </w:p>
        </w:tc>
        <w:tc>
          <w:tcPr/>
          <w:p>
            <w:pPr>
              <w:pStyle w:val="Compact"/>
            </w:pPr>
            <w:r>
              <w:t xml:space="preserve">Hard to measure directly</w:t>
            </w:r>
          </w:p>
        </w:tc>
        <w:tc>
          <w:tcPr/>
          <w:p>
            <w:pPr>
              <w:pStyle w:val="Compact"/>
            </w:pPr>
            <w:r>
              <w:t xml:space="preserve">MRI, CRP/ESR, ASDAS</w:t>
            </w:r>
          </w:p>
        </w:tc>
        <w:tc>
          <w:tcPr/>
          <w:p>
            <w:pPr>
              <w:pStyle w:val="Compact"/>
            </w:pPr>
            <w:r>
              <w:t xml:space="preserve">Direct disease control</w:t>
            </w:r>
          </w:p>
        </w:tc>
        <w:tc>
          <w:tcPr/>
          <w:p>
            <w:pPr>
              <w:pStyle w:val="Compact"/>
            </w:pPr>
            <w:r>
              <w:rPr>
                <w:b/>
                <w:bCs/>
              </w:rPr>
              <w:t xml:space="preserve">B conceptual</w:t>
            </w:r>
          </w:p>
        </w:tc>
      </w:tr>
      <w:tr>
        <w:tc>
          <w:tcPr/>
          <w:p>
            <w:pPr>
              <w:pStyle w:val="Compact"/>
            </w:pPr>
            <w:r>
              <w:rPr>
                <w:b/>
                <w:bCs/>
              </w:rPr>
              <w:t xml:space="preserve">Defective resolution</w:t>
            </w:r>
          </w:p>
        </w:tc>
        <w:tc>
          <w:tcPr/>
          <w:p>
            <w:pPr>
              <w:pStyle w:val="Compact"/>
            </w:pPr>
            <w:r>
              <w:t xml:space="preserve">Any initial inflammatory event</w:t>
            </w:r>
          </w:p>
        </w:tc>
        <w:tc>
          <w:tcPr/>
          <w:p>
            <w:pPr>
              <w:pStyle w:val="Compact"/>
            </w:pPr>
            <w:r>
              <w:t xml:space="preserve">inadequate Treg/efferocytosis/SPM response → failure to terminate</w:t>
            </w:r>
          </w:p>
        </w:tc>
        <w:tc>
          <w:tcPr/>
          <w:p>
            <w:pPr>
              <w:pStyle w:val="Compact"/>
            </w:pPr>
            <w:r>
              <w:t xml:space="preserve">General resolution biology</w:t>
            </w:r>
          </w:p>
        </w:tc>
        <w:tc>
          <w:tcPr/>
          <w:p>
            <w:pPr>
              <w:pStyle w:val="Compact"/>
            </w:pPr>
            <w:r>
              <w:t xml:space="preserve">AS-specific evidence weak</w:t>
            </w:r>
          </w:p>
        </w:tc>
        <w:tc>
          <w:tcPr/>
          <w:p>
            <w:pPr>
              <w:pStyle w:val="Compact"/>
            </w:pPr>
            <w:r>
              <w:t xml:space="preserve">Experimental lipidomics/Treg/macrophage assays</w:t>
            </w:r>
          </w:p>
        </w:tc>
        <w:tc>
          <w:tcPr/>
          <w:p>
            <w:pPr>
              <w:pStyle w:val="Compact"/>
            </w:pPr>
            <w:r>
              <w:t xml:space="preserve">Resolution biology research</w:t>
            </w:r>
          </w:p>
        </w:tc>
        <w:tc>
          <w:tcPr/>
          <w:p>
            <w:pPr>
              <w:pStyle w:val="Compact"/>
            </w:pPr>
            <w:r>
              <w:rPr>
                <w:b/>
                <w:bCs/>
              </w:rPr>
              <w:t xml:space="preserve">D</w:t>
            </w:r>
          </w:p>
        </w:tc>
      </w:tr>
      <w:tr>
        <w:tc>
          <w:tcPr/>
          <w:p>
            <w:pPr>
              <w:pStyle w:val="Compact"/>
            </w:pPr>
            <w:r>
              <w:rPr>
                <w:b/>
                <w:bCs/>
              </w:rPr>
              <w:t xml:space="preserve">Hormonal transition</w:t>
            </w:r>
          </w:p>
        </w:tc>
        <w:tc>
          <w:tcPr/>
          <w:p>
            <w:pPr>
              <w:pStyle w:val="Compact"/>
            </w:pPr>
            <w:r>
              <w:t xml:space="preserve">Pregnancy/postpartum/other endocrine shifts</w:t>
            </w:r>
          </w:p>
        </w:tc>
        <w:tc>
          <w:tcPr/>
          <w:p>
            <w:pPr>
              <w:pStyle w:val="Compact"/>
            </w:pPr>
            <w:r>
              <w:t xml:space="preserve">endocrine tolerance/metabolic changes → immune threshold change</w:t>
            </w:r>
          </w:p>
        </w:tc>
        <w:tc>
          <w:tcPr/>
          <w:p>
            <w:pPr>
              <w:pStyle w:val="Compact"/>
            </w:pPr>
            <w:r>
              <w:t xml:space="preserve">Patient/observational patterns</w:t>
            </w:r>
          </w:p>
        </w:tc>
        <w:tc>
          <w:tcPr/>
          <w:p>
            <w:pPr>
              <w:pStyle w:val="Compact"/>
            </w:pPr>
            <w:r>
              <w:t xml:space="preserve">Highly variable</w:t>
            </w:r>
          </w:p>
        </w:tc>
        <w:tc>
          <w:tcPr/>
          <w:p>
            <w:pPr>
              <w:pStyle w:val="Compact"/>
            </w:pPr>
            <w:r>
              <w:t xml:space="preserve">Sex hormones, CRP; research only</w:t>
            </w:r>
          </w:p>
        </w:tc>
        <w:tc>
          <w:tcPr/>
          <w:p>
            <w:pPr>
              <w:pStyle w:val="Compact"/>
            </w:pPr>
            <w:r>
              <w:t xml:space="preserve">Not established</w:t>
            </w:r>
          </w:p>
        </w:tc>
        <w:tc>
          <w:tcPr/>
          <w:p>
            <w:pPr>
              <w:pStyle w:val="Compact"/>
            </w:pPr>
            <w:r>
              <w:rPr>
                <w:b/>
                <w:bCs/>
              </w:rPr>
              <w:t xml:space="preserve">C/D</w:t>
            </w:r>
          </w:p>
        </w:tc>
      </w:tr>
      <w:tr>
        <w:tc>
          <w:tcPr/>
          <w:p>
            <w:pPr>
              <w:pStyle w:val="Compact"/>
            </w:pPr>
            <w:r>
              <w:rPr>
                <w:b/>
                <w:bCs/>
              </w:rPr>
              <w:t xml:space="preserve">Dietary-specific trigger</w:t>
            </w:r>
          </w:p>
        </w:tc>
        <w:tc>
          <w:tcPr/>
          <w:p>
            <w:pPr>
              <w:pStyle w:val="Compact"/>
            </w:pPr>
            <w:r>
              <w:t xml:space="preserve">Particular food/starch/gluten etc.</w:t>
            </w:r>
          </w:p>
        </w:tc>
        <w:tc>
          <w:tcPr/>
          <w:p>
            <w:pPr>
              <w:pStyle w:val="Compact"/>
            </w:pPr>
            <w:r>
              <w:t xml:space="preserve">proposed gut/metabolic signal</w:t>
            </w:r>
          </w:p>
        </w:tc>
        <w:tc>
          <w:tcPr/>
          <w:p>
            <w:pPr>
              <w:pStyle w:val="Compact"/>
            </w:pPr>
            <w:r>
              <w:t xml:space="preserve">Anecdotes, limited diet studies</w:t>
            </w:r>
          </w:p>
        </w:tc>
        <w:tc>
          <w:tcPr/>
          <w:p>
            <w:pPr>
              <w:pStyle w:val="Compact"/>
            </w:pPr>
            <w:r>
              <w:t xml:space="preserve">No reproducible objective pre-flare evidence</w:t>
            </w:r>
          </w:p>
        </w:tc>
        <w:tc>
          <w:tcPr/>
          <w:p>
            <w:pPr>
              <w:pStyle w:val="Compact"/>
            </w:pPr>
            <w:r>
              <w:t xml:space="preserve">None validated</w:t>
            </w:r>
          </w:p>
        </w:tc>
        <w:tc>
          <w:tcPr/>
          <w:p>
            <w:pPr>
              <w:pStyle w:val="Compact"/>
            </w:pPr>
            <w:r>
              <w:t xml:space="preserve">Experimental elimination/rechallenge design</w:t>
            </w:r>
          </w:p>
        </w:tc>
        <w:tc>
          <w:tcPr/>
          <w:p>
            <w:pPr>
              <w:pStyle w:val="Compact"/>
            </w:pPr>
            <w:r>
              <w:rPr>
                <w:b/>
                <w:bCs/>
              </w:rPr>
              <w:t xml:space="preserve">D/E</w:t>
            </w:r>
          </w:p>
        </w:tc>
      </w:tr>
    </w:tbl>
    <w:p>
      <w:pPr>
        <w:pStyle w:val="BodyText"/>
      </w:pPr>
      <w:r>
        <w:rPr>
          <w:b/>
          <w:bCs/>
        </w:rPr>
        <w:t xml:space="preserve">Part XV — Ranked mechanistic hypotheses</w:t>
      </w:r>
    </w:p>
    <w:bookmarkStart w:id="147" w:name="X19399e95bf8a014e89827bcef15b41039a53361"/>
    <w:p>
      <w:pPr>
        <w:pStyle w:val="Heading3"/>
      </w:pPr>
      <w:r>
        <w:t xml:space="preserve">HLA-B27/ERAP1 plus type-3 immune priming converging on IL-17/TNF</w:t>
      </w:r>
    </w:p>
    <w:p>
      <w:pPr>
        <w:pStyle w:val="FirstParagraph"/>
      </w:pPr>
      <w:r>
        <w:rPr>
          <w:b/>
          <w:bCs/>
        </w:rPr>
        <w:t xml:space="preserve">Rank: highest overall plausibility. Confidence: A/B.</w:t>
      </w:r>
    </w:p>
    <w:p>
      <w:pPr>
        <w:pStyle w:val="BodyText"/>
      </w:pPr>
      <w:r>
        <w:t xml:space="preserve">Mechanism: abnormal HLA class-I biology and peptide processing create an immune state in which conventional and innate-like lymphocytes become unusually capable of driving IL-17/TNF inflammation.</w:t>
      </w:r>
    </w:p>
    <w:p>
      <w:pPr>
        <w:pStyle w:val="BodyText"/>
      </w:pPr>
      <w:r>
        <w:t xml:space="preserve">Supporting evidence: overwhelming HLA-B27 genetics, ERAP1 interaction, HLA-B27 homodimers/KIR3DL2, strong efficacy of IL-17 and TNF blockade.</w:t>
      </w:r>
      <w:r>
        <w:t xml:space="preserve"> </w:t>
      </w:r>
      <w:hyperlink r:id="rId34">
        <w:r>
          <w:rPr>
            <w:rStyle w:val="Hyperlink"/>
          </w:rPr>
          <w:t xml:space="preserve">[135]</w:t>
        </w:r>
      </w:hyperlink>
    </w:p>
    <w:p>
      <w:pPr>
        <w:pStyle w:val="BodyText"/>
      </w:pPr>
      <w:r>
        <w:t xml:space="preserve">Against: no single pathogenic antigen or HLA mechanism explains all patients; HLA-B27-negative disease exists.</w:t>
      </w:r>
    </w:p>
    <w:p>
      <w:pPr>
        <w:pStyle w:val="BodyText"/>
      </w:pPr>
      <w:r>
        <w:t xml:space="preserve">Biomarkers: HLA-B27, ERAP1 genotype in research, CRP/MRI downstream; no validated homodimer assay for clinical management.</w:t>
      </w:r>
    </w:p>
    <w:p>
      <w:pPr>
        <w:pStyle w:val="BodyText"/>
      </w:pPr>
      <w:r>
        <w:t xml:space="preserve">Modifiable lever: currently mostly indirect; exercise/metabolic/mucosal interventions can change inflammatory context but not HLA biology.</w:t>
      </w:r>
    </w:p>
    <w:p>
      <w:pPr>
        <w:pStyle w:val="BodyText"/>
      </w:pPr>
      <w:r>
        <w:t xml:space="preserve">Decisive experiment: longitudinal tissue/mucosal single-cell and antigen-repertoire studies showing which HLA-B27 mechanism precedes inflammatory activation in humans.</w:t>
      </w:r>
    </w:p>
    <w:bookmarkEnd w:id="147"/>
    <w:bookmarkStart w:id="148" w:name="Xa9d78431e00232845480f9791cd0df1eef1b6a8"/>
    <w:p>
      <w:pPr>
        <w:pStyle w:val="Heading3"/>
      </w:pPr>
      <w:r>
        <w:t xml:space="preserve">Gut/mucosal immune priming with joint-directed secondary inflammation</w:t>
      </w:r>
    </w:p>
    <w:p>
      <w:pPr>
        <w:pStyle w:val="FirstParagraph"/>
      </w:pPr>
      <w:r>
        <w:rPr>
          <w:b/>
          <w:bCs/>
        </w:rPr>
        <w:t xml:space="preserve">Rank: very high research priority. Confidence B/C.</w:t>
      </w:r>
    </w:p>
    <w:p>
      <w:pPr>
        <w:pStyle w:val="BodyText"/>
      </w:pPr>
      <w:r>
        <w:t xml:space="preserve">Mechanism: genetic susceptibility creates abnormal host–microbial interaction → subclinical intestinal inflammation/barrier alteration → type-3 immune priming → joint/enthesis disease.</w:t>
      </w:r>
    </w:p>
    <w:p>
      <w:pPr>
        <w:pStyle w:val="BodyText"/>
      </w:pPr>
      <w:r>
        <w:t xml:space="preserve">Support: gut pathology, dysbiosis meta-analysis, HLA-B27 microbiome association, ILC3/MAIT biology, metabolomics.</w:t>
      </w:r>
      <w:r>
        <w:t xml:space="preserve"> </w:t>
      </w:r>
      <w:hyperlink r:id="rId13">
        <w:r>
          <w:rPr>
            <w:rStyle w:val="Hyperlink"/>
          </w:rPr>
          <w:t xml:space="preserve">[136]</w:t>
        </w:r>
      </w:hyperlink>
    </w:p>
    <w:p>
      <w:pPr>
        <w:pStyle w:val="BodyText"/>
      </w:pPr>
      <w:r>
        <w:t xml:space="preserve">Against: microbiome signatures inconsistent; treatment changes microbiome; probiotic RCTs negative.</w:t>
      </w:r>
    </w:p>
    <w:p>
      <w:pPr>
        <w:pStyle w:val="BodyText"/>
      </w:pPr>
      <w:r>
        <w:t xml:space="preserve">Biomarkers: fecal calprotectin clinically useful for suspected gut inflammation; microbiome/metabolomic signatures experimental.</w:t>
      </w:r>
    </w:p>
    <w:p>
      <w:pPr>
        <w:pStyle w:val="BodyText"/>
      </w:pPr>
      <w:r>
        <w:t xml:space="preserve">Levers: dietary ecology, treatment of actual IBD, possibly future targeted consortia/FMT.</w:t>
      </w:r>
    </w:p>
    <w:p>
      <w:pPr>
        <w:pStyle w:val="BodyText"/>
      </w:pPr>
      <w:r>
        <w:t xml:space="preserve">Decisive experiment: randomized microbiome perturbation with serial intestinal biopsies plus blinded spinal/SI MRI outcomes.</w:t>
      </w:r>
    </w:p>
    <w:bookmarkEnd w:id="148"/>
    <w:bookmarkStart w:id="149" w:name="Xd57631385e81aa6862a82c1a774510d7d6ed584"/>
    <w:p>
      <w:pPr>
        <w:pStyle w:val="Heading3"/>
      </w:pPr>
      <w:r>
        <w:t xml:space="preserve">Mechanical microdamage as the local flare ignition site</w:t>
      </w:r>
    </w:p>
    <w:p>
      <w:pPr>
        <w:pStyle w:val="FirstParagraph"/>
      </w:pPr>
      <w:r>
        <w:rPr>
          <w:b/>
          <w:bCs/>
        </w:rPr>
        <w:t xml:space="preserve">Rank: high. Confidence B.</w:t>
      </w:r>
    </w:p>
    <w:p>
      <w:pPr>
        <w:pStyle w:val="BodyText"/>
      </w:pPr>
      <w:r>
        <w:t xml:space="preserve">Mechanism: a primed systemic immune system converts enthesis microdamage/DAMPs into inflammatory activation.</w:t>
      </w:r>
    </w:p>
    <w:p>
      <w:pPr>
        <w:pStyle w:val="BodyText"/>
      </w:pPr>
      <w:r>
        <w:t xml:space="preserve">Support: enthesis immunobiology, γδ T cells, animal models, P2X7/NLRP3 connection.</w:t>
      </w:r>
      <w:r>
        <w:t xml:space="preserve"> </w:t>
      </w:r>
      <w:hyperlink r:id="rId29">
        <w:r>
          <w:rPr>
            <w:rStyle w:val="Hyperlink"/>
          </w:rPr>
          <w:t xml:space="preserve">[137]</w:t>
        </w:r>
      </w:hyperlink>
    </w:p>
    <w:p>
      <w:pPr>
        <w:pStyle w:val="BodyText"/>
      </w:pPr>
      <w:r>
        <w:t xml:space="preserve">Against: hard evidence linking specific human loading episodes to MRI flare is limited.</w:t>
      </w:r>
    </w:p>
    <w:p>
      <w:pPr>
        <w:pStyle w:val="BodyText"/>
      </w:pPr>
      <w:r>
        <w:t xml:space="preserve">Biomarkers: regional MRI/ultrasound; experimental extracellular ATP/injury signatures.</w:t>
      </w:r>
    </w:p>
    <w:p>
      <w:pPr>
        <w:pStyle w:val="BodyText"/>
      </w:pPr>
      <w:r>
        <w:t xml:space="preserve">Levers: progressive conditioning, biomechanics, avoidance of abrupt load spikes.</w:t>
      </w:r>
    </w:p>
    <w:p>
      <w:pPr>
        <w:pStyle w:val="BodyText"/>
      </w:pPr>
      <w:r>
        <w:t xml:space="preserve">Decisive experiment: wearable-quantified mechanical loading paired with frequent imaging and immune sampling.</w:t>
      </w:r>
    </w:p>
    <w:bookmarkEnd w:id="149"/>
    <w:bookmarkStart w:id="150" w:name="X5fbfa566e5a6ac5d49a230c306137b0d8394ac9"/>
    <w:p>
      <w:pPr>
        <w:pStyle w:val="Heading3"/>
      </w:pPr>
      <w:r>
        <w:t xml:space="preserve">IL-23-dependent initiation followed by IL-23-independent IL-17 maintenance</w:t>
      </w:r>
    </w:p>
    <w:p>
      <w:pPr>
        <w:pStyle w:val="FirstParagraph"/>
      </w:pPr>
      <w:r>
        <w:rPr>
          <w:b/>
          <w:bCs/>
        </w:rPr>
        <w:t xml:space="preserve">Rank: high scientific importance. Confidence B/C.</w:t>
      </w:r>
    </w:p>
    <w:p>
      <w:pPr>
        <w:pStyle w:val="BodyText"/>
      </w:pPr>
      <w:r>
        <w:t xml:space="preserve">Support: strong IL-23 experimental effects plus clinical failure of IL-23 antagonism in established axial disease.</w:t>
      </w:r>
      <w:r>
        <w:t xml:space="preserve"> </w:t>
      </w:r>
      <w:hyperlink r:id="rId26">
        <w:r>
          <w:rPr>
            <w:rStyle w:val="Hyperlink"/>
          </w:rPr>
          <w:t xml:space="preserve">[17]</w:t>
        </w:r>
      </w:hyperlink>
    </w:p>
    <w:p>
      <w:pPr>
        <w:pStyle w:val="BodyText"/>
      </w:pPr>
      <w:r>
        <w:t xml:space="preserve">Against: exact time-dependent switch has not been proven in humans.</w:t>
      </w:r>
    </w:p>
    <w:p>
      <w:pPr>
        <w:pStyle w:val="BodyText"/>
      </w:pPr>
      <w:r>
        <w:t xml:space="preserve">Biomarkers: IL-23/IL-17-responsive cell phenotypes; tissue single-cell transcriptomics.</w:t>
      </w:r>
    </w:p>
    <w:p>
      <w:pPr>
        <w:pStyle w:val="BodyText"/>
      </w:pPr>
      <w:r>
        <w:t xml:space="preserve">Modifiable non-drug lever: no validated one; gut/barrier interventions are hypothetical.</w:t>
      </w:r>
    </w:p>
    <w:p>
      <w:pPr>
        <w:pStyle w:val="BodyText"/>
      </w:pPr>
      <w:r>
        <w:t xml:space="preserve">Decisive experiment: very-early/pre-radiographic disease intervention with paired tissue immune phenotyping.</w:t>
      </w:r>
    </w:p>
    <w:bookmarkEnd w:id="150"/>
    <w:bookmarkStart w:id="151" w:name="neutrophilcard9th17-feed-forward-loop"/>
    <w:p>
      <w:pPr>
        <w:pStyle w:val="Heading3"/>
      </w:pPr>
      <w:r>
        <w:t xml:space="preserve">Neutrophil–CARD9–Th17 feed-forward loop</w:t>
      </w:r>
    </w:p>
    <w:p>
      <w:pPr>
        <w:pStyle w:val="FirstParagraph"/>
      </w:pPr>
      <w:r>
        <w:rPr>
          <w:b/>
          <w:bCs/>
        </w:rPr>
        <w:t xml:space="preserve">Rank: emerging high-value hypothesis. Confidence C/B.</w:t>
      </w:r>
    </w:p>
    <w:p>
      <w:pPr>
        <w:pStyle w:val="BodyText"/>
      </w:pPr>
      <w:r>
        <w:t xml:space="preserve">Mechanism: innate microbial-sensing/genetic networks modify neutrophils, which reinforce Th17 expansion.</w:t>
      </w:r>
    </w:p>
    <w:p>
      <w:pPr>
        <w:pStyle w:val="BodyText"/>
      </w:pPr>
      <w:r>
        <w:t xml:space="preserve">Support: recent human functional study.</w:t>
      </w:r>
      <w:r>
        <w:t xml:space="preserve"> </w:t>
      </w:r>
      <w:hyperlink r:id="rId38">
        <w:r>
          <w:rPr>
            <w:rStyle w:val="Hyperlink"/>
          </w:rPr>
          <w:t xml:space="preserve">[36]</w:t>
        </w:r>
      </w:hyperlink>
    </w:p>
    <w:p>
      <w:pPr>
        <w:pStyle w:val="BodyText"/>
      </w:pPr>
      <w:r>
        <w:t xml:space="preserve">Against: replication and clinical targeting absent.</w:t>
      </w:r>
    </w:p>
    <w:p>
      <w:pPr>
        <w:pStyle w:val="BodyText"/>
      </w:pPr>
      <w:r>
        <w:t xml:space="preserve">Biomarkers: neutrophil signatures, CARD9 genotype, Th17 phenotype.</w:t>
      </w:r>
    </w:p>
    <w:p>
      <w:pPr>
        <w:pStyle w:val="BodyText"/>
      </w:pPr>
      <w:r>
        <w:t xml:space="preserve">Levers: potentially microbiome/metabolic, but unvalidated.</w:t>
      </w:r>
    </w:p>
    <w:p>
      <w:pPr>
        <w:pStyle w:val="BodyText"/>
      </w:pPr>
      <w:r>
        <w:t xml:space="preserve">Decisive experiment: replicate functional axis prospectively and test whether it predicts IL-17-driven flares.</w:t>
      </w:r>
    </w:p>
    <w:bookmarkEnd w:id="151"/>
    <w:bookmarkStart w:id="152" w:name="Xc79c75d5984ead97229e36a4a63056c0d2394a6"/>
    <w:p>
      <w:pPr>
        <w:pStyle w:val="Heading3"/>
      </w:pPr>
      <w:r>
        <w:t xml:space="preserve">Purinergic–NLRP3 bridge between damage and immunity</w:t>
      </w:r>
    </w:p>
    <w:p>
      <w:pPr>
        <w:pStyle w:val="FirstParagraph"/>
      </w:pPr>
      <w:r>
        <w:rPr>
          <w:b/>
          <w:bCs/>
        </w:rPr>
        <w:t xml:space="preserve">Rank: promising. Confidence C.</w:t>
      </w:r>
    </w:p>
    <w:p>
      <w:pPr>
        <w:pStyle w:val="BodyText"/>
      </w:pPr>
      <w:r>
        <w:t xml:space="preserve">Mechanism: enthesis cell damage releases ATP → P2X7 → NLRP3 → IL-1β/IL-18 → local inflammatory amplification.</w:t>
      </w:r>
    </w:p>
    <w:p>
      <w:pPr>
        <w:pStyle w:val="BodyText"/>
      </w:pPr>
      <w:r>
        <w:t xml:space="preserve">Support: human AS macrophage and inflammasome studies.</w:t>
      </w:r>
      <w:r>
        <w:t xml:space="preserve"> </w:t>
      </w:r>
      <w:hyperlink r:id="rId40">
        <w:r>
          <w:rPr>
            <w:rStyle w:val="Hyperlink"/>
          </w:rPr>
          <w:t xml:space="preserve">[121]</w:t>
        </w:r>
      </w:hyperlink>
    </w:p>
    <w:p>
      <w:pPr>
        <w:pStyle w:val="BodyText"/>
      </w:pPr>
      <w:r>
        <w:t xml:space="preserve">Against: no proof this pathway is required clinically.</w:t>
      </w:r>
    </w:p>
    <w:p>
      <w:pPr>
        <w:pStyle w:val="BodyText"/>
      </w:pPr>
      <w:r>
        <w:t xml:space="preserve">Biomarkers: NLRP3/caspase-1/IL-1β research assays.</w:t>
      </w:r>
    </w:p>
    <w:p>
      <w:pPr>
        <w:pStyle w:val="BodyText"/>
      </w:pPr>
      <w:r>
        <w:t xml:space="preserve">Levers: load management; metabolic/ketone/NAC claims remain speculative.</w:t>
      </w:r>
    </w:p>
    <w:p>
      <w:pPr>
        <w:pStyle w:val="BodyText"/>
      </w:pPr>
      <w:r>
        <w:t xml:space="preserve">Decisive experiment: target pathway pharmacologically or mechanistically and measure enthesis MRI inflammation.</w:t>
      </w:r>
    </w:p>
    <w:bookmarkEnd w:id="152"/>
    <w:bookmarkStart w:id="153" w:name="defective-active-resolution-1"/>
    <w:p>
      <w:pPr>
        <w:pStyle w:val="Heading3"/>
      </w:pPr>
      <w:r>
        <w:t xml:space="preserve">Defective active resolution</w:t>
      </w:r>
    </w:p>
    <w:p>
      <w:pPr>
        <w:pStyle w:val="FirstParagraph"/>
      </w:pPr>
      <w:r>
        <w:rPr>
          <w:b/>
          <w:bCs/>
        </w:rPr>
        <w:t xml:space="preserve">Rank: conceptually important but under-tested. Confidence D/C.</w:t>
      </w:r>
    </w:p>
    <w:p>
      <w:pPr>
        <w:pStyle w:val="BodyText"/>
      </w:pPr>
      <w:r>
        <w:t xml:space="preserve">Mechanism: normal initiation occurs, but Treg/macrophage/efferocytosis/SPM mechanisms fail to complete the resolution programme.</w:t>
      </w:r>
    </w:p>
    <w:p>
      <w:pPr>
        <w:pStyle w:val="BodyText"/>
      </w:pPr>
      <w:r>
        <w:t xml:space="preserve">Support: altered Treg/macrophage biology plus general resolution science.</w:t>
      </w:r>
      <w:r>
        <w:t xml:space="preserve"> </w:t>
      </w:r>
      <w:hyperlink r:id="rId17">
        <w:r>
          <w:rPr>
            <w:rStyle w:val="Hyperlink"/>
          </w:rPr>
          <w:t xml:space="preserve">[138]</w:t>
        </w:r>
      </w:hyperlink>
    </w:p>
    <w:p>
      <w:pPr>
        <w:pStyle w:val="BodyText"/>
      </w:pPr>
      <w:r>
        <w:t xml:space="preserve">Against: no direct demonstration of an AS-specific resolution defect.</w:t>
      </w:r>
    </w:p>
    <w:p>
      <w:pPr>
        <w:pStyle w:val="BodyText"/>
      </w:pPr>
      <w:r>
        <w:t xml:space="preserve">Biomarkers: SPM lipidomics, efferocytosis assays, Treg functional profiling.</w:t>
      </w:r>
    </w:p>
    <w:p>
      <w:pPr>
        <w:pStyle w:val="BodyText"/>
      </w:pPr>
      <w:r>
        <w:t xml:space="preserve">Levers: exercise, omega-3 substrate availability, sleep/vagal pathways are biologically conceivable but unproven as AS-resolution therapies.</w:t>
      </w:r>
    </w:p>
    <w:p>
      <w:pPr>
        <w:pStyle w:val="BodyText"/>
      </w:pPr>
      <w:r>
        <w:t xml:space="preserve">Decisive experiment: dense longitudinal sampling from pre-flare through spontaneous recovery.</w:t>
      </w:r>
    </w:p>
    <w:bookmarkEnd w:id="153"/>
    <w:bookmarkStart w:id="154" w:name="metabolicadipose-threshold-modulation"/>
    <w:p>
      <w:pPr>
        <w:pStyle w:val="Heading3"/>
      </w:pPr>
      <w:r>
        <w:t xml:space="preserve">Metabolic/adipose threshold modulation</w:t>
      </w:r>
    </w:p>
    <w:p>
      <w:pPr>
        <w:pStyle w:val="FirstParagraph"/>
      </w:pPr>
      <w:r>
        <w:rPr>
          <w:b/>
          <w:bCs/>
        </w:rPr>
        <w:t xml:space="preserve">Rank: moderate. Confidence B/C.</w:t>
      </w:r>
    </w:p>
    <w:p>
      <w:pPr>
        <w:pStyle w:val="BodyText"/>
      </w:pPr>
      <w:r>
        <w:t xml:space="preserve">Mechanism: excess adiposity, insulin resistance and altered mitochondrial/redox state increase inflammatory tone and mechanical load.</w:t>
      </w:r>
    </w:p>
    <w:p>
      <w:pPr>
        <w:pStyle w:val="BodyText"/>
      </w:pPr>
      <w:r>
        <w:t xml:space="preserve">Support: BMI/outcome associations and metabolomics.</w:t>
      </w:r>
      <w:r>
        <w:t xml:space="preserve"> </w:t>
      </w:r>
      <w:hyperlink r:id="rId22">
        <w:r>
          <w:rPr>
            <w:rStyle w:val="Hyperlink"/>
          </w:rPr>
          <w:t xml:space="preserve">[139]</w:t>
        </w:r>
      </w:hyperlink>
    </w:p>
    <w:p>
      <w:pPr>
        <w:pStyle w:val="BodyText"/>
      </w:pPr>
      <w:r>
        <w:t xml:space="preserve">Against: reverse causality and treatment-response confounding.</w:t>
      </w:r>
    </w:p>
    <w:p>
      <w:pPr>
        <w:pStyle w:val="BodyText"/>
      </w:pPr>
      <w:r>
        <w:t xml:space="preserve">Biomarkers: waist/body composition, fasting glucose/HbA1c/lipids; metabolomics experimental.</w:t>
      </w:r>
    </w:p>
    <w:p>
      <w:pPr>
        <w:pStyle w:val="BodyText"/>
      </w:pPr>
      <w:r>
        <w:t xml:space="preserve">Levers: fat loss, aerobic/resistance exercise, diet quality.</w:t>
      </w:r>
    </w:p>
    <w:p>
      <w:pPr>
        <w:pStyle w:val="BodyText"/>
      </w:pPr>
      <w:r>
        <w:t xml:space="preserve">Decisive experiment: randomized fat-loss intervention controlling exercise and diet composition, with ASDAS-CRP and MRI endpoints.</w:t>
      </w:r>
    </w:p>
    <w:bookmarkEnd w:id="154"/>
    <w:bookmarkStart w:id="155" w:name="X91ae81fa7e0337a5bc7b03f8347742a48cda9fc"/>
    <w:p>
      <w:pPr>
        <w:pStyle w:val="Heading3"/>
      </w:pPr>
      <w:r>
        <w:t xml:space="preserve">Neuroimmune/circadian threshold modulation</w:t>
      </w:r>
    </w:p>
    <w:p>
      <w:pPr>
        <w:pStyle w:val="FirstParagraph"/>
      </w:pPr>
      <w:r>
        <w:rPr>
          <w:b/>
          <w:bCs/>
        </w:rPr>
        <w:t xml:space="preserve">Rank: plausible amplifier rather than core cause. Confidence C.</w:t>
      </w:r>
    </w:p>
    <w:p>
      <w:pPr>
        <w:pStyle w:val="BodyText"/>
      </w:pPr>
      <w:r>
        <w:t xml:space="preserve">Mechanism: stress/sleep/autonomic state shifts inflammatory and pain thresholds.</w:t>
      </w:r>
    </w:p>
    <w:p>
      <w:pPr>
        <w:pStyle w:val="BodyText"/>
      </w:pPr>
      <w:r>
        <w:t xml:space="preserve">Support: stress event data, HRV associations, experimental vagal study.</w:t>
      </w:r>
      <w:r>
        <w:t xml:space="preserve"> </w:t>
      </w:r>
      <w:hyperlink r:id="rId62">
        <w:r>
          <w:rPr>
            <w:rStyle w:val="Hyperlink"/>
          </w:rPr>
          <w:t xml:space="preserve">[140]</w:t>
        </w:r>
      </w:hyperlink>
    </w:p>
    <w:p>
      <w:pPr>
        <w:pStyle w:val="BodyText"/>
      </w:pPr>
      <w:r>
        <w:t xml:space="preserve">Against: HPA/HRV data inconsistent and reverse causality substantial.</w:t>
      </w:r>
    </w:p>
    <w:p>
      <w:pPr>
        <w:pStyle w:val="BodyText"/>
      </w:pPr>
      <w:r>
        <w:t xml:space="preserve">Decisive experiment: randomized sleep/autonomic intervention with objective inflammatory endpoints rather than pain alone.</w:t>
      </w:r>
    </w:p>
    <w:bookmarkEnd w:id="155"/>
    <w:bookmarkStart w:id="156" w:name="Xa5dbe631246afa9903a40416101fa5afd9c60ee"/>
    <w:p>
      <w:pPr>
        <w:pStyle w:val="Heading3"/>
      </w:pPr>
      <w:r>
        <w:t xml:space="preserve">Repair-program dysregulation driving ankylosis</w:t>
      </w:r>
    </w:p>
    <w:p>
      <w:pPr>
        <w:pStyle w:val="FirstParagraph"/>
      </w:pPr>
      <w:r>
        <w:rPr>
          <w:b/>
          <w:bCs/>
        </w:rPr>
        <w:t xml:space="preserve">Rank: high for structural disease, not necessarily flares. Confidence B.</w:t>
      </w:r>
    </w:p>
    <w:p>
      <w:pPr>
        <w:pStyle w:val="BodyText"/>
      </w:pPr>
      <w:r>
        <w:t xml:space="preserve">Mechanism: chronic microdamage/inflammation induces a Wnt/BMP/TGF-β osteogenic repair response that becomes partly uncoupled from inflammation.</w:t>
      </w:r>
    </w:p>
    <w:p>
      <w:pPr>
        <w:pStyle w:val="BodyText"/>
      </w:pPr>
      <w:r>
        <w:t xml:space="preserve">Support: human biomarker and experimental bone biology.</w:t>
      </w:r>
      <w:r>
        <w:t xml:space="preserve"> </w:t>
      </w:r>
      <w:hyperlink r:id="rId18">
        <w:r>
          <w:rPr>
            <w:rStyle w:val="Hyperlink"/>
          </w:rPr>
          <w:t xml:space="preserve">[46]</w:t>
        </w:r>
      </w:hyperlink>
    </w:p>
    <w:p>
      <w:pPr>
        <w:pStyle w:val="BodyText"/>
      </w:pPr>
      <w:r>
        <w:t xml:space="preserve">Against: individual pathway markers have inconsistent prognostic performance.</w:t>
      </w:r>
    </w:p>
    <w:p>
      <w:pPr>
        <w:pStyle w:val="BodyText"/>
      </w:pPr>
      <w:r>
        <w:t xml:space="preserve">Biomarkers: radiographic progression, MRI lesions; DKK-1/sclerostin/BMP experimental.</w:t>
      </w:r>
    </w:p>
    <w:p>
      <w:pPr>
        <w:pStyle w:val="BodyText"/>
      </w:pPr>
      <w:r>
        <w:t xml:space="preserve">Levers: no proven non-pharmaceutical structural-modifying intervention.</w:t>
      </w:r>
    </w:p>
    <w:p>
      <w:pPr>
        <w:pStyle w:val="BodyText"/>
      </w:pPr>
      <w:r>
        <w:t xml:space="preserve">Decisive experiment: serial inflammatory and osteogenic tissue/serum profiling tied to lesion-level MRI and subsequent syndesmophyte formation.</w:t>
      </w:r>
    </w:p>
    <w:p>
      <w:pPr>
        <w:pStyle w:val="BodyText"/>
      </w:pPr>
      <w:r>
        <w:rPr>
          <w:b/>
          <w:bCs/>
        </w:rPr>
        <w:t xml:space="preserve">Part XVI — Integrated systems model</w:t>
      </w:r>
    </w:p>
    <w:p>
      <w:pPr>
        <w:pStyle w:val="BodyText"/>
      </w:pPr>
      <w:r>
        <w:t xml:space="preserve">The most useful representation is a network rather than a linear chain:</w:t>
      </w:r>
    </w:p>
    <w:p>
      <w:pPr>
        <w:pStyle w:val="SourceCode"/>
      </w:pPr>
      <w:r>
        <w:rPr>
          <w:rStyle w:val="VerbatimChar"/>
        </w:rPr>
        <w:t xml:space="preserve">                     GENETIC SUSCEPTIBILITY</w:t>
      </w:r>
      <w:r>
        <w:br/>
      </w:r>
      <w:r>
        <w:rPr>
          <w:rStyle w:val="VerbatimChar"/>
        </w:rPr>
        <w:t xml:space="preserve">                  HLA-B27 / ERAP1 / other loci</w:t>
      </w:r>
      <w:r>
        <w:br/>
      </w:r>
      <w:r>
        <w:rPr>
          <w:rStyle w:val="VerbatimChar"/>
        </w:rPr>
        <w:t xml:space="preserve">                           ↓        ↘</w:t>
      </w:r>
      <w:r>
        <w:br/>
      </w:r>
      <w:r>
        <w:rPr>
          <w:rStyle w:val="VerbatimChar"/>
        </w:rPr>
        <w:t xml:space="preserve">                 HLA biology      immune threshold</w:t>
      </w:r>
      <w:r>
        <w:br/>
      </w:r>
      <w:r>
        <w:rPr>
          <w:rStyle w:val="VerbatimChar"/>
        </w:rPr>
        <w:t xml:space="preserve">                    ↓                  ↓</w:t>
      </w:r>
      <w:r>
        <w:br/>
      </w:r>
      <w:r>
        <w:rPr>
          <w:rStyle w:val="VerbatimChar"/>
        </w:rPr>
        <w:t xml:space="preserve">      ┌──────── MUCOSAL / GUT BIOLOGY ────────┐</w:t>
      </w:r>
      <w:r>
        <w:br/>
      </w:r>
      <w:r>
        <w:rPr>
          <w:rStyle w:val="VerbatimChar"/>
        </w:rPr>
        <w:t xml:space="preserve">      │          ↕                              │</w:t>
      </w:r>
      <w:r>
        <w:br/>
      </w:r>
      <w:r>
        <w:rPr>
          <w:rStyle w:val="VerbatimChar"/>
        </w:rPr>
        <w:t xml:space="preserve">      │     MICROBIOME                         │</w:t>
      </w:r>
      <w:r>
        <w:br/>
      </w:r>
      <w:r>
        <w:rPr>
          <w:rStyle w:val="VerbatimChar"/>
        </w:rPr>
        <w:t xml:space="preserve">      │          ↕                              │</w:t>
      </w:r>
      <w:r>
        <w:br/>
      </w:r>
      <w:r>
        <w:rPr>
          <w:rStyle w:val="VerbatimChar"/>
        </w:rPr>
        <w:t xml:space="preserve">      │ SCFAs / tryptophan / bile acids        │</w:t>
      </w:r>
      <w:r>
        <w:br/>
      </w:r>
      <w:r>
        <w:rPr>
          <w:rStyle w:val="VerbatimChar"/>
        </w:rPr>
        <w:t xml:space="preserve">      │          ↓                              │</w:t>
      </w:r>
      <w:r>
        <w:br/>
      </w:r>
      <w:r>
        <w:rPr>
          <w:rStyle w:val="VerbatimChar"/>
        </w:rPr>
        <w:t xml:space="preserve">      └→ MAIT / ILC3 / Th17 / myeloid priming ─┘</w:t>
      </w:r>
      <w:r>
        <w:br/>
      </w:r>
      <w:r>
        <w:rPr>
          <w:rStyle w:val="VerbatimChar"/>
        </w:rPr>
        <w:t xml:space="preserve">                         ↓</w:t>
      </w:r>
      <w:r>
        <w:br/>
      </w:r>
      <w:r>
        <w:rPr>
          <w:rStyle w:val="VerbatimChar"/>
        </w:rPr>
        <w:t xml:space="preserve">                 IL-17 / TNF network</w:t>
      </w:r>
      <w:r>
        <w:br/>
      </w:r>
      <w:r>
        <w:rPr>
          <w:rStyle w:val="VerbatimChar"/>
        </w:rPr>
        <w:t xml:space="preserve">                    ↙          ↘</w:t>
      </w:r>
      <w:r>
        <w:br/>
      </w:r>
      <w:r>
        <w:rPr>
          <w:rStyle w:val="VerbatimChar"/>
        </w:rPr>
        <w:t xml:space="preserve">     NEUTROPHILS / MACROPHAGES   SYSTEMIC INFLAMMATION</w:t>
      </w:r>
      <w:r>
        <w:br/>
      </w:r>
      <w:r>
        <w:rPr>
          <w:rStyle w:val="VerbatimChar"/>
        </w:rPr>
        <w:t xml:space="preserve">              ↕                         ↕</w:t>
      </w:r>
      <w:r>
        <w:br/>
      </w:r>
      <w:r>
        <w:rPr>
          <w:rStyle w:val="VerbatimChar"/>
        </w:rPr>
        <w:t xml:space="preserve">        NLRP3 / ATP / ROS      sleep / stress / metabolism</w:t>
      </w:r>
      <w:r>
        <w:br/>
      </w:r>
      <w:r>
        <w:rPr>
          <w:rStyle w:val="VerbatimChar"/>
        </w:rPr>
        <w:t xml:space="preserve">              ↑                         ↕</w:t>
      </w:r>
      <w:r>
        <w:br/>
      </w:r>
      <w:r>
        <w:rPr>
          <w:rStyle w:val="VerbatimChar"/>
        </w:rPr>
        <w:t xml:space="preserve">              └────── positive feedback ┘</w:t>
      </w:r>
      <w:r>
        <w:br/>
      </w:r>
      <w:r>
        <w:rPr>
          <w:rStyle w:val="VerbatimChar"/>
        </w:rPr>
        <w:t xml:space="preserve">                         ↓</w:t>
      </w:r>
      <w:r>
        <w:br/>
      </w:r>
      <w:r>
        <w:rPr>
          <w:rStyle w:val="VerbatimChar"/>
        </w:rPr>
        <w:t xml:space="preserve">        MECHANICALLY STRESSED ENTHESIS</w:t>
      </w:r>
      <w:r>
        <w:br/>
      </w:r>
      <w:r>
        <w:rPr>
          <w:rStyle w:val="VerbatimChar"/>
        </w:rPr>
        <w:t xml:space="preserve">                         ↓</w:t>
      </w:r>
      <w:r>
        <w:br/>
      </w:r>
      <w:r>
        <w:rPr>
          <w:rStyle w:val="VerbatimChar"/>
        </w:rPr>
        <w:t xml:space="preserve">             local inflammation / marrow</w:t>
      </w:r>
      <w:r>
        <w:br/>
      </w:r>
      <w:r>
        <w:rPr>
          <w:rStyle w:val="VerbatimChar"/>
        </w:rPr>
        <w:t xml:space="preserve">                         ↓</w:t>
      </w:r>
      <w:r>
        <w:br/>
      </w:r>
      <w:r>
        <w:rPr>
          <w:rStyle w:val="VerbatimChar"/>
        </w:rPr>
        <w:t xml:space="preserve">                  tissue microdamage</w:t>
      </w:r>
      <w:r>
        <w:br/>
      </w:r>
      <w:r>
        <w:rPr>
          <w:rStyle w:val="VerbatimChar"/>
        </w:rPr>
        <w:t xml:space="preserve">                    ↙          ↘</w:t>
      </w:r>
      <w:r>
        <w:br/>
      </w:r>
      <w:r>
        <w:rPr>
          <w:rStyle w:val="VerbatimChar"/>
        </w:rPr>
        <w:t xml:space="preserve">          recurrent immune      repair signalling</w:t>
      </w:r>
      <w:r>
        <w:br/>
      </w:r>
      <w:r>
        <w:rPr>
          <w:rStyle w:val="VerbatimChar"/>
        </w:rPr>
        <w:t xml:space="preserve">             activation        TGF-β / BMP / Wnt</w:t>
      </w:r>
      <w:r>
        <w:br/>
      </w:r>
      <w:r>
        <w:rPr>
          <w:rStyle w:val="VerbatimChar"/>
        </w:rPr>
        <w:t xml:space="preserve">                    ↓              ↓</w:t>
      </w:r>
      <w:r>
        <w:br/>
      </w:r>
      <w:r>
        <w:rPr>
          <w:rStyle w:val="VerbatimChar"/>
        </w:rPr>
        <w:t xml:space="preserve">                  FLARE       OSTEOGENESIS</w:t>
      </w:r>
      <w:r>
        <w:br/>
      </w:r>
      <w:r>
        <w:rPr>
          <w:rStyle w:val="VerbatimChar"/>
        </w:rPr>
        <w:t xml:space="preserve">                                   ↓</w:t>
      </w:r>
      <w:r>
        <w:br/>
      </w:r>
      <w:r>
        <w:rPr>
          <w:rStyle w:val="VerbatimChar"/>
        </w:rPr>
        <w:t xml:space="preserve">                     syndesmophyte / ankylosis</w:t>
      </w:r>
    </w:p>
    <w:p>
      <w:pPr>
        <w:pStyle w:val="FirstParagraph"/>
      </w:pPr>
      <w:r>
        <w:t xml:space="preserve">The most plausible positive-feedback loops are:</w:t>
      </w:r>
    </w:p>
    <w:p>
      <w:pPr>
        <w:pStyle w:val="BodyText"/>
      </w:pPr>
      <w:r>
        <w:rPr>
          <w:b/>
          <w:bCs/>
        </w:rPr>
        <w:t xml:space="preserve">gut inflammation ↔ systemic inflammation;</w:t>
      </w:r>
      <w:r>
        <w:br/>
      </w:r>
      <w:r>
        <w:rPr>
          <w:b/>
          <w:bCs/>
        </w:rPr>
        <w:t xml:space="preserve">microdamage ↔ immune activation;</w:t>
      </w:r>
      <w:r>
        <w:br/>
      </w:r>
      <w:r>
        <w:rPr>
          <w:b/>
          <w:bCs/>
        </w:rPr>
        <w:t xml:space="preserve">IL-17 ↔ neutrophil/myeloid activation;</w:t>
      </w:r>
      <w:r>
        <w:br/>
      </w:r>
      <w:r>
        <w:rPr>
          <w:b/>
          <w:bCs/>
        </w:rPr>
        <w:t xml:space="preserve">pain ↔ sleep disturbance ↔ sympathetic activation;</w:t>
      </w:r>
      <w:r>
        <w:br/>
      </w:r>
      <w:r>
        <w:rPr>
          <w:b/>
          <w:bCs/>
        </w:rPr>
        <w:t xml:space="preserve">inflammation ↔ metabolic dysfunction;</w:t>
      </w:r>
      <w:r>
        <w:br/>
      </w:r>
      <w:r>
        <w:rPr>
          <w:b/>
          <w:bCs/>
        </w:rPr>
        <w:t xml:space="preserve">tissue injury ↔ repair/osteogenic signalling.</w:t>
      </w:r>
    </w:p>
    <w:p>
      <w:pPr>
        <w:pStyle w:val="BodyText"/>
      </w:pPr>
      <w:r>
        <w:t xml:space="preserve">The most modifiable intervention points are not necessarily the upstream genetic causes. They are the</w:t>
      </w:r>
      <w:r>
        <w:t xml:space="preserve"> </w:t>
      </w:r>
      <w:r>
        <w:rPr>
          <w:b/>
          <w:bCs/>
        </w:rPr>
        <w:t xml:space="preserve">system thresholds</w:t>
      </w:r>
      <w:r>
        <w:t xml:space="preserve">: mechanical capacity, smoking exposure, adiposity/metabolic state, cardiorespiratory conditioning, sleep/stress burden, bowel disease and possibly microbiome ecology.</w:t>
      </w:r>
    </w:p>
    <w:bookmarkEnd w:id="156"/>
    <w:bookmarkStart w:id="158" w:name="patient-subtypes"/>
    <w:p>
      <w:pPr>
        <w:pStyle w:val="Heading3"/>
      </w:pPr>
      <w:r>
        <w:t xml:space="preserve">Patient subtypes</w:t>
      </w:r>
    </w:p>
    <w:p>
      <w:pPr>
        <w:pStyle w:val="FirstParagraph"/>
      </w:pPr>
      <w:r>
        <w:t xml:space="preserve">Conflicting lifestyle studies may partly reflect genuine biological heterogeneity.</w:t>
      </w:r>
    </w:p>
    <w:p>
      <w:pPr>
        <w:pStyle w:val="BodyText"/>
      </w:pPr>
      <w:r>
        <w:rPr>
          <w:b/>
          <w:bCs/>
        </w:rPr>
        <w:t xml:space="preserve">HLA-B27-positive versus negative:</w:t>
      </w:r>
      <w:r>
        <w:t xml:space="preserve"> </w:t>
      </w:r>
      <w:r>
        <w:t xml:space="preserve">HLA-dependent mechanisms should logically differ in weighting; HLA-B27-negative axSpA proves alternative pathways exist.</w:t>
      </w:r>
      <w:r>
        <w:t xml:space="preserve"> </w:t>
      </w:r>
      <w:hyperlink r:id="rId32">
        <w:r>
          <w:rPr>
            <w:rStyle w:val="Hyperlink"/>
          </w:rPr>
          <w:t xml:space="preserve">[24]</w:t>
        </w:r>
      </w:hyperlink>
    </w:p>
    <w:p>
      <w:pPr>
        <w:pStyle w:val="BodyText"/>
      </w:pPr>
      <w:r>
        <w:rPr>
          <w:b/>
          <w:bCs/>
        </w:rPr>
        <w:t xml:space="preserve">Gut-high phenotype:</w:t>
      </w:r>
      <w:r>
        <w:t xml:space="preserve"> </w:t>
      </w:r>
      <w:r>
        <w:t xml:space="preserve">elevated fecal calprotectin, microscopic inflammation or overt IBD could identify patients in whom mucosal mechanisms matter disproportionately.</w:t>
      </w:r>
    </w:p>
    <w:p>
      <w:pPr>
        <w:pStyle w:val="BodyText"/>
      </w:pPr>
      <w:r>
        <w:rPr>
          <w:b/>
          <w:bCs/>
        </w:rPr>
        <w:t xml:space="preserve">Psoriasis/PsA-overlap phenotype:</w:t>
      </w:r>
      <w:r>
        <w:t xml:space="preserve"> </w:t>
      </w:r>
      <w:r>
        <w:t xml:space="preserve">may have somewhat different IL-23/type-3 biology.</w:t>
      </w:r>
    </w:p>
    <w:p>
      <w:pPr>
        <w:pStyle w:val="BodyText"/>
      </w:pPr>
      <w:r>
        <w:rPr>
          <w:b/>
          <w:bCs/>
        </w:rPr>
        <w:t xml:space="preserve">CRP/MRI-high phenotype:</w:t>
      </w:r>
      <w:r>
        <w:t xml:space="preserve"> </w:t>
      </w:r>
      <w:r>
        <w:t xml:space="preserve">likely contains more objectively inflammatory disease and offers a cleaner population for testing anti-inflammatory lifestyle effects.</w:t>
      </w:r>
    </w:p>
    <w:p>
      <w:pPr>
        <w:pStyle w:val="BodyText"/>
      </w:pPr>
      <w:r>
        <w:rPr>
          <w:b/>
          <w:bCs/>
        </w:rPr>
        <w:t xml:space="preserve">CRP-normal/symptom-high phenotype:</w:t>
      </w:r>
      <w:r>
        <w:t xml:space="preserve"> </w:t>
      </w:r>
      <w:r>
        <w:t xml:space="preserve">pain processing, structural disease, sleep and mechanical factors may make a proportionally larger contribution. A normal CRP does not exclude active axSpA.</w:t>
      </w:r>
    </w:p>
    <w:p>
      <w:pPr>
        <w:pStyle w:val="BodyText"/>
      </w:pPr>
      <w:r>
        <w:rPr>
          <w:b/>
          <w:bCs/>
        </w:rPr>
        <w:t xml:space="preserve">Male versus female:</w:t>
      </w:r>
      <w:r>
        <w:t xml:space="preserve"> </w:t>
      </w:r>
      <w:r>
        <w:t xml:space="preserve">men tend to show more radiographic progression/objective structural burden, whereas women frequently have substantial symptom burden despite less radiographic progression and historically face diagnostic delay.</w:t>
      </w:r>
      <w:r>
        <w:t xml:space="preserve"> </w:t>
      </w:r>
      <w:hyperlink r:id="rId157">
        <w:r>
          <w:rPr>
            <w:rStyle w:val="Hyperlink"/>
          </w:rPr>
          <w:t xml:space="preserve">[141]</w:t>
        </w:r>
      </w:hyperlink>
    </w:p>
    <w:p>
      <w:pPr>
        <w:pStyle w:val="BodyText"/>
      </w:pPr>
      <w:r>
        <w:rPr>
          <w:b/>
          <w:bCs/>
        </w:rPr>
        <w:t xml:space="preserve">Obesity/metabolic phenotype:</w:t>
      </w:r>
      <w:r>
        <w:t xml:space="preserve"> </w:t>
      </w:r>
      <w:r>
        <w:t xml:space="preserve">adipose inflammation and increased mechanical loading may raise modifiability through weight/body-composition interventions.</w:t>
      </w:r>
    </w:p>
    <w:p>
      <w:pPr>
        <w:pStyle w:val="BodyText"/>
      </w:pPr>
      <w:r>
        <w:rPr>
          <w:b/>
          <w:bCs/>
        </w:rPr>
        <w:t xml:space="preserve">High-load mechanical phenotype:</w:t>
      </w:r>
      <w:r>
        <w:t xml:space="preserve"> </w:t>
      </w:r>
      <w:r>
        <w:t xml:space="preserve">occupation, sport or focal enthesopathy may increase the relevance of biomechanics.</w:t>
      </w:r>
    </w:p>
    <w:p>
      <w:pPr>
        <w:pStyle w:val="BodyText"/>
      </w:pPr>
      <w:r>
        <w:rPr>
          <w:b/>
          <w:bCs/>
        </w:rPr>
        <w:t xml:space="preserve">Early disease versus established ankylosis:</w:t>
      </w:r>
      <w:r>
        <w:t xml:space="preserve"> </w:t>
      </w:r>
      <w:r>
        <w:t xml:space="preserve">upstream immune interruption may be more capable of altering trajectories early; established structural lesions create symptoms and mechanical constraints that persist independently of current inflammation.</w:t>
      </w:r>
    </w:p>
    <w:p>
      <w:pPr>
        <w:pStyle w:val="BodyText"/>
      </w:pPr>
      <w:r>
        <w:rPr>
          <w:b/>
          <w:bCs/>
        </w:rPr>
        <w:t xml:space="preserve">Smoking phenotype:</w:t>
      </w:r>
      <w:r>
        <w:t xml:space="preserve"> </w:t>
      </w:r>
      <w:r>
        <w:t xml:space="preserve">tobacco may intensify progression risk and treatment resistance.</w:t>
      </w:r>
    </w:p>
    <w:p>
      <w:pPr>
        <w:pStyle w:val="BodyText"/>
      </w:pPr>
      <w:r>
        <w:t xml:space="preserve">The appropriate research future is therefore unlikely to be “find the AS diet.” It is more likely to be</w:t>
      </w:r>
      <w:r>
        <w:t xml:space="preserve"> </w:t>
      </w:r>
      <w:r>
        <w:rPr>
          <w:b/>
          <w:bCs/>
        </w:rPr>
        <w:t xml:space="preserve">match an intervention to a mechanistically defined endotype</w:t>
      </w:r>
      <w:r>
        <w:t xml:space="preserve">.</w:t>
      </w:r>
    </w:p>
    <w:p>
      <w:pPr>
        <w:pStyle w:val="BodyText"/>
      </w:pPr>
      <w:r>
        <w:rPr>
          <w:b/>
          <w:bCs/>
        </w:rPr>
        <w:t xml:space="preserve">Part XVII — Biggest unanswered questions</w:t>
      </w:r>
    </w:p>
    <w:p>
      <w:pPr>
        <w:pStyle w:val="BodyText"/>
      </w:pPr>
      <w:r>
        <w:t xml:space="preserve">The most important unknown is what happens biologically</w:t>
      </w:r>
      <w:r>
        <w:t xml:space="preserve"> </w:t>
      </w:r>
      <w:r>
        <w:rPr>
          <w:b/>
          <w:bCs/>
        </w:rPr>
        <w:t xml:space="preserve">days before an objective flare</w:t>
      </w:r>
      <w:r>
        <w:t xml:space="preserve">. Current research overwhelmingly samples stable active disease rather than transitions between states.</w:t>
      </w:r>
    </w:p>
    <w:p>
      <w:pPr>
        <w:pStyle w:val="BodyText"/>
      </w:pPr>
      <w:r>
        <w:t xml:space="preserve">It remains unresolved whether microbiome changes precede inflammation or mostly reflect it; whether an AS-specific antigen exists; why only a minority of HLA-B27 carriers develop disease; whether IL-23 matters mainly before clinical disease; whether different patients use fundamentally different IL-17-producing cell populations; and whether failure of resolution is an independent lesion rather than an effect of persistent cytokine stimulation.</w:t>
      </w:r>
      <w:r>
        <w:t xml:space="preserve"> </w:t>
      </w:r>
      <w:hyperlink r:id="rId26">
        <w:r>
          <w:rPr>
            <w:rStyle w:val="Hyperlink"/>
          </w:rPr>
          <w:t xml:space="preserve">[142]</w:t>
        </w:r>
      </w:hyperlink>
    </w:p>
    <w:p>
      <w:pPr>
        <w:pStyle w:val="BodyText"/>
      </w:pPr>
      <w:r>
        <w:t xml:space="preserve">It is also unknown whether lifestyle changes with plausible systemic effects—exercise, fat loss or diet—produce enough change</w:t>
      </w:r>
      <w:r>
        <w:t xml:space="preserve"> </w:t>
      </w:r>
      <w:r>
        <w:rPr>
          <w:b/>
          <w:bCs/>
        </w:rPr>
        <w:t xml:space="preserve">inside the sacroiliac/entheseal immune microenvironment</w:t>
      </w:r>
      <w:r>
        <w:t xml:space="preserve"> </w:t>
      </w:r>
      <w:r>
        <w:t xml:space="preserve">to alter structural disease, rather than simply improving symptoms, cardiovascular health and systemic biomarkers.</w:t>
      </w:r>
    </w:p>
    <w:p>
      <w:pPr>
        <w:pStyle w:val="BodyText"/>
      </w:pPr>
      <w:r>
        <w:t xml:space="preserve">And no current commercial microbiome, cytokine or “inflammation” panel has validated predictive utility sufficient to select a personalised non-drug AS treatment.</w:t>
      </w:r>
    </w:p>
    <w:bookmarkEnd w:id="158"/>
    <w:bookmarkStart w:id="160" w:name="biomarker-hierarchy"/>
    <w:p>
      <w:pPr>
        <w:pStyle w:val="Heading3"/>
      </w:pPr>
      <w:r>
        <w:t xml:space="preserve">Biomarker hierarchy</w:t>
      </w:r>
    </w:p>
    <w:p>
      <w:pPr>
        <w:pStyle w:val="FirstParagraph"/>
      </w:pPr>
      <w:r>
        <w:rPr>
          <w:b/>
          <w:bCs/>
        </w:rPr>
        <w:t xml:space="preserve">Clinically established/useful in context</w:t>
      </w:r>
    </w:p>
    <w:p>
      <w:pPr>
        <w:pStyle w:val="Compact"/>
        <w:numPr>
          <w:ilvl w:val="0"/>
          <w:numId w:val="1002"/>
        </w:numPr>
      </w:pPr>
      <w:r>
        <w:rPr>
          <w:b/>
          <w:bCs/>
        </w:rPr>
        <w:t xml:space="preserve">CRP:</w:t>
      </w:r>
      <w:r>
        <w:t xml:space="preserve"> </w:t>
      </w:r>
      <w:r>
        <w:t xml:space="preserve">useful objective systemic inflammatory marker and component of ASDAS, but normal in many active patients.</w:t>
      </w:r>
    </w:p>
    <w:p>
      <w:pPr>
        <w:pStyle w:val="Compact"/>
        <w:numPr>
          <w:ilvl w:val="0"/>
          <w:numId w:val="1002"/>
        </w:numPr>
      </w:pPr>
      <w:r>
        <w:rPr>
          <w:b/>
          <w:bCs/>
        </w:rPr>
        <w:t xml:space="preserve">ESR:</w:t>
      </w:r>
      <w:r>
        <w:t xml:space="preserve"> </w:t>
      </w:r>
      <w:r>
        <w:t xml:space="preserve">less specific and slower-changing inflammatory marker.</w:t>
      </w:r>
    </w:p>
    <w:p>
      <w:pPr>
        <w:pStyle w:val="Compact"/>
        <w:numPr>
          <w:ilvl w:val="0"/>
          <w:numId w:val="1002"/>
        </w:numPr>
      </w:pPr>
      <w:r>
        <w:rPr>
          <w:b/>
          <w:bCs/>
        </w:rPr>
        <w:t xml:space="preserve">MRI SI joints/spine:</w:t>
      </w:r>
      <w:r>
        <w:t xml:space="preserve"> </w:t>
      </w:r>
      <w:r>
        <w:t xml:space="preserve">strongest direct method for detecting active axial inflammatory lesions and structural changes.</w:t>
      </w:r>
    </w:p>
    <w:p>
      <w:pPr>
        <w:pStyle w:val="Compact"/>
        <w:numPr>
          <w:ilvl w:val="0"/>
          <w:numId w:val="1002"/>
        </w:numPr>
      </w:pPr>
      <w:r>
        <w:rPr>
          <w:b/>
          <w:bCs/>
        </w:rPr>
        <w:t xml:space="preserve">Fecal calprotectin:</w:t>
      </w:r>
      <w:r>
        <w:t xml:space="preserve"> </w:t>
      </w:r>
      <w:r>
        <w:t xml:space="preserve">clinically established marker of intestinal inflammation; useful when IBD/subclinical bowel inflammation is suspected, not an AS flare biomarker by itself.</w:t>
      </w:r>
    </w:p>
    <w:p>
      <w:pPr>
        <w:pStyle w:val="Compact"/>
        <w:numPr>
          <w:ilvl w:val="0"/>
          <w:numId w:val="1002"/>
        </w:numPr>
      </w:pPr>
      <w:r>
        <w:rPr>
          <w:b/>
          <w:bCs/>
        </w:rPr>
        <w:t xml:space="preserve">Body composition/BMI/waist and routine glucose/lipids:</w:t>
      </w:r>
      <w:r>
        <w:t xml:space="preserve"> </w:t>
      </w:r>
      <w:r>
        <w:t xml:space="preserve">useful for cardiometabolic phenotype, not AS-specific inflammation.</w:t>
      </w:r>
    </w:p>
    <w:p>
      <w:pPr>
        <w:pStyle w:val="FirstParagraph"/>
      </w:pPr>
      <w:r>
        <w:t xml:space="preserve">These measures are supported across axSpA observational and treatment literature.</w:t>
      </w:r>
      <w:r>
        <w:t xml:space="preserve"> </w:t>
      </w:r>
      <w:hyperlink r:id="rId22">
        <w:r>
          <w:rPr>
            <w:rStyle w:val="Hyperlink"/>
          </w:rPr>
          <w:t xml:space="preserve">[143]</w:t>
        </w:r>
      </w:hyperlink>
    </w:p>
    <w:p>
      <w:pPr>
        <w:pStyle w:val="BodyText"/>
      </w:pPr>
      <w:r>
        <w:rPr>
          <w:b/>
          <w:bCs/>
        </w:rPr>
        <w:t xml:space="preserve">Research-grade, not established for routine treatment selection</w:t>
      </w:r>
    </w:p>
    <w:p>
      <w:pPr>
        <w:pStyle w:val="BodyText"/>
      </w:pPr>
      <w:r>
        <w:t xml:space="preserve">IL-17, IL-23, GM-CSF, Treg/Th17 frequencies, MAIT/ILC3 phenotypes, CARD9/neutrophil signatures, HLA-B27 homodimers, NLRP3 activation, DKK-1, sclerostin, BMPs, SPM lipidomics, tryptophan/bile-acid metabolomics, metagenomic stool signatures, HRV as an inflammatory biomarker and experimental redox markers.</w:t>
      </w:r>
    </w:p>
    <w:p>
      <w:pPr>
        <w:pStyle w:val="BodyText"/>
      </w:pPr>
      <w:r>
        <w:t xml:space="preserve">Commercial availability does not make these clinically validated.</w:t>
      </w:r>
    </w:p>
    <w:p>
      <w:pPr>
        <w:pStyle w:val="BodyText"/>
      </w:pPr>
      <w:r>
        <w:rPr>
          <w:b/>
          <w:bCs/>
        </w:rPr>
        <w:t xml:space="preserve">Part XVIII — Highest-value future experiments</w:t>
      </w:r>
    </w:p>
    <w:p>
      <w:pPr>
        <w:pStyle w:val="BodyText"/>
      </w:pPr>
      <w:r>
        <w:t xml:space="preserve">The single most valuable study would be a</w:t>
      </w:r>
      <w:r>
        <w:t xml:space="preserve"> </w:t>
      </w:r>
      <w:r>
        <w:rPr>
          <w:b/>
          <w:bCs/>
        </w:rPr>
        <w:t xml:space="preserve">dense prospective flare cohort</w:t>
      </w:r>
      <w:r>
        <w:t xml:space="preserve">: patients would provide daily symptom/load/sleep/stress/GI data, wearables, weekly blood and stool samples, and rapid MRI when an algorithm detects early flare. This could establish temporal order among microbiome changes, metabolites, cytokines and objective entheseal inflammation.</w:t>
      </w:r>
    </w:p>
    <w:p>
      <w:pPr>
        <w:pStyle w:val="BodyText"/>
      </w:pPr>
      <w:r>
        <w:t xml:space="preserve">A second priority is a</w:t>
      </w:r>
      <w:r>
        <w:t xml:space="preserve"> </w:t>
      </w:r>
      <w:r>
        <w:rPr>
          <w:b/>
          <w:bCs/>
        </w:rPr>
        <w:t xml:space="preserve">microbiome-causality trial</w:t>
      </w:r>
      <w:r>
        <w:t xml:space="preserve"> </w:t>
      </w:r>
      <w:r>
        <w:t xml:space="preserve">stratified by fecal calprotectin/HLA-B27/IBD phenotype, with controlled diet and a defined microbial intervention, using ASDAS-CRP plus blinded SI/spinal MRI rather than symptoms alone.</w:t>
      </w:r>
    </w:p>
    <w:p>
      <w:pPr>
        <w:pStyle w:val="BodyText"/>
      </w:pPr>
      <w:r>
        <w:t xml:space="preserve">A third is a</w:t>
      </w:r>
      <w:r>
        <w:t xml:space="preserve"> </w:t>
      </w:r>
      <w:r>
        <w:rPr>
          <w:b/>
          <w:bCs/>
        </w:rPr>
        <w:t xml:space="preserve">controlled weight-loss trial in obese active axSpA</w:t>
      </w:r>
      <w:r>
        <w:t xml:space="preserve">, separating caloric restriction, exercise and macronutrient composition and measuring MRI, CRP and mechanistic adipokine/immunometabolic endpoints.</w:t>
      </w:r>
    </w:p>
    <w:p>
      <w:pPr>
        <w:pStyle w:val="BodyText"/>
      </w:pPr>
      <w:r>
        <w:t xml:space="preserve">A fourth is a modern</w:t>
      </w:r>
      <w:r>
        <w:t xml:space="preserve"> </w:t>
      </w:r>
      <w:r>
        <w:rPr>
          <w:b/>
          <w:bCs/>
        </w:rPr>
        <w:t xml:space="preserve">low-starch versus high-fermentable-fibre trial</w:t>
      </w:r>
      <w:r>
        <w:t xml:space="preserve">, explicitly testing the competing Klebsiella and SCFA hypotheses. Participants would need controlled energy intake, body weight, medications and microbiome/metabolomics, plus objective inflammatory endpoints. The registered low-starch study NCT04386538 reflects this rationale, but definitive replication is required.</w:t>
      </w:r>
      <w:r>
        <w:t xml:space="preserve"> </w:t>
      </w:r>
      <w:hyperlink r:id="rId159">
        <w:r>
          <w:rPr>
            <w:rStyle w:val="Hyperlink"/>
          </w:rPr>
          <w:t xml:space="preserve">[144]</w:t>
        </w:r>
      </w:hyperlink>
    </w:p>
    <w:p>
      <w:pPr>
        <w:pStyle w:val="BodyText"/>
      </w:pPr>
      <w:r>
        <w:t xml:space="preserve">A fifth would follow</w:t>
      </w:r>
      <w:r>
        <w:t xml:space="preserve"> </w:t>
      </w:r>
      <w:r>
        <w:rPr>
          <w:b/>
          <w:bCs/>
        </w:rPr>
        <w:t xml:space="preserve">enthesis-level mechanical loading</w:t>
      </w:r>
      <w:r>
        <w:t xml:space="preserve"> </w:t>
      </w:r>
      <w:r>
        <w:t xml:space="preserve">with wearables and imaging to determine whether load spikes predict new inflammatory lesions rather than simply pain.</w:t>
      </w:r>
    </w:p>
    <w:p>
      <w:pPr>
        <w:pStyle w:val="BodyText"/>
      </w:pPr>
      <w:r>
        <w:t xml:space="preserve">A sixth would perform</w:t>
      </w:r>
      <w:r>
        <w:t xml:space="preserve"> </w:t>
      </w:r>
      <w:r>
        <w:rPr>
          <w:b/>
          <w:bCs/>
        </w:rPr>
        <w:t xml:space="preserve">resolution lipidomics and single-cell immunology before, during and after spontaneous flares</w:t>
      </w:r>
      <w:r>
        <w:t xml:space="preserve">, testing whether non-resolvers have deficient efferocytosis/SPM/Treg transitions.</w:t>
      </w:r>
    </w:p>
    <w:p>
      <w:pPr>
        <w:pStyle w:val="BodyText"/>
      </w:pPr>
      <w:r>
        <w:t xml:space="preserve">A seventh should test</w:t>
      </w:r>
      <w:r>
        <w:t xml:space="preserve"> </w:t>
      </w:r>
      <w:r>
        <w:rPr>
          <w:b/>
          <w:bCs/>
        </w:rPr>
        <w:t xml:space="preserve">exercise dose-response biologically</w:t>
      </w:r>
      <w:r>
        <w:t xml:space="preserve">, comparing moderate continuous, high-intensity and resistance-focused programmes with equal contact time and serial MRI/immune measures. Existing RCTs demonstrate efficacy but do not yet identify the optimal immunological dose.</w:t>
      </w:r>
      <w:r>
        <w:t xml:space="preserve"> </w:t>
      </w:r>
      <w:hyperlink r:id="rId19">
        <w:r>
          <w:rPr>
            <w:rStyle w:val="Hyperlink"/>
          </w:rPr>
          <w:t xml:space="preserve">[145]</w:t>
        </w:r>
      </w:hyperlink>
    </w:p>
    <w:p>
      <w:pPr>
        <w:pStyle w:val="BodyText"/>
      </w:pPr>
      <w:r>
        <w:t xml:space="preserve">A final high-value strategy is</w:t>
      </w:r>
      <w:r>
        <w:t xml:space="preserve"> </w:t>
      </w:r>
      <w:r>
        <w:rPr>
          <w:b/>
          <w:bCs/>
        </w:rPr>
        <w:t xml:space="preserve">endotype discovery</w:t>
      </w:r>
      <w:r>
        <w:t xml:space="preserve">: integrate HLA genotype, gut inflammation, microbiome/metabolome, immune single-cell phenotypes, sex, smoking, obesity, MRI distribution and treatment response. The recent type-I-interferon/TNF-response findings illustrate how biologically distinct axSpA subgroups may emerge.</w:t>
      </w:r>
      <w:r>
        <w:t xml:space="preserve"> </w:t>
      </w:r>
      <w:hyperlink r:id="rId137">
        <w:r>
          <w:rPr>
            <w:rStyle w:val="Hyperlink"/>
          </w:rPr>
          <w:t xml:space="preserve">[120]</w:t>
        </w:r>
      </w:hyperlink>
    </w:p>
    <w:p>
      <w:pPr>
        <w:pStyle w:val="BodyText"/>
      </w:pPr>
      <w:r>
        <w:rPr>
          <w:b/>
          <w:bCs/>
        </w:rPr>
        <w:t xml:space="preserve">Part XIX — Practical conclusions</w:t>
      </w:r>
    </w:p>
    <w:bookmarkEnd w:id="160"/>
    <w:bookmarkStart w:id="161" w:name="X62bbd12cfca059d1829cc37759b31de5a52499a"/>
    <w:p>
      <w:pPr>
        <w:pStyle w:val="Heading3"/>
      </w:pPr>
      <w:r>
        <w:t xml:space="preserve">Supported enough to consider discussing with a clinician</w:t>
      </w:r>
    </w:p>
    <w:p>
      <w:pPr>
        <w:pStyle w:val="FirstParagraph"/>
      </w:pPr>
      <w:r>
        <w:rPr>
          <w:b/>
          <w:bCs/>
        </w:rPr>
        <w:t xml:space="preserve">Regular structured exercise and physiotherapy.</w:t>
      </w:r>
      <w:r>
        <w:t xml:space="preserve"> </w:t>
      </w:r>
      <w:r>
        <w:t xml:space="preserve">This has the strongest non-pharmaceutical axSpA evidence and is recommended in international management guidance. Resistance, aerobic and mobility work should generally be progressively dosed rather than abandoned because entheses are mechanically sensitive.</w:t>
      </w:r>
      <w:r>
        <w:t xml:space="preserve"> </w:t>
      </w:r>
      <w:hyperlink r:id="rId121">
        <w:r>
          <w:rPr>
            <w:rStyle w:val="Hyperlink"/>
          </w:rPr>
          <w:t xml:space="preserve">[113]</w:t>
        </w:r>
      </w:hyperlink>
    </w:p>
    <w:p>
      <w:pPr>
        <w:pStyle w:val="BodyText"/>
      </w:pPr>
      <w:r>
        <w:rPr>
          <w:b/>
          <w:bCs/>
        </w:rPr>
        <w:t xml:space="preserve">Smoking cessation.</w:t>
      </w:r>
      <w:r>
        <w:t xml:space="preserve"> </w:t>
      </w:r>
      <w:r>
        <w:t xml:space="preserve">Smoking is associated with worse inflammation, function and structural progression.</w:t>
      </w:r>
      <w:r>
        <w:t xml:space="preserve"> </w:t>
      </w:r>
      <w:hyperlink r:id="rId146">
        <w:r>
          <w:rPr>
            <w:rStyle w:val="Hyperlink"/>
          </w:rPr>
          <w:t xml:space="preserve">[129]</w:t>
        </w:r>
      </w:hyperlink>
    </w:p>
    <w:p>
      <w:pPr>
        <w:pStyle w:val="BodyText"/>
      </w:pPr>
      <w:r>
        <w:rPr>
          <w:b/>
          <w:bCs/>
        </w:rPr>
        <w:t xml:space="preserve">Addressing excess adiposity and metabolic dysfunction when present.</w:t>
      </w:r>
      <w:r>
        <w:t xml:space="preserve"> </w:t>
      </w:r>
      <w:r>
        <w:t xml:space="preserve">This has good systemic rationale and prognostic association, although AS-specific remission trials are lacking.</w:t>
      </w:r>
      <w:r>
        <w:t xml:space="preserve"> </w:t>
      </w:r>
      <w:hyperlink r:id="rId22">
        <w:r>
          <w:rPr>
            <w:rStyle w:val="Hyperlink"/>
          </w:rPr>
          <w:t xml:space="preserve">[13]</w:t>
        </w:r>
      </w:hyperlink>
    </w:p>
    <w:p>
      <w:pPr>
        <w:pStyle w:val="BodyText"/>
      </w:pPr>
      <w:r>
        <w:rPr>
          <w:b/>
          <w:bCs/>
        </w:rPr>
        <w:t xml:space="preserve">A nutritionally adequate Mediterranean-style dietary pattern.</w:t>
      </w:r>
      <w:r>
        <w:t xml:space="preserve"> </w:t>
      </w:r>
      <w:r>
        <w:t xml:space="preserve">Evidence for direct axSpA suppression is preliminary, but the risk–benefit profile and general cardiometabolic evidence are favourable, and there is a positive AS-specific prospective signal.</w:t>
      </w:r>
      <w:r>
        <w:t xml:space="preserve"> </w:t>
      </w:r>
      <w:hyperlink r:id="rId101">
        <w:r>
          <w:rPr>
            <w:rStyle w:val="Hyperlink"/>
          </w:rPr>
          <w:t xml:space="preserve">[130]</w:t>
        </w:r>
      </w:hyperlink>
    </w:p>
    <w:p>
      <w:pPr>
        <w:pStyle w:val="BodyText"/>
      </w:pPr>
      <w:r>
        <w:rPr>
          <w:b/>
          <w:bCs/>
        </w:rPr>
        <w:t xml:space="preserve">Correction of demonstrated deficiencies</w:t>
      </w:r>
      <w:r>
        <w:t xml:space="preserve">, particularly vitamin D where clinically indicated for skeletal health. That should not be confused with using megadose vitamin D as immunotherapy. Excess vitamin D is genuinely toxic.</w:t>
      </w:r>
      <w:r>
        <w:t xml:space="preserve"> </w:t>
      </w:r>
      <w:hyperlink r:id="rId114">
        <w:r>
          <w:rPr>
            <w:rStyle w:val="Hyperlink"/>
          </w:rPr>
          <w:t xml:space="preserve">[106]</w:t>
        </w:r>
      </w:hyperlink>
    </w:p>
    <w:p>
      <w:pPr>
        <w:pStyle w:val="BodyText"/>
      </w:pPr>
      <w:r>
        <w:rPr>
          <w:b/>
          <w:bCs/>
        </w:rPr>
        <w:t xml:space="preserve">Optimising sleep and treating genuine sleep disorders.</w:t>
      </w:r>
      <w:r>
        <w:t xml:space="preserve"> </w:t>
      </w:r>
      <w:r>
        <w:t xml:space="preserve">The primary expectation should be improved fatigue, pain processing, recovery and general physiology rather than guaranteed immune remission.</w:t>
      </w:r>
      <w:r>
        <w:t xml:space="preserve"> </w:t>
      </w:r>
      <w:hyperlink r:id="rId52">
        <w:r>
          <w:rPr>
            <w:rStyle w:val="Hyperlink"/>
          </w:rPr>
          <w:t xml:space="preserve">[115]</w:t>
        </w:r>
      </w:hyperlink>
    </w:p>
    <w:p>
      <w:pPr>
        <w:pStyle w:val="BodyText"/>
      </w:pPr>
      <w:r>
        <w:rPr>
          <w:b/>
          <w:bCs/>
        </w:rPr>
        <w:t xml:space="preserve">Evaluating GI symptoms/possible IBD rather than self-treating presumed “leaky gut.”</w:t>
      </w:r>
      <w:r>
        <w:t xml:space="preserve"> </w:t>
      </w:r>
      <w:r>
        <w:t xml:space="preserve">Fecal calprotectin and conventional gastroenterological investigation have clinical validation; most commercial permeability/microbiome panels do not.</w:t>
      </w:r>
      <w:r>
        <w:t xml:space="preserve"> </w:t>
      </w:r>
      <w:hyperlink r:id="rId59">
        <w:r>
          <w:rPr>
            <w:rStyle w:val="Hyperlink"/>
          </w:rPr>
          <w:t xml:space="preserve">[61]</w:t>
        </w:r>
      </w:hyperlink>
    </w:p>
    <w:bookmarkEnd w:id="161"/>
    <w:bookmarkStart w:id="162" w:name="promising-but-experimental"/>
    <w:p>
      <w:pPr>
        <w:pStyle w:val="Heading3"/>
      </w:pPr>
      <w:r>
        <w:t xml:space="preserve">Promising but experimental</w:t>
      </w:r>
    </w:p>
    <w:p>
      <w:pPr>
        <w:pStyle w:val="FirstParagraph"/>
      </w:pPr>
      <w:r>
        <w:t xml:space="preserve">Targeted microbiome manipulation and FMT; low-starch strategies tested under controlled conditions; high-fibre/prebiotic strategies with mechanistic phenotyping; omega-3 as a potential adjunct; bioelectronic vagal stimulation; metabolically targeted programmes in obese/insulin-resistant subgroups; and resolution-directed interventions involving SPM biology all deserve research rather than dismissal.</w:t>
      </w:r>
      <w:r>
        <w:t xml:space="preserve"> </w:t>
      </w:r>
      <w:hyperlink r:id="rId93">
        <w:r>
          <w:rPr>
            <w:rStyle w:val="Hyperlink"/>
          </w:rPr>
          <w:t xml:space="preserve">[146]</w:t>
        </w:r>
      </w:hyperlink>
    </w:p>
    <w:p>
      <w:pPr>
        <w:pStyle w:val="BodyText"/>
      </w:pPr>
      <w:r>
        <w:t xml:space="preserve">None currently qualifies as an established stand-alone AS remission therapy.</w:t>
      </w:r>
    </w:p>
    <w:bookmarkEnd w:id="162"/>
    <w:bookmarkStart w:id="163" w:name="Xa6469fdc1dfa225e8347106f696db1ec624c06f"/>
    <w:p>
      <w:pPr>
        <w:pStyle w:val="Heading3"/>
      </w:pPr>
      <w:r>
        <w:t xml:space="preserve">Mechanistically interesting but currently unproven</w:t>
      </w:r>
    </w:p>
    <w:p>
      <w:pPr>
        <w:pStyle w:val="FirstParagraph"/>
      </w:pPr>
      <w:r>
        <w:t xml:space="preserve">Ketogenic diets, fasting/time-restricted eating, resistant starch/butyrate supplementation, curcumin, Boswellia, NAC, glutathione, quercetin, resveratrol, berberine, glycine, magnesium supplementation in non-deficient people, zinc/selenium supplementation in replete individuals, breathwork, HRV biofeedback, sauna and cold exposure.</w:t>
      </w:r>
    </w:p>
    <w:p>
      <w:pPr>
        <w:pStyle w:val="BodyText"/>
      </w:pPr>
      <w:r>
        <w:t xml:space="preserve">Their mechanisms often intersect real AS biology—NLRP3, AMPK, redox signalling, autonomic regulation or gut metabolites—but</w:t>
      </w:r>
      <w:r>
        <w:t xml:space="preserve"> </w:t>
      </w:r>
      <w:r>
        <w:rPr>
          <w:b/>
          <w:bCs/>
        </w:rPr>
        <w:t xml:space="preserve">mechanistic intersection is not clinical efficacy</w:t>
      </w:r>
      <w:r>
        <w:t xml:space="preserve">.</w:t>
      </w:r>
    </w:p>
    <w:bookmarkEnd w:id="163"/>
    <w:bookmarkStart w:id="164" w:name="unsupported-or-contradicted"/>
    <w:p>
      <w:pPr>
        <w:pStyle w:val="Heading3"/>
      </w:pPr>
      <w:r>
        <w:t xml:space="preserve">Unsupported or contradicted</w:t>
      </w:r>
    </w:p>
    <w:p>
      <w:pPr>
        <w:pStyle w:val="FirstParagraph"/>
      </w:pPr>
      <w:r>
        <w:t xml:space="preserve">The evidence does not support claiming that:</w:t>
      </w:r>
    </w:p>
    <w:p>
      <w:pPr>
        <w:pStyle w:val="BodyText"/>
      </w:pPr>
      <w:r>
        <w:rPr>
          <w:b/>
          <w:bCs/>
        </w:rPr>
        <w:t xml:space="preserve">AS is caused simply by Klebsiella;</w:t>
      </w:r>
      <w:r>
        <w:br/>
      </w:r>
      <w:r>
        <w:rPr>
          <w:b/>
          <w:bCs/>
        </w:rPr>
        <w:t xml:space="preserve">starch universally causes AS flares;</w:t>
      </w:r>
      <w:r>
        <w:br/>
      </w:r>
      <w:r>
        <w:rPr>
          <w:b/>
          <w:bCs/>
        </w:rPr>
        <w:t xml:space="preserve">generic probiotics treat AS;</w:t>
      </w:r>
      <w:r>
        <w:br/>
      </w:r>
      <w:r>
        <w:rPr>
          <w:b/>
          <w:bCs/>
        </w:rPr>
        <w:t xml:space="preserve">HLA-B27 misfolding is the single disease mechanism;</w:t>
      </w:r>
      <w:r>
        <w:br/>
      </w:r>
      <w:r>
        <w:rPr>
          <w:b/>
          <w:bCs/>
        </w:rPr>
        <w:t xml:space="preserve">IL-23 is required to maintain established axial inflammation;</w:t>
      </w:r>
      <w:r>
        <w:br/>
      </w:r>
      <w:r>
        <w:rPr>
          <w:b/>
          <w:bCs/>
        </w:rPr>
        <w:t xml:space="preserve">GM-CSF elevation makes GM-CSF blockade effective;</w:t>
      </w:r>
      <w:r>
        <w:br/>
      </w:r>
      <w:r>
        <w:rPr>
          <w:b/>
          <w:bCs/>
        </w:rPr>
        <w:t xml:space="preserve">low HRV is the root cause of AS;</w:t>
      </w:r>
      <w:r>
        <w:br/>
      </w:r>
      <w:r>
        <w:rPr>
          <w:b/>
          <w:bCs/>
        </w:rPr>
        <w:t xml:space="preserve">“adrenal fatigue” causes AS;</w:t>
      </w:r>
      <w:r>
        <w:br/>
      </w:r>
      <w:r>
        <w:rPr>
          <w:b/>
          <w:bCs/>
        </w:rPr>
        <w:t xml:space="preserve">a normal CRP means no inflammatory disease;</w:t>
      </w:r>
      <w:r>
        <w:br/>
      </w:r>
      <w:r>
        <w:rPr>
          <w:b/>
          <w:bCs/>
        </w:rPr>
        <w:t xml:space="preserve">or symptom disappearance proves structural disease modification.</w:t>
      </w:r>
    </w:p>
    <w:p>
      <w:pPr>
        <w:pStyle w:val="BodyText"/>
      </w:pPr>
      <w:r>
        <w:t xml:space="preserve">The IL-23, GM-CSF and probiotic failures are particularly strong reminders that plausible biology frequently fails when tested clinically.</w:t>
      </w:r>
      <w:r>
        <w:t xml:space="preserve"> </w:t>
      </w:r>
      <w:hyperlink r:id="rId26">
        <w:r>
          <w:rPr>
            <w:rStyle w:val="Hyperlink"/>
          </w:rPr>
          <w:t xml:space="preserve">[147]</w:t>
        </w:r>
      </w:hyperlink>
    </w:p>
    <w:bookmarkEnd w:id="164"/>
    <w:bookmarkStart w:id="167" w:name="potentially-dangerous"/>
    <w:p>
      <w:pPr>
        <w:pStyle w:val="Heading3"/>
      </w:pPr>
      <w:r>
        <w:t xml:space="preserve">Potentially dangerous</w:t>
      </w:r>
    </w:p>
    <w:p>
      <w:pPr>
        <w:pStyle w:val="FirstParagraph"/>
      </w:pPr>
      <w:r>
        <w:rPr>
          <w:b/>
          <w:bCs/>
        </w:rPr>
        <w:t xml:space="preserve">Stopping effective prescription therapy in favour of an unproven lifestyle protocol</w:t>
      </w:r>
      <w:r>
        <w:t xml:space="preserve"> </w:t>
      </w:r>
      <w:r>
        <w:t xml:space="preserve">can permit inflammatory activity and structural progression. Existing axSpA management recommendations do not support that strategy.</w:t>
      </w:r>
      <w:r>
        <w:t xml:space="preserve"> </w:t>
      </w:r>
      <w:hyperlink r:id="rId165">
        <w:r>
          <w:rPr>
            <w:rStyle w:val="Hyperlink"/>
          </w:rPr>
          <w:t xml:space="preserve">[148]</w:t>
        </w:r>
      </w:hyperlink>
    </w:p>
    <w:p>
      <w:pPr>
        <w:pStyle w:val="BodyText"/>
      </w:pPr>
      <w:r>
        <w:rPr>
          <w:b/>
          <w:bCs/>
        </w:rPr>
        <w:t xml:space="preserve">Unsupervised FMT</w:t>
      </w:r>
      <w:r>
        <w:t xml:space="preserve"> </w:t>
      </w:r>
      <w:r>
        <w:t xml:space="preserve">carries infectious and other serious risks and should not be treated as a home microbiome intervention.</w:t>
      </w:r>
    </w:p>
    <w:p>
      <w:pPr>
        <w:pStyle w:val="BodyText"/>
      </w:pPr>
      <w:r>
        <w:rPr>
          <w:b/>
          <w:bCs/>
        </w:rPr>
        <w:t xml:space="preserve">Extreme elimination, low-starch or ketogenic diets</w:t>
      </w:r>
      <w:r>
        <w:t xml:space="preserve"> </w:t>
      </w:r>
      <w:r>
        <w:t xml:space="preserve">can become nutritionally inadequate, particularly when multiple food classes are removed.</w:t>
      </w:r>
    </w:p>
    <w:p>
      <w:pPr>
        <w:pStyle w:val="BodyText"/>
      </w:pPr>
      <w:r>
        <w:rPr>
          <w:b/>
          <w:bCs/>
        </w:rPr>
        <w:t xml:space="preserve">Supplement megadosing</w:t>
      </w:r>
      <w:r>
        <w:t xml:space="preserve"> </w:t>
      </w:r>
      <w:r>
        <w:t xml:space="preserve">is not benign. Vitamin D excess can cause severe hypercalcaemia and renal injury; chronic high zinc can induce copper deficiency; excess selenium is toxic; magnesium interacts with several drugs; and high-dose fish oil requires attention around anticoagulant therapy.</w:t>
      </w:r>
      <w:r>
        <w:t xml:space="preserve"> </w:t>
      </w:r>
      <w:hyperlink r:id="rId114">
        <w:r>
          <w:rPr>
            <w:rStyle w:val="Hyperlink"/>
          </w:rPr>
          <w:t xml:space="preserve">[149]</w:t>
        </w:r>
      </w:hyperlink>
    </w:p>
    <w:p>
      <w:pPr>
        <w:pStyle w:val="BodyText"/>
      </w:pPr>
      <w:r>
        <w:t xml:space="preserve">The FDA explicitly cautions that “natural” products can interact with medicines and increase harm; supplement–drug interaction review matters particularly when several compounds are combined.</w:t>
      </w:r>
      <w:r>
        <w:t xml:space="preserve"> </w:t>
      </w:r>
      <w:hyperlink r:id="rId166">
        <w:r>
          <w:rPr>
            <w:rStyle w:val="Hyperlink"/>
          </w:rPr>
          <w:t xml:space="preserve">[150]</w:t>
        </w:r>
      </w:hyperlink>
    </w:p>
    <w:bookmarkEnd w:id="167"/>
    <w:bookmarkStart w:id="168" w:name="bottom-line"/>
    <w:p>
      <w:pPr>
        <w:pStyle w:val="Heading3"/>
      </w:pPr>
      <w:r>
        <w:t xml:space="preserve">Bottom line</w:t>
      </w:r>
    </w:p>
    <w:p>
      <w:pPr>
        <w:pStyle w:val="FirstParagraph"/>
      </w:pPr>
      <w:r>
        <w:rPr>
          <w:b/>
          <w:bCs/>
        </w:rPr>
        <w:t xml:space="preserve">What most likely starts an AS flare?</w:t>
      </w:r>
    </w:p>
    <w:p>
      <w:pPr>
        <w:pStyle w:val="BodyText"/>
      </w:pPr>
      <w:r>
        <w:t xml:space="preserve">There is probably no universal switch. The strongest current model is a</w:t>
      </w:r>
      <w:r>
        <w:t xml:space="preserve"> </w:t>
      </w:r>
      <w:r>
        <w:rPr>
          <w:b/>
          <w:bCs/>
        </w:rPr>
        <w:t xml:space="preserve">threshold phenomenon</w:t>
      </w:r>
      <w:r>
        <w:t xml:space="preserve">: genetically programmed immune susceptibility and a pre-existing type-3 inflammatory state are pushed across a local activation threshold by some combination of</w:t>
      </w:r>
      <w:r>
        <w:t xml:space="preserve"> </w:t>
      </w:r>
      <w:r>
        <w:rPr>
          <w:b/>
          <w:bCs/>
        </w:rPr>
        <w:t xml:space="preserve">mucosal/infectious perturbation, mechanically generated entheseal damage signals, or endogenous reactivation of residual tissue immunity</w:t>
      </w:r>
      <w:r>
        <w:t xml:space="preserve">. Acute psychological stress and sleep/circadian disruption probably lower that threshold in some people rather than constituting the fundamental disease cause. Direct human pre-flare evidence remains much weaker than the evidence for chronic pathogenesis.</w:t>
      </w:r>
      <w:r>
        <w:t xml:space="preserve"> </w:t>
      </w:r>
      <w:hyperlink r:id="rId28">
        <w:r>
          <w:rPr>
            <w:rStyle w:val="Hyperlink"/>
          </w:rPr>
          <w:t xml:space="preserve">[151]</w:t>
        </w:r>
      </w:hyperlink>
    </w:p>
    <w:p>
      <w:pPr>
        <w:pStyle w:val="BodyText"/>
      </w:pPr>
      <w:r>
        <w:rPr>
          <w:b/>
          <w:bCs/>
        </w:rPr>
        <w:t xml:space="preserve">What keeps the flare running?</w:t>
      </w:r>
    </w:p>
    <w:p>
      <w:pPr>
        <w:pStyle w:val="BodyText"/>
      </w:pPr>
      <w:r>
        <w:t xml:space="preserve">The best-supported maintenance network is</w:t>
      </w:r>
      <w:r>
        <w:t xml:space="preserve"> </w:t>
      </w:r>
      <w:r>
        <w:rPr>
          <w:b/>
          <w:bCs/>
        </w:rPr>
        <w:t xml:space="preserve">IL-17 plus TNF interacting with neutrophils, macrophages, stromal cells and tissue-resident/innate-like lymphocytes</w:t>
      </w:r>
      <w:r>
        <w:t xml:space="preserve">, with NLRP3/purinergic, gut and metabolic signals acting as possible amplifiers. Established axial IL-17 production may become partly independent of IL-23, helping explain why IL-23 blockade fails despite compelling upstream biology.</w:t>
      </w:r>
      <w:r>
        <w:t xml:space="preserve"> </w:t>
      </w:r>
      <w:hyperlink r:id="rId12">
        <w:r>
          <w:rPr>
            <w:rStyle w:val="Hyperlink"/>
          </w:rPr>
          <w:t xml:space="preserve">[152]</w:t>
        </w:r>
      </w:hyperlink>
    </w:p>
    <w:p>
      <w:pPr>
        <w:pStyle w:val="BodyText"/>
      </w:pPr>
      <w:r>
        <w:rPr>
          <w:b/>
          <w:bCs/>
        </w:rPr>
        <w:t xml:space="preserve">What shuts it down?</w:t>
      </w:r>
    </w:p>
    <w:p>
      <w:pPr>
        <w:pStyle w:val="BodyText"/>
      </w:pPr>
      <w:r>
        <w:t xml:space="preserve">Probably several overlapping active-resolution systems: disappearance of the initiating tissue signal; negative-feedback cytokine regulation; Tregs; macrophage transition and efferocytosis; IL-10/TGF-β-related regulation; lipid-mediator class switching and SPM production; endocrine/autonomic restraint; and repair of the damaged tissue. The critical caveat is that</w:t>
      </w:r>
      <w:r>
        <w:t xml:space="preserve"> </w:t>
      </w:r>
      <w:r>
        <w:rPr>
          <w:b/>
          <w:bCs/>
        </w:rPr>
        <w:t xml:space="preserve">direct AS-specific evidence for a defective or manipulable resolution programme is still sparse</w:t>
      </w:r>
      <w:r>
        <w:t xml:space="preserve">.</w:t>
      </w:r>
      <w:r>
        <w:t xml:space="preserve"> </w:t>
      </w:r>
      <w:hyperlink r:id="rId17">
        <w:r>
          <w:rPr>
            <w:rStyle w:val="Hyperlink"/>
          </w:rPr>
          <w:t xml:space="preserve">[153]</w:t>
        </w:r>
      </w:hyperlink>
    </w:p>
    <w:p>
      <w:pPr>
        <w:pStyle w:val="BodyText"/>
      </w:pPr>
      <w:r>
        <w:rPr>
          <w:b/>
          <w:bCs/>
        </w:rPr>
        <w:t xml:space="preserve">Which non-pharmaceutical levers currently have the strongest evidence for influencing these processes?</w:t>
      </w:r>
    </w:p>
    <w:p>
      <w:pPr>
        <w:pStyle w:val="BodyText"/>
      </w:pPr>
      <w:r>
        <w:t xml:space="preserve">The hierarchy is much more conservative than the mechanistic literature might suggest:</w:t>
      </w:r>
    </w:p>
    <w:p>
      <w:pPr>
        <w:pStyle w:val="BodyText"/>
      </w:pPr>
      <w:r>
        <w:rPr>
          <w:b/>
          <w:bCs/>
        </w:rPr>
        <w:t xml:space="preserve">structured progressive exercise/physiotherapy</w:t>
      </w:r>
      <w:r>
        <w:t xml:space="preserve"> </w:t>
      </w:r>
      <w:r>
        <w:t xml:space="preserve">has the strongest direct axSpA evidence;</w:t>
      </w:r>
      <w:r>
        <w:t xml:space="preserve"> </w:t>
      </w:r>
      <w:r>
        <w:rPr>
          <w:b/>
          <w:bCs/>
        </w:rPr>
        <w:t xml:space="preserve">smoking cessation</w:t>
      </w:r>
      <w:r>
        <w:t xml:space="preserve"> </w:t>
      </w:r>
      <w:r>
        <w:t xml:space="preserve">has compelling prognostic rationale;</w:t>
      </w:r>
      <w:r>
        <w:t xml:space="preserve"> </w:t>
      </w:r>
      <w:r>
        <w:rPr>
          <w:b/>
          <w:bCs/>
        </w:rPr>
        <w:t xml:space="preserve">maintaining or restoring healthy body composition/metabolic health</w:t>
      </w:r>
      <w:r>
        <w:t xml:space="preserve"> </w:t>
      </w:r>
      <w:r>
        <w:t xml:space="preserve">is mechanistically credible and observationally supported;</w:t>
      </w:r>
      <w:r>
        <w:t xml:space="preserve"> </w:t>
      </w:r>
      <w:r>
        <w:rPr>
          <w:b/>
          <w:bCs/>
        </w:rPr>
        <w:t xml:space="preserve">Mediterranean-style dietary patterns</w:t>
      </w:r>
      <w:r>
        <w:t xml:space="preserve"> </w:t>
      </w:r>
      <w:r>
        <w:t xml:space="preserve">are reasonable and preliminarily supported but not remission-proven;</w:t>
      </w:r>
      <w:r>
        <w:t xml:space="preserve"> </w:t>
      </w:r>
      <w:r>
        <w:rPr>
          <w:b/>
          <w:bCs/>
        </w:rPr>
        <w:t xml:space="preserve">sleep and stress treatment</w:t>
      </w:r>
      <w:r>
        <w:t xml:space="preserve"> </w:t>
      </w:r>
      <w:r>
        <w:t xml:space="preserve">can break important amplification loops but should not be mistaken for targeted IL-17/TNF suppression; and</w:t>
      </w:r>
      <w:r>
        <w:t xml:space="preserve"> </w:t>
      </w:r>
      <w:r>
        <w:rPr>
          <w:b/>
          <w:bCs/>
        </w:rPr>
        <w:t xml:space="preserve">correction of genuine nutrient deficiencies</w:t>
      </w:r>
      <w:r>
        <w:t xml:space="preserve"> </w:t>
      </w:r>
      <w:r>
        <w:t xml:space="preserve">is appropriate for health and bone biology but not established as AS immunotherapy.</w:t>
      </w:r>
      <w:r>
        <w:t xml:space="preserve"> </w:t>
      </w:r>
      <w:hyperlink r:id="rId19">
        <w:r>
          <w:rPr>
            <w:rStyle w:val="Hyperlink"/>
          </w:rPr>
          <w:t xml:space="preserve">[154]</w:t>
        </w:r>
      </w:hyperlink>
    </w:p>
    <w:p>
      <w:pPr>
        <w:pStyle w:val="BodyText"/>
      </w:pPr>
      <w:r>
        <w:t xml:space="preserve">Microbiome manipulation, low-starch diets, fasting/ketosis, omega-3/SPM strategies, vagal stimulation and resolution-directed interventions are</w:t>
      </w:r>
      <w:r>
        <w:t xml:space="preserve"> </w:t>
      </w:r>
      <w:r>
        <w:rPr>
          <w:b/>
          <w:bCs/>
        </w:rPr>
        <w:t xml:space="preserve">scientifically plausible research programmes</w:t>
      </w:r>
      <w:r>
        <w:t xml:space="preserve">, not established remission protocols.</w:t>
      </w:r>
    </w:p>
    <w:p>
      <w:pPr>
        <w:pStyle w:val="BodyText"/>
      </w:pPr>
      <w:r>
        <w:t xml:space="preserve">And the most important finding from the dedicated remission search is that</w:t>
      </w:r>
      <w:r>
        <w:t xml:space="preserve"> </w:t>
      </w:r>
      <w:r>
        <w:rPr>
          <w:b/>
          <w:bCs/>
        </w:rPr>
        <w:t xml:space="preserve">drug-free remission is biologically real in a minority of early axSpA patients, but contemporary evidence cannot yet tell us how to reliably induce it non-pharmacologically</w:t>
      </w:r>
      <w:r>
        <w:t xml:space="preserve">. The DESIR cohort demonstrates the state exists; it does not identify a diet, supplement or behavioural intervention that creates it.</w:t>
      </w:r>
      <w:r>
        <w:t xml:space="preserve"> </w:t>
      </w:r>
      <w:hyperlink r:id="rId22">
        <w:r>
          <w:rPr>
            <w:rStyle w:val="Hyperlink"/>
          </w:rPr>
          <w:t xml:space="preserve">[155]</w:t>
        </w:r>
      </w:hyperlink>
    </w:p>
    <w:p>
      <w:pPr>
        <w:pStyle w:val="BodyText"/>
      </w:pPr>
      <w:r>
        <w:t xml:space="preserve">The most defensible systems-level conclusion is therefore that AS is</w:t>
      </w:r>
      <w:r>
        <w:t xml:space="preserve"> </w:t>
      </w:r>
      <w:r>
        <w:rPr>
          <w:b/>
          <w:bCs/>
        </w:rPr>
        <w:t xml:space="preserve">heterogeneous, multi-hit and threshold-dependent</w:t>
      </w:r>
      <w:r>
        <w:t xml:space="preserve">. Genetics loads the system; mucosal and immune biology shape the inflammatory repertoire; mechanical stress determines where much of that inflammation localizes; IL-17/TNF/myeloid feedback maintains it; resolution and repair eventually terminate individual episodes while sometimes promoting pathological bone formation; and lifestyle can influence several thresholds without yet being shown to reliably override the core disease circuitry.</w:t>
      </w:r>
    </w:p>
    <w:p>
      <w:pPr>
        <w:pStyle w:val="BodyText"/>
      </w:pPr>
      <w:r>
        <w:t xml:space="preserve">That distinction—between</w:t>
      </w:r>
      <w:r>
        <w:t xml:space="preserve"> </w:t>
      </w:r>
      <w:r>
        <w:rPr>
          <w:b/>
          <w:bCs/>
        </w:rPr>
        <w:t xml:space="preserve">modulating the terrain</w:t>
      </w:r>
      <w:r>
        <w:t xml:space="preserve"> </w:t>
      </w:r>
      <w:r>
        <w:t xml:space="preserve">and</w:t>
      </w:r>
      <w:r>
        <w:t xml:space="preserve"> </w:t>
      </w:r>
      <w:r>
        <w:rPr>
          <w:b/>
          <w:bCs/>
        </w:rPr>
        <w:t xml:space="preserve">reliably switching off the disease</w:t>
      </w:r>
      <w:r>
        <w:t xml:space="preserve">—is the central scientific boundary of the evidence as of August 20, 2026.</w:t>
      </w:r>
    </w:p>
    <w:bookmarkEnd w:id="168"/>
    <w:bookmarkEnd w:id="169"/>
    <w:bookmarkEnd w:id="170"/>
    <w:bookmarkEnd w:id="171"/>
    <w:p>
      <w:r>
        <w:pict>
          <v:rect style="width:0;height:1.5pt" o:hralign="center" o:hrstd="t" o:hr="t"/>
        </w:pict>
      </w:r>
    </w:p>
    <w:bookmarkStart w:id="172" w:name="citations"/>
    <w:p>
      <w:pPr>
        <w:pStyle w:val="FirstParagraph"/>
      </w:pPr>
      <w:hyperlink r:id="rId10">
        <w:r>
          <w:rPr>
            <w:rStyle w:val="Hyperlink"/>
          </w:rPr>
          <w:t xml:space="preserve">[1]</w:t>
        </w:r>
      </w:hyperlink>
      <w:r>
        <w:t xml:space="preserve"> </w:t>
      </w:r>
      <w:hyperlink r:id="rId10">
        <w:r>
          <w:rPr>
            <w:rStyle w:val="Hyperlink"/>
          </w:rPr>
          <w:t xml:space="preserve">[15]</w:t>
        </w:r>
      </w:hyperlink>
      <w:r>
        <w:t xml:space="preserve"> </w:t>
      </w:r>
      <w:r>
        <w:t xml:space="preserve">Ankylosing spondylitis | Nature Reviews Rheumatology</w:t>
      </w:r>
    </w:p>
    <w:p>
      <w:pPr>
        <w:pStyle w:val="BodyText"/>
      </w:pPr>
      <w:hyperlink r:id="rId10">
        <w:r>
          <w:rPr>
            <w:rStyle w:val="Hyperlink"/>
          </w:rPr>
          <w:t xml:space="preserve">https://www.nature.com/subjects/ankylosing-spondylitis/nrrheum?utm_source=chatgpt.com</w:t>
        </w:r>
      </w:hyperlink>
    </w:p>
    <w:p>
      <w:pPr>
        <w:pStyle w:val="BodyText"/>
      </w:pPr>
      <w:hyperlink r:id="rId11">
        <w:r>
          <w:rPr>
            <w:rStyle w:val="Hyperlink"/>
          </w:rPr>
          <w:t xml:space="preserve">[2]</w:t>
        </w:r>
      </w:hyperlink>
      <w:r>
        <w:t xml:space="preserve"> </w:t>
      </w:r>
      <w:hyperlink r:id="rId11">
        <w:r>
          <w:rPr>
            <w:rStyle w:val="Hyperlink"/>
          </w:rPr>
          <w:t xml:space="preserve">[26]</w:t>
        </w:r>
      </w:hyperlink>
      <w:r>
        <w:t xml:space="preserve"> </w:t>
      </w:r>
      <w:hyperlink r:id="rId11">
        <w:r>
          <w:rPr>
            <w:rStyle w:val="Hyperlink"/>
          </w:rPr>
          <w:t xml:space="preserve">[29]</w:t>
        </w:r>
      </w:hyperlink>
      <w:r>
        <w:t xml:space="preserve"> </w:t>
      </w:r>
      <w:hyperlink r:id="rId11">
        <w:r>
          <w:rPr>
            <w:rStyle w:val="Hyperlink"/>
          </w:rPr>
          <w:t xml:space="preserve">[30]</w:t>
        </w:r>
      </w:hyperlink>
      <w:r>
        <w:t xml:space="preserve"> </w:t>
      </w:r>
      <w:r>
        <w:t xml:space="preserve">HLA-B27 misfolding and ankylosing spondylitis - PubMed - NIH</w:t>
      </w:r>
    </w:p>
    <w:p>
      <w:pPr>
        <w:pStyle w:val="BodyText"/>
      </w:pPr>
      <w:hyperlink r:id="rId11">
        <w:r>
          <w:rPr>
            <w:rStyle w:val="Hyperlink"/>
          </w:rPr>
          <w:t xml:space="preserve">https://pubmed.ncbi.nlm.nih.gov/23993278/?utm_source=chatgpt.com</w:t>
        </w:r>
      </w:hyperlink>
    </w:p>
    <w:p>
      <w:pPr>
        <w:pStyle w:val="BodyText"/>
      </w:pPr>
      <w:hyperlink r:id="rId12">
        <w:r>
          <w:rPr>
            <w:rStyle w:val="Hyperlink"/>
          </w:rPr>
          <w:t xml:space="preserve">[3]</w:t>
        </w:r>
      </w:hyperlink>
      <w:r>
        <w:t xml:space="preserve"> </w:t>
      </w:r>
      <w:hyperlink r:id="rId12">
        <w:r>
          <w:rPr>
            <w:rStyle w:val="Hyperlink"/>
          </w:rPr>
          <w:t xml:space="preserve">[31]</w:t>
        </w:r>
      </w:hyperlink>
      <w:r>
        <w:t xml:space="preserve"> </w:t>
      </w:r>
      <w:hyperlink r:id="rId12">
        <w:r>
          <w:rPr>
            <w:rStyle w:val="Hyperlink"/>
          </w:rPr>
          <w:t xml:space="preserve">[152]</w:t>
        </w:r>
      </w:hyperlink>
      <w:r>
        <w:t xml:space="preserve"> </w:t>
      </w:r>
      <w:r>
        <w:t xml:space="preserve">The role of IL-17A in axial spondyloarthritis and psoriatic ...</w:t>
      </w:r>
    </w:p>
    <w:p>
      <w:pPr>
        <w:pStyle w:val="BodyText"/>
      </w:pPr>
      <w:hyperlink r:id="rId12">
        <w:r>
          <w:rPr>
            <w:rStyle w:val="Hyperlink"/>
          </w:rPr>
          <w:t xml:space="preserve">https://ard.bmj.com/content/78/9/1167?utm_source=chatgpt.com</w:t>
        </w:r>
      </w:hyperlink>
    </w:p>
    <w:p>
      <w:pPr>
        <w:pStyle w:val="BodyText"/>
      </w:pPr>
      <w:hyperlink r:id="rId13">
        <w:r>
          <w:rPr>
            <w:rStyle w:val="Hyperlink"/>
          </w:rPr>
          <w:t xml:space="preserve">[4]</w:t>
        </w:r>
      </w:hyperlink>
      <w:r>
        <w:t xml:space="preserve"> </w:t>
      </w:r>
      <w:hyperlink r:id="rId13">
        <w:r>
          <w:rPr>
            <w:rStyle w:val="Hyperlink"/>
          </w:rPr>
          <w:t xml:space="preserve">[49]</w:t>
        </w:r>
      </w:hyperlink>
      <w:r>
        <w:t xml:space="preserve"> </w:t>
      </w:r>
      <w:hyperlink r:id="rId13">
        <w:r>
          <w:rPr>
            <w:rStyle w:val="Hyperlink"/>
          </w:rPr>
          <w:t xml:space="preserve">[83]</w:t>
        </w:r>
      </w:hyperlink>
      <w:r>
        <w:t xml:space="preserve"> </w:t>
      </w:r>
      <w:hyperlink r:id="rId13">
        <w:r>
          <w:rPr>
            <w:rStyle w:val="Hyperlink"/>
          </w:rPr>
          <w:t xml:space="preserve">[123]</w:t>
        </w:r>
      </w:hyperlink>
      <w:r>
        <w:t xml:space="preserve"> </w:t>
      </w:r>
      <w:hyperlink r:id="rId13">
        <w:r>
          <w:rPr>
            <w:rStyle w:val="Hyperlink"/>
          </w:rPr>
          <w:t xml:space="preserve">[134]</w:t>
        </w:r>
      </w:hyperlink>
      <w:r>
        <w:t xml:space="preserve"> </w:t>
      </w:r>
      <w:hyperlink r:id="rId13">
        <w:r>
          <w:rPr>
            <w:rStyle w:val="Hyperlink"/>
          </w:rPr>
          <w:t xml:space="preserve">[136]</w:t>
        </w:r>
      </w:hyperlink>
      <w:r>
        <w:t xml:space="preserve"> </w:t>
      </w:r>
      <w:r>
        <w:t xml:space="preserve">Gut microbiota dysbiosis in ankylosing spondylitis</w:t>
      </w:r>
    </w:p>
    <w:p>
      <w:pPr>
        <w:pStyle w:val="BodyText"/>
      </w:pPr>
      <w:hyperlink r:id="rId13">
        <w:r>
          <w:rPr>
            <w:rStyle w:val="Hyperlink"/>
          </w:rPr>
          <w:t xml:space="preserve">https://pubmed.ncbi.nlm.nih.gov/39421642/?utm_source=chatgpt.com</w:t>
        </w:r>
      </w:hyperlink>
    </w:p>
    <w:p>
      <w:pPr>
        <w:pStyle w:val="BodyText"/>
      </w:pPr>
      <w:hyperlink r:id="rId14">
        <w:r>
          <w:rPr>
            <w:rStyle w:val="Hyperlink"/>
          </w:rPr>
          <w:t xml:space="preserve">[5]</w:t>
        </w:r>
      </w:hyperlink>
      <w:r>
        <w:t xml:space="preserve"> </w:t>
      </w:r>
      <w:hyperlink r:id="rId14">
        <w:r>
          <w:rPr>
            <w:rStyle w:val="Hyperlink"/>
          </w:rPr>
          <w:t xml:space="preserve">[52]</w:t>
        </w:r>
      </w:hyperlink>
      <w:r>
        <w:t xml:space="preserve"> </w:t>
      </w:r>
      <w:hyperlink r:id="rId14">
        <w:r>
          <w:rPr>
            <w:rStyle w:val="Hyperlink"/>
          </w:rPr>
          <w:t xml:space="preserve">[84]</w:t>
        </w:r>
      </w:hyperlink>
      <w:r>
        <w:t xml:space="preserve"> </w:t>
      </w:r>
      <w:r>
        <w:t xml:space="preserve">https://pubmed.ncbi.nlm.nih.gov/35019225/</w:t>
      </w:r>
    </w:p>
    <w:p>
      <w:pPr>
        <w:pStyle w:val="BodyText"/>
      </w:pPr>
      <w:hyperlink r:id="rId14">
        <w:r>
          <w:rPr>
            <w:rStyle w:val="Hyperlink"/>
          </w:rPr>
          <w:t xml:space="preserve">https://pubmed.ncbi.nlm.nih.gov/35019225/</w:t>
        </w:r>
      </w:hyperlink>
    </w:p>
    <w:p>
      <w:pPr>
        <w:pStyle w:val="BodyText"/>
      </w:pPr>
      <w:hyperlink r:id="rId15">
        <w:r>
          <w:rPr>
            <w:rStyle w:val="Hyperlink"/>
          </w:rPr>
          <w:t xml:space="preserve">[6]</w:t>
        </w:r>
      </w:hyperlink>
      <w:r>
        <w:t xml:space="preserve"> </w:t>
      </w:r>
      <w:hyperlink r:id="rId15">
        <w:r>
          <w:rPr>
            <w:rStyle w:val="Hyperlink"/>
          </w:rPr>
          <w:t xml:space="preserve">[72]</w:t>
        </w:r>
      </w:hyperlink>
      <w:r>
        <w:t xml:space="preserve"> </w:t>
      </w:r>
      <w:r>
        <w:t xml:space="preserve">https://pmc.ncbi.nlm.nih.gov/articles/PMC8678434/</w:t>
      </w:r>
    </w:p>
    <w:p>
      <w:pPr>
        <w:pStyle w:val="BodyText"/>
      </w:pPr>
      <w:hyperlink r:id="rId15">
        <w:r>
          <w:rPr>
            <w:rStyle w:val="Hyperlink"/>
          </w:rPr>
          <w:t xml:space="preserve">https://pmc.ncbi.nlm.nih.gov/articles/PMC8678434/</w:t>
        </w:r>
      </w:hyperlink>
    </w:p>
    <w:p>
      <w:pPr>
        <w:pStyle w:val="BodyText"/>
      </w:pPr>
      <w:hyperlink r:id="rId16">
        <w:r>
          <w:rPr>
            <w:rStyle w:val="Hyperlink"/>
          </w:rPr>
          <w:t xml:space="preserve">[7]</w:t>
        </w:r>
      </w:hyperlink>
      <w:r>
        <w:t xml:space="preserve"> </w:t>
      </w:r>
      <w:r>
        <w:t xml:space="preserve">https://pubmed.ncbi.nlm.nih.gov/18539622/</w:t>
      </w:r>
    </w:p>
    <w:p>
      <w:pPr>
        <w:pStyle w:val="BodyText"/>
      </w:pPr>
      <w:hyperlink r:id="rId16">
        <w:r>
          <w:rPr>
            <w:rStyle w:val="Hyperlink"/>
          </w:rPr>
          <w:t xml:space="preserve">https://pubmed.ncbi.nlm.nih.gov/18539622/</w:t>
        </w:r>
      </w:hyperlink>
    </w:p>
    <w:p>
      <w:pPr>
        <w:pStyle w:val="BodyText"/>
      </w:pPr>
      <w:hyperlink r:id="rId17">
        <w:r>
          <w:rPr>
            <w:rStyle w:val="Hyperlink"/>
          </w:rPr>
          <w:t xml:space="preserve">[8]</w:t>
        </w:r>
      </w:hyperlink>
      <w:r>
        <w:t xml:space="preserve"> </w:t>
      </w:r>
      <w:hyperlink r:id="rId17">
        <w:r>
          <w:rPr>
            <w:rStyle w:val="Hyperlink"/>
          </w:rPr>
          <w:t xml:space="preserve">[32]</w:t>
        </w:r>
      </w:hyperlink>
      <w:r>
        <w:t xml:space="preserve"> </w:t>
      </w:r>
      <w:hyperlink r:id="rId17">
        <w:r>
          <w:rPr>
            <w:rStyle w:val="Hyperlink"/>
          </w:rPr>
          <w:t xml:space="preserve">[138]</w:t>
        </w:r>
      </w:hyperlink>
      <w:r>
        <w:t xml:space="preserve"> </w:t>
      </w:r>
      <w:hyperlink r:id="rId17">
        <w:r>
          <w:rPr>
            <w:rStyle w:val="Hyperlink"/>
          </w:rPr>
          <w:t xml:space="preserve">[153]</w:t>
        </w:r>
      </w:hyperlink>
      <w:r>
        <w:t xml:space="preserve"> </w:t>
      </w:r>
      <w:r>
        <w:t xml:space="preserve">Regulatory T cells in axial spondyloarthritis</w:t>
      </w:r>
    </w:p>
    <w:p>
      <w:pPr>
        <w:pStyle w:val="BodyText"/>
      </w:pPr>
      <w:hyperlink r:id="rId17">
        <w:r>
          <w:rPr>
            <w:rStyle w:val="Hyperlink"/>
          </w:rPr>
          <w:t xml:space="preserve">https://www.nature.com/articles/s42003-026-09829-y?utm_source=chatgpt.com</w:t>
        </w:r>
      </w:hyperlink>
    </w:p>
    <w:p>
      <w:pPr>
        <w:pStyle w:val="BodyText"/>
      </w:pPr>
      <w:hyperlink r:id="rId18">
        <w:r>
          <w:rPr>
            <w:rStyle w:val="Hyperlink"/>
          </w:rPr>
          <w:t xml:space="preserve">[9]</w:t>
        </w:r>
      </w:hyperlink>
      <w:r>
        <w:t xml:space="preserve"> </w:t>
      </w:r>
      <w:hyperlink r:id="rId18">
        <w:r>
          <w:rPr>
            <w:rStyle w:val="Hyperlink"/>
          </w:rPr>
          <w:t xml:space="preserve">[23]</w:t>
        </w:r>
      </w:hyperlink>
      <w:r>
        <w:t xml:space="preserve"> </w:t>
      </w:r>
      <w:hyperlink r:id="rId18">
        <w:r>
          <w:rPr>
            <w:rStyle w:val="Hyperlink"/>
          </w:rPr>
          <w:t xml:space="preserve">[46]</w:t>
        </w:r>
      </w:hyperlink>
      <w:r>
        <w:t xml:space="preserve"> </w:t>
      </w:r>
      <w:hyperlink r:id="rId18">
        <w:r>
          <w:rPr>
            <w:rStyle w:val="Hyperlink"/>
          </w:rPr>
          <w:t xml:space="preserve">[122]</w:t>
        </w:r>
      </w:hyperlink>
      <w:r>
        <w:t xml:space="preserve"> </w:t>
      </w:r>
      <w:r>
        <w:t xml:space="preserve">New bone formation in axial spondyloarthritis</w:t>
      </w:r>
    </w:p>
    <w:p>
      <w:pPr>
        <w:pStyle w:val="BodyText"/>
      </w:pPr>
      <w:hyperlink r:id="rId18">
        <w:r>
          <w:rPr>
            <w:rStyle w:val="Hyperlink"/>
          </w:rPr>
          <w:t xml:space="preserve">https://pubmed.ncbi.nlm.nih.gov/23566662/?utm_source=chatgpt.com</w:t>
        </w:r>
      </w:hyperlink>
    </w:p>
    <w:p>
      <w:pPr>
        <w:pStyle w:val="BodyText"/>
      </w:pPr>
      <w:hyperlink r:id="rId19">
        <w:r>
          <w:rPr>
            <w:rStyle w:val="Hyperlink"/>
          </w:rPr>
          <w:t xml:space="preserve">[10]</w:t>
        </w:r>
      </w:hyperlink>
      <w:r>
        <w:t xml:space="preserve"> </w:t>
      </w:r>
      <w:hyperlink r:id="rId19">
        <w:r>
          <w:rPr>
            <w:rStyle w:val="Hyperlink"/>
          </w:rPr>
          <w:t xml:space="preserve">[93]</w:t>
        </w:r>
      </w:hyperlink>
      <w:r>
        <w:t xml:space="preserve"> </w:t>
      </w:r>
      <w:hyperlink r:id="rId19">
        <w:r>
          <w:rPr>
            <w:rStyle w:val="Hyperlink"/>
          </w:rPr>
          <w:t xml:space="preserve">[114]</w:t>
        </w:r>
      </w:hyperlink>
      <w:r>
        <w:t xml:space="preserve"> </w:t>
      </w:r>
      <w:hyperlink r:id="rId19">
        <w:r>
          <w:rPr>
            <w:rStyle w:val="Hyperlink"/>
          </w:rPr>
          <w:t xml:space="preserve">[127]</w:t>
        </w:r>
      </w:hyperlink>
      <w:r>
        <w:t xml:space="preserve"> </w:t>
      </w:r>
      <w:hyperlink r:id="rId19">
        <w:r>
          <w:rPr>
            <w:rStyle w:val="Hyperlink"/>
          </w:rPr>
          <w:t xml:space="preserve">[145]</w:t>
        </w:r>
      </w:hyperlink>
      <w:r>
        <w:t xml:space="preserve"> </w:t>
      </w:r>
      <w:hyperlink r:id="rId19">
        <w:r>
          <w:rPr>
            <w:rStyle w:val="Hyperlink"/>
          </w:rPr>
          <w:t xml:space="preserve">[154]</w:t>
        </w:r>
      </w:hyperlink>
      <w:r>
        <w:t xml:space="preserve"> </w:t>
      </w:r>
      <w:r>
        <w:t xml:space="preserve">https://pubmed.ncbi.nlm.nih.gov/30745314/</w:t>
      </w:r>
    </w:p>
    <w:p>
      <w:pPr>
        <w:pStyle w:val="BodyText"/>
      </w:pPr>
      <w:hyperlink r:id="rId19">
        <w:r>
          <w:rPr>
            <w:rStyle w:val="Hyperlink"/>
          </w:rPr>
          <w:t xml:space="preserve">https://pubmed.ncbi.nlm.nih.gov/30745314/</w:t>
        </w:r>
      </w:hyperlink>
    </w:p>
    <w:p>
      <w:pPr>
        <w:pStyle w:val="BodyText"/>
      </w:pPr>
      <w:hyperlink r:id="rId20">
        <w:r>
          <w:rPr>
            <w:rStyle w:val="Hyperlink"/>
          </w:rPr>
          <w:t xml:space="preserve">[11]</w:t>
        </w:r>
      </w:hyperlink>
      <w:r>
        <w:t xml:space="preserve"> </w:t>
      </w:r>
      <w:hyperlink r:id="rId20">
        <w:r>
          <w:rPr>
            <w:rStyle w:val="Hyperlink"/>
          </w:rPr>
          <w:t xml:space="preserve">[101]</w:t>
        </w:r>
      </w:hyperlink>
      <w:r>
        <w:t xml:space="preserve"> </w:t>
      </w:r>
      <w:hyperlink r:id="rId20">
        <w:r>
          <w:rPr>
            <w:rStyle w:val="Hyperlink"/>
          </w:rPr>
          <w:t xml:space="preserve">[112]</w:t>
        </w:r>
      </w:hyperlink>
      <w:r>
        <w:t xml:space="preserve"> </w:t>
      </w:r>
      <w:r>
        <w:t xml:space="preserve">https://pubmed.ncbi.nlm.nih.gov/20716665/</w:t>
      </w:r>
    </w:p>
    <w:p>
      <w:pPr>
        <w:pStyle w:val="BodyText"/>
      </w:pPr>
      <w:hyperlink r:id="rId20">
        <w:r>
          <w:rPr>
            <w:rStyle w:val="Hyperlink"/>
          </w:rPr>
          <w:t xml:space="preserve">https://pubmed.ncbi.nlm.nih.gov/20716665/</w:t>
        </w:r>
      </w:hyperlink>
    </w:p>
    <w:p>
      <w:pPr>
        <w:pStyle w:val="BodyText"/>
      </w:pPr>
      <w:hyperlink r:id="rId21">
        <w:r>
          <w:rPr>
            <w:rStyle w:val="Hyperlink"/>
          </w:rPr>
          <w:t xml:space="preserve">[12]</w:t>
        </w:r>
      </w:hyperlink>
      <w:r>
        <w:t xml:space="preserve"> </w:t>
      </w:r>
      <w:hyperlink r:id="rId21">
        <w:r>
          <w:rPr>
            <w:rStyle w:val="Hyperlink"/>
          </w:rPr>
          <w:t xml:space="preserve">[103]</w:t>
        </w:r>
      </w:hyperlink>
      <w:r>
        <w:t xml:space="preserve"> </w:t>
      </w:r>
      <w:r>
        <w:t xml:space="preserve">https://www.researchgate.net/publication/6734535_Supplementation_of_omega-3_fatty_acids_in_patients_with_ankylosing_spondylitis</w:t>
      </w:r>
    </w:p>
    <w:p>
      <w:pPr>
        <w:pStyle w:val="BodyText"/>
      </w:pPr>
      <w:hyperlink r:id="rId21">
        <w:r>
          <w:rPr>
            <w:rStyle w:val="Hyperlink"/>
          </w:rPr>
          <w:t xml:space="preserve">https://www.researchgate.net/publication/6734535_Supplementation_of_omega-3_fatty_acids_in_patients_with_ankylosing_spondylitis</w:t>
        </w:r>
      </w:hyperlink>
    </w:p>
    <w:p>
      <w:pPr>
        <w:pStyle w:val="BodyText"/>
      </w:pPr>
      <w:hyperlink r:id="rId22">
        <w:r>
          <w:rPr>
            <w:rStyle w:val="Hyperlink"/>
          </w:rPr>
          <w:t xml:space="preserve">[13]</w:t>
        </w:r>
      </w:hyperlink>
      <w:r>
        <w:t xml:space="preserve"> </w:t>
      </w:r>
      <w:hyperlink r:id="rId22">
        <w:r>
          <w:rPr>
            <w:rStyle w:val="Hyperlink"/>
          </w:rPr>
          <w:t xml:space="preserve">[65]</w:t>
        </w:r>
      </w:hyperlink>
      <w:r>
        <w:t xml:space="preserve"> </w:t>
      </w:r>
      <w:hyperlink r:id="rId22">
        <w:r>
          <w:rPr>
            <w:rStyle w:val="Hyperlink"/>
          </w:rPr>
          <w:t xml:space="preserve">[139]</w:t>
        </w:r>
      </w:hyperlink>
      <w:r>
        <w:t xml:space="preserve"> </w:t>
      </w:r>
      <w:hyperlink r:id="rId22">
        <w:r>
          <w:rPr>
            <w:rStyle w:val="Hyperlink"/>
          </w:rPr>
          <w:t xml:space="preserve">[143]</w:t>
        </w:r>
      </w:hyperlink>
      <w:r>
        <w:t xml:space="preserve"> </w:t>
      </w:r>
      <w:hyperlink r:id="rId22">
        <w:r>
          <w:rPr>
            <w:rStyle w:val="Hyperlink"/>
          </w:rPr>
          <w:t xml:space="preserve">[155]</w:t>
        </w:r>
      </w:hyperlink>
      <w:r>
        <w:t xml:space="preserve"> </w:t>
      </w:r>
      <w:r>
        <w:t xml:space="preserve">https://academic.oup.com/rheumatology/article/61/4/1487/6322973</w:t>
      </w:r>
    </w:p>
    <w:p>
      <w:pPr>
        <w:pStyle w:val="BodyText"/>
      </w:pPr>
      <w:hyperlink r:id="rId22">
        <w:r>
          <w:rPr>
            <w:rStyle w:val="Hyperlink"/>
          </w:rPr>
          <w:t xml:space="preserve">https://academic.oup.com/rheumatology/article/61/4/1487/6322973</w:t>
        </w:r>
      </w:hyperlink>
    </w:p>
    <w:p>
      <w:pPr>
        <w:pStyle w:val="BodyText"/>
      </w:pPr>
      <w:hyperlink r:id="rId23">
        <w:r>
          <w:rPr>
            <w:rStyle w:val="Hyperlink"/>
          </w:rPr>
          <w:t xml:space="preserve">[14]</w:t>
        </w:r>
      </w:hyperlink>
      <w:r>
        <w:t xml:space="preserve"> </w:t>
      </w:r>
      <w:r>
        <w:t xml:space="preserve">https://pubmed.ncbi.nlm.nih.gov/34715506/</w:t>
      </w:r>
    </w:p>
    <w:p>
      <w:pPr>
        <w:pStyle w:val="BodyText"/>
      </w:pPr>
      <w:hyperlink r:id="rId23">
        <w:r>
          <w:rPr>
            <w:rStyle w:val="Hyperlink"/>
          </w:rPr>
          <w:t xml:space="preserve">https://pubmed.ncbi.nlm.nih.gov/34715506/</w:t>
        </w:r>
      </w:hyperlink>
    </w:p>
    <w:p>
      <w:pPr>
        <w:pStyle w:val="BodyText"/>
      </w:pPr>
      <w:hyperlink r:id="rId25">
        <w:r>
          <w:rPr>
            <w:rStyle w:val="Hyperlink"/>
          </w:rPr>
          <w:t xml:space="preserve">[16]</w:t>
        </w:r>
      </w:hyperlink>
      <w:r>
        <w:t xml:space="preserve"> </w:t>
      </w:r>
      <w:hyperlink r:id="rId25">
        <w:r>
          <w:rPr>
            <w:rStyle w:val="Hyperlink"/>
          </w:rPr>
          <w:t xml:space="preserve">[19]</w:t>
        </w:r>
      </w:hyperlink>
      <w:r>
        <w:t xml:space="preserve"> </w:t>
      </w:r>
      <w:r>
        <w:t xml:space="preserve">EULAR study group on 'MHC- I- opathy': identifying disease</w:t>
      </w:r>
    </w:p>
    <w:p>
      <w:pPr>
        <w:pStyle w:val="BodyText"/>
      </w:pPr>
      <w:hyperlink r:id="rId25">
        <w:r>
          <w:rPr>
            <w:rStyle w:val="Hyperlink"/>
          </w:rPr>
          <w:t xml:space="preserve">https://ard.bmj.com/content/annrheumdis/early/2023/03/26/ard-2022-222852.full.pdf?utm_source=chatgpt.com</w:t>
        </w:r>
      </w:hyperlink>
    </w:p>
    <w:p>
      <w:pPr>
        <w:pStyle w:val="BodyText"/>
      </w:pPr>
      <w:hyperlink r:id="rId26">
        <w:r>
          <w:rPr>
            <w:rStyle w:val="Hyperlink"/>
          </w:rPr>
          <w:t xml:space="preserve">[17]</w:t>
        </w:r>
      </w:hyperlink>
      <w:r>
        <w:t xml:space="preserve"> </w:t>
      </w:r>
      <w:hyperlink r:id="rId26">
        <w:r>
          <w:rPr>
            <w:rStyle w:val="Hyperlink"/>
          </w:rPr>
          <w:t xml:space="preserve">[119]</w:t>
        </w:r>
      </w:hyperlink>
      <w:r>
        <w:t xml:space="preserve"> </w:t>
      </w:r>
      <w:hyperlink r:id="rId26">
        <w:r>
          <w:rPr>
            <w:rStyle w:val="Hyperlink"/>
          </w:rPr>
          <w:t xml:space="preserve">[142]</w:t>
        </w:r>
      </w:hyperlink>
      <w:r>
        <w:t xml:space="preserve"> </w:t>
      </w:r>
      <w:hyperlink r:id="rId26">
        <w:r>
          <w:rPr>
            <w:rStyle w:val="Hyperlink"/>
          </w:rPr>
          <w:t xml:space="preserve">[147]</w:t>
        </w:r>
      </w:hyperlink>
      <w:r>
        <w:t xml:space="preserve"> </w:t>
      </w:r>
      <w:r>
        <w:t xml:space="preserve">IL-23 Inhibition in Ankylosing Spondylitis: Where Did It Go ...</w:t>
      </w:r>
    </w:p>
    <w:p>
      <w:pPr>
        <w:pStyle w:val="BodyText"/>
      </w:pPr>
      <w:hyperlink r:id="rId26">
        <w:r>
          <w:rPr>
            <w:rStyle w:val="Hyperlink"/>
          </w:rPr>
          <w:t xml:space="preserve">https://europepmc.org/article/pmc/pmc7935519?utm_source=chatgpt.com</w:t>
        </w:r>
      </w:hyperlink>
    </w:p>
    <w:p>
      <w:pPr>
        <w:pStyle w:val="BodyText"/>
      </w:pPr>
      <w:hyperlink r:id="rId27">
        <w:r>
          <w:rPr>
            <w:rStyle w:val="Hyperlink"/>
          </w:rPr>
          <w:t xml:space="preserve">[18]</w:t>
        </w:r>
      </w:hyperlink>
      <w:r>
        <w:t xml:space="preserve"> </w:t>
      </w:r>
      <w:hyperlink r:id="rId27">
        <w:r>
          <w:rPr>
            <w:rStyle w:val="Hyperlink"/>
          </w:rPr>
          <w:t xml:space="preserve">[48]</w:t>
        </w:r>
      </w:hyperlink>
      <w:r>
        <w:t xml:space="preserve"> </w:t>
      </w:r>
      <w:r>
        <w:t xml:space="preserve">GIScaSpA—study of subclinical gut involvement in axial ...</w:t>
      </w:r>
    </w:p>
    <w:p>
      <w:pPr>
        <w:pStyle w:val="BodyText"/>
      </w:pPr>
      <w:hyperlink r:id="rId27">
        <w:r>
          <w:rPr>
            <w:rStyle w:val="Hyperlink"/>
          </w:rPr>
          <w:t xml:space="preserve">https://pmc.ncbi.nlm.nih.gov/articles/PMC10898325/?utm_source=chatgpt.com</w:t>
        </w:r>
      </w:hyperlink>
    </w:p>
    <w:p>
      <w:pPr>
        <w:pStyle w:val="BodyText"/>
      </w:pPr>
      <w:hyperlink r:id="rId28">
        <w:r>
          <w:rPr>
            <w:rStyle w:val="Hyperlink"/>
          </w:rPr>
          <w:t xml:space="preserve">[20]</w:t>
        </w:r>
      </w:hyperlink>
      <w:r>
        <w:t xml:space="preserve"> </w:t>
      </w:r>
      <w:hyperlink r:id="rId28">
        <w:r>
          <w:rPr>
            <w:rStyle w:val="Hyperlink"/>
          </w:rPr>
          <w:t xml:space="preserve">[22]</w:t>
        </w:r>
      </w:hyperlink>
      <w:r>
        <w:t xml:space="preserve"> </w:t>
      </w:r>
      <w:hyperlink r:id="rId28">
        <w:r>
          <w:rPr>
            <w:rStyle w:val="Hyperlink"/>
          </w:rPr>
          <w:t xml:space="preserve">[45]</w:t>
        </w:r>
      </w:hyperlink>
      <w:r>
        <w:t xml:space="preserve"> </w:t>
      </w:r>
      <w:hyperlink r:id="rId28">
        <w:r>
          <w:rPr>
            <w:rStyle w:val="Hyperlink"/>
          </w:rPr>
          <w:t xml:space="preserve">[62]</w:t>
        </w:r>
      </w:hyperlink>
      <w:r>
        <w:t xml:space="preserve"> </w:t>
      </w:r>
      <w:hyperlink r:id="rId28">
        <w:r>
          <w:rPr>
            <w:rStyle w:val="Hyperlink"/>
          </w:rPr>
          <w:t xml:space="preserve">[92]</w:t>
        </w:r>
      </w:hyperlink>
      <w:r>
        <w:t xml:space="preserve"> </w:t>
      </w:r>
      <w:hyperlink r:id="rId28">
        <w:r>
          <w:rPr>
            <w:rStyle w:val="Hyperlink"/>
          </w:rPr>
          <w:t xml:space="preserve">[151]</w:t>
        </w:r>
      </w:hyperlink>
      <w:r>
        <w:t xml:space="preserve"> </w:t>
      </w:r>
      <w:r>
        <w:t xml:space="preserve">Cytokine “fine tuning” of enthesis tissue homeostasis as ... - PMC</w:t>
      </w:r>
    </w:p>
    <w:p>
      <w:pPr>
        <w:pStyle w:val="BodyText"/>
      </w:pPr>
      <w:hyperlink r:id="rId28">
        <w:r>
          <w:rPr>
            <w:rStyle w:val="Hyperlink"/>
          </w:rPr>
          <w:t xml:space="preserve">https://pmc.ncbi.nlm.nih.gov/articles/PMC7990848/?utm_source=chatgpt.com</w:t>
        </w:r>
      </w:hyperlink>
    </w:p>
    <w:p>
      <w:pPr>
        <w:pStyle w:val="BodyText"/>
      </w:pPr>
      <w:hyperlink r:id="rId29">
        <w:r>
          <w:rPr>
            <w:rStyle w:val="Hyperlink"/>
          </w:rPr>
          <w:t xml:space="preserve">[21]</w:t>
        </w:r>
      </w:hyperlink>
      <w:r>
        <w:t xml:space="preserve"> </w:t>
      </w:r>
      <w:hyperlink r:id="rId29">
        <w:r>
          <w:rPr>
            <w:rStyle w:val="Hyperlink"/>
          </w:rPr>
          <w:t xml:space="preserve">[33]</w:t>
        </w:r>
      </w:hyperlink>
      <w:r>
        <w:t xml:space="preserve"> </w:t>
      </w:r>
      <w:hyperlink r:id="rId29">
        <w:r>
          <w:rPr>
            <w:rStyle w:val="Hyperlink"/>
          </w:rPr>
          <w:t xml:space="preserve">[137]</w:t>
        </w:r>
      </w:hyperlink>
      <w:r>
        <w:t xml:space="preserve"> </w:t>
      </w:r>
      <w:r>
        <w:t xml:space="preserve">Evidence that tissue resident human enthesis γδT-cells can ...</w:t>
      </w:r>
    </w:p>
    <w:p>
      <w:pPr>
        <w:pStyle w:val="BodyText"/>
      </w:pPr>
      <w:hyperlink r:id="rId29">
        <w:r>
          <w:rPr>
            <w:rStyle w:val="Hyperlink"/>
          </w:rPr>
          <w:t xml:space="preserve">https://ard.eular.org/article/S0003-4967%2824%2902128-9/fulltext?utm_source=chatgpt.com</w:t>
        </w:r>
      </w:hyperlink>
    </w:p>
    <w:p>
      <w:pPr>
        <w:pStyle w:val="BodyText"/>
      </w:pPr>
      <w:hyperlink r:id="rId32">
        <w:r>
          <w:rPr>
            <w:rStyle w:val="Hyperlink"/>
          </w:rPr>
          <w:t xml:space="preserve">[24]</w:t>
        </w:r>
      </w:hyperlink>
      <w:r>
        <w:t xml:space="preserve"> </w:t>
      </w:r>
      <w:r>
        <w:t xml:space="preserve">Human Leukocyte Antigen B27-Negative Axial ...</w:t>
      </w:r>
    </w:p>
    <w:p>
      <w:pPr>
        <w:pStyle w:val="BodyText"/>
      </w:pPr>
      <w:hyperlink r:id="rId32">
        <w:r>
          <w:rPr>
            <w:rStyle w:val="Hyperlink"/>
          </w:rPr>
          <w:t xml:space="preserve">https://pubmed.ncbi.nlm.nih.gov/37222563/?utm_source=chatgpt.com</w:t>
        </w:r>
      </w:hyperlink>
    </w:p>
    <w:p>
      <w:pPr>
        <w:pStyle w:val="BodyText"/>
      </w:pPr>
      <w:hyperlink r:id="rId33">
        <w:r>
          <w:rPr>
            <w:rStyle w:val="Hyperlink"/>
          </w:rPr>
          <w:t xml:space="preserve">[25]</w:t>
        </w:r>
      </w:hyperlink>
      <w:r>
        <w:t xml:space="preserve"> </w:t>
      </w:r>
      <w:r>
        <w:t xml:space="preserve">Functional interaction of the ankylosing spondylitis ...</w:t>
      </w:r>
    </w:p>
    <w:p>
      <w:pPr>
        <w:pStyle w:val="BodyText"/>
      </w:pPr>
      <w:hyperlink r:id="rId33">
        <w:r>
          <w:rPr>
            <w:rStyle w:val="Hyperlink"/>
          </w:rPr>
          <w:t xml:space="preserve">https://europepmc.org/article/pmc/3494199?utm_source=chatgpt.com</w:t>
        </w:r>
      </w:hyperlink>
    </w:p>
    <w:p>
      <w:pPr>
        <w:pStyle w:val="BodyText"/>
      </w:pPr>
      <w:hyperlink r:id="rId34">
        <w:r>
          <w:rPr>
            <w:rStyle w:val="Hyperlink"/>
          </w:rPr>
          <w:t xml:space="preserve">[27]</w:t>
        </w:r>
      </w:hyperlink>
      <w:r>
        <w:t xml:space="preserve"> </w:t>
      </w:r>
      <w:hyperlink r:id="rId34">
        <w:r>
          <w:rPr>
            <w:rStyle w:val="Hyperlink"/>
          </w:rPr>
          <w:t xml:space="preserve">[40]</w:t>
        </w:r>
      </w:hyperlink>
      <w:r>
        <w:t xml:space="preserve"> </w:t>
      </w:r>
      <w:hyperlink r:id="rId34">
        <w:r>
          <w:rPr>
            <w:rStyle w:val="Hyperlink"/>
          </w:rPr>
          <w:t xml:space="preserve">[135]</w:t>
        </w:r>
      </w:hyperlink>
      <w:r>
        <w:t xml:space="preserve"> </w:t>
      </w:r>
      <w:r>
        <w:t xml:space="preserve">Th17 cells expressing KIR3DL2+ and responsive to HLA ...</w:t>
      </w:r>
    </w:p>
    <w:p>
      <w:pPr>
        <w:pStyle w:val="BodyText"/>
      </w:pPr>
      <w:hyperlink r:id="rId34">
        <w:r>
          <w:rPr>
            <w:rStyle w:val="Hyperlink"/>
          </w:rPr>
          <w:t xml:space="preserve">https://pubmed.ncbi.nlm.nih.gov/21248258/?utm_source=chatgpt.com</w:t>
        </w:r>
      </w:hyperlink>
    </w:p>
    <w:p>
      <w:pPr>
        <w:pStyle w:val="BodyText"/>
      </w:pPr>
      <w:hyperlink r:id="rId35">
        <w:r>
          <w:rPr>
            <w:rStyle w:val="Hyperlink"/>
          </w:rPr>
          <w:t xml:space="preserve">[28]</w:t>
        </w:r>
      </w:hyperlink>
      <w:r>
        <w:t xml:space="preserve"> </w:t>
      </w:r>
      <w:hyperlink r:id="rId35">
        <w:r>
          <w:rPr>
            <w:rStyle w:val="Hyperlink"/>
          </w:rPr>
          <w:t xml:space="preserve">[82]</w:t>
        </w:r>
      </w:hyperlink>
      <w:r>
        <w:t xml:space="preserve"> </w:t>
      </w:r>
      <w:r>
        <w:t xml:space="preserve">Both Disease Activity and HLA-B27 Status Are Associated ...</w:t>
      </w:r>
    </w:p>
    <w:p>
      <w:pPr>
        <w:pStyle w:val="BodyText"/>
      </w:pPr>
      <w:hyperlink r:id="rId35">
        <w:r>
          <w:rPr>
            <w:rStyle w:val="Hyperlink"/>
          </w:rPr>
          <w:t xml:space="preserve">https://pubmed.ncbi.nlm.nih.gov/35818337/?utm_source=chatgpt.com</w:t>
        </w:r>
      </w:hyperlink>
    </w:p>
    <w:p>
      <w:pPr>
        <w:pStyle w:val="BodyText"/>
      </w:pPr>
      <w:hyperlink r:id="rId36">
        <w:r>
          <w:rPr>
            <w:rStyle w:val="Hyperlink"/>
          </w:rPr>
          <w:t xml:space="preserve">[34]</w:t>
        </w:r>
      </w:hyperlink>
      <w:r>
        <w:t xml:space="preserve"> </w:t>
      </w:r>
      <w:r>
        <w:t xml:space="preserve">https://pubmed.ncbi.nlm.nih.gov/27165176/</w:t>
      </w:r>
    </w:p>
    <w:p>
      <w:pPr>
        <w:pStyle w:val="BodyText"/>
      </w:pPr>
      <w:hyperlink r:id="rId36">
        <w:r>
          <w:rPr>
            <w:rStyle w:val="Hyperlink"/>
          </w:rPr>
          <w:t xml:space="preserve">https://pubmed.ncbi.nlm.nih.gov/27165176/</w:t>
        </w:r>
      </w:hyperlink>
    </w:p>
    <w:p>
      <w:pPr>
        <w:pStyle w:val="BodyText"/>
      </w:pPr>
      <w:hyperlink r:id="rId37">
        <w:r>
          <w:rPr>
            <w:rStyle w:val="Hyperlink"/>
          </w:rPr>
          <w:t xml:space="preserve">[35]</w:t>
        </w:r>
      </w:hyperlink>
      <w:r>
        <w:t xml:space="preserve"> </w:t>
      </w:r>
      <w:r>
        <w:t xml:space="preserve">https://pubmed.ncbi.nlm.nih.gov/25902790/</w:t>
      </w:r>
    </w:p>
    <w:p>
      <w:pPr>
        <w:pStyle w:val="BodyText"/>
      </w:pPr>
      <w:hyperlink r:id="rId37">
        <w:r>
          <w:rPr>
            <w:rStyle w:val="Hyperlink"/>
          </w:rPr>
          <w:t xml:space="preserve">https://pubmed.ncbi.nlm.nih.gov/25902790/</w:t>
        </w:r>
      </w:hyperlink>
    </w:p>
    <w:p>
      <w:pPr>
        <w:pStyle w:val="BodyText"/>
      </w:pPr>
      <w:hyperlink r:id="rId38">
        <w:r>
          <w:rPr>
            <w:rStyle w:val="Hyperlink"/>
          </w:rPr>
          <w:t xml:space="preserve">[36]</w:t>
        </w:r>
      </w:hyperlink>
      <w:r>
        <w:t xml:space="preserve"> </w:t>
      </w:r>
      <w:r>
        <w:t xml:space="preserve">Card9/neutrophil signalling axis promotes IL-17A-mediated ...</w:t>
      </w:r>
    </w:p>
    <w:p>
      <w:pPr>
        <w:pStyle w:val="BodyText"/>
      </w:pPr>
      <w:hyperlink r:id="rId38">
        <w:r>
          <w:rPr>
            <w:rStyle w:val="Hyperlink"/>
          </w:rPr>
          <w:t xml:space="preserve">https://ard.bmj.com/content/83/2/214?utm_source=chatgpt.com</w:t>
        </w:r>
      </w:hyperlink>
    </w:p>
    <w:p>
      <w:pPr>
        <w:pStyle w:val="BodyText"/>
      </w:pPr>
      <w:hyperlink r:id="rId39">
        <w:r>
          <w:rPr>
            <w:rStyle w:val="Hyperlink"/>
          </w:rPr>
          <w:t xml:space="preserve">[37]</w:t>
        </w:r>
      </w:hyperlink>
      <w:r>
        <w:t xml:space="preserve"> </w:t>
      </w:r>
      <w:hyperlink r:id="rId39">
        <w:r>
          <w:rPr>
            <w:rStyle w:val="Hyperlink"/>
          </w:rPr>
          <w:t xml:space="preserve">[38]</w:t>
        </w:r>
      </w:hyperlink>
      <w:r>
        <w:t xml:space="preserve"> </w:t>
      </w:r>
      <w:hyperlink r:id="rId39">
        <w:r>
          <w:rPr>
            <w:rStyle w:val="Hyperlink"/>
          </w:rPr>
          <w:t xml:space="preserve">[70]</w:t>
        </w:r>
      </w:hyperlink>
      <w:r>
        <w:t xml:space="preserve"> </w:t>
      </w:r>
      <w:hyperlink r:id="rId39">
        <w:r>
          <w:rPr>
            <w:rStyle w:val="Hyperlink"/>
          </w:rPr>
          <w:t xml:space="preserve">[74]</w:t>
        </w:r>
      </w:hyperlink>
      <w:r>
        <w:t xml:space="preserve"> </w:t>
      </w:r>
      <w:r>
        <w:t xml:space="preserve">https://pubmed.ncbi.nlm.nih.gov/32765525/</w:t>
      </w:r>
    </w:p>
    <w:p>
      <w:pPr>
        <w:pStyle w:val="BodyText"/>
      </w:pPr>
      <w:hyperlink r:id="rId39">
        <w:r>
          <w:rPr>
            <w:rStyle w:val="Hyperlink"/>
          </w:rPr>
          <w:t xml:space="preserve">https://pubmed.ncbi.nlm.nih.gov/32765525/</w:t>
        </w:r>
      </w:hyperlink>
    </w:p>
    <w:p>
      <w:pPr>
        <w:pStyle w:val="BodyText"/>
      </w:pPr>
      <w:hyperlink r:id="rId40">
        <w:r>
          <w:rPr>
            <w:rStyle w:val="Hyperlink"/>
          </w:rPr>
          <w:t xml:space="preserve">[39]</w:t>
        </w:r>
      </w:hyperlink>
      <w:r>
        <w:t xml:space="preserve"> </w:t>
      </w:r>
      <w:hyperlink r:id="rId40">
        <w:r>
          <w:rPr>
            <w:rStyle w:val="Hyperlink"/>
          </w:rPr>
          <w:t xml:space="preserve">[99]</w:t>
        </w:r>
      </w:hyperlink>
      <w:r>
        <w:t xml:space="preserve"> </w:t>
      </w:r>
      <w:hyperlink r:id="rId40">
        <w:r>
          <w:rPr>
            <w:rStyle w:val="Hyperlink"/>
          </w:rPr>
          <w:t xml:space="preserve">[121]</w:t>
        </w:r>
      </w:hyperlink>
      <w:r>
        <w:t xml:space="preserve"> </w:t>
      </w:r>
      <w:r>
        <w:t xml:space="preserve">https://pubmed.ncbi.nlm.nih.gov/33452867/</w:t>
      </w:r>
    </w:p>
    <w:p>
      <w:pPr>
        <w:pStyle w:val="BodyText"/>
      </w:pPr>
      <w:hyperlink r:id="rId40">
        <w:r>
          <w:rPr>
            <w:rStyle w:val="Hyperlink"/>
          </w:rPr>
          <w:t xml:space="preserve">https://pubmed.ncbi.nlm.nih.gov/33452867/</w:t>
        </w:r>
      </w:hyperlink>
    </w:p>
    <w:p>
      <w:pPr>
        <w:pStyle w:val="BodyText"/>
      </w:pPr>
      <w:hyperlink r:id="rId41">
        <w:r>
          <w:rPr>
            <w:rStyle w:val="Hyperlink"/>
          </w:rPr>
          <w:t xml:space="preserve">[41]</w:t>
        </w:r>
      </w:hyperlink>
      <w:r>
        <w:t xml:space="preserve"> </w:t>
      </w:r>
      <w:r>
        <w:t xml:space="preserve">https://www.frontiersin.org/journals/medicine/articles/10.3389/fmed.2022.857135/full</w:t>
      </w:r>
    </w:p>
    <w:p>
      <w:pPr>
        <w:pStyle w:val="BodyText"/>
      </w:pPr>
      <w:hyperlink r:id="rId41">
        <w:r>
          <w:rPr>
            <w:rStyle w:val="Hyperlink"/>
          </w:rPr>
          <w:t xml:space="preserve">https://www.frontiersin.org/journals/medicine/articles/10.3389/fmed.2022.857135/full</w:t>
        </w:r>
      </w:hyperlink>
    </w:p>
    <w:p>
      <w:pPr>
        <w:pStyle w:val="BodyText"/>
      </w:pPr>
      <w:hyperlink r:id="rId42">
        <w:r>
          <w:rPr>
            <w:rStyle w:val="Hyperlink"/>
          </w:rPr>
          <w:t xml:space="preserve">[42]</w:t>
        </w:r>
      </w:hyperlink>
      <w:r>
        <w:t xml:space="preserve"> </w:t>
      </w:r>
      <w:r>
        <w:t xml:space="preserve">https://pubmed.ncbi.nlm.nih.gov/32943613/</w:t>
      </w:r>
    </w:p>
    <w:p>
      <w:pPr>
        <w:pStyle w:val="BodyText"/>
      </w:pPr>
      <w:hyperlink r:id="rId42">
        <w:r>
          <w:rPr>
            <w:rStyle w:val="Hyperlink"/>
          </w:rPr>
          <w:t xml:space="preserve">https://pubmed.ncbi.nlm.nih.gov/32943613/</w:t>
        </w:r>
      </w:hyperlink>
    </w:p>
    <w:p>
      <w:pPr>
        <w:pStyle w:val="BodyText"/>
      </w:pPr>
      <w:hyperlink r:id="rId43">
        <w:r>
          <w:rPr>
            <w:rStyle w:val="Hyperlink"/>
          </w:rPr>
          <w:t xml:space="preserve">[43]</w:t>
        </w:r>
      </w:hyperlink>
      <w:r>
        <w:t xml:space="preserve"> </w:t>
      </w:r>
      <w:hyperlink r:id="rId43">
        <w:r>
          <w:rPr>
            <w:rStyle w:val="Hyperlink"/>
          </w:rPr>
          <w:t xml:space="preserve">[73]</w:t>
        </w:r>
      </w:hyperlink>
      <w:r>
        <w:t xml:space="preserve"> </w:t>
      </w:r>
      <w:r>
        <w:t xml:space="preserve">https://www.frontiersin.org/journals/immunology/articles/10.3389/fimmu.2021.630791/full</w:t>
      </w:r>
    </w:p>
    <w:p>
      <w:pPr>
        <w:pStyle w:val="BodyText"/>
      </w:pPr>
      <w:hyperlink r:id="rId43">
        <w:r>
          <w:rPr>
            <w:rStyle w:val="Hyperlink"/>
          </w:rPr>
          <w:t xml:space="preserve">https://www.frontiersin.org/journals/immunology/articles/10.3389/fimmu.2021.630791/full</w:t>
        </w:r>
      </w:hyperlink>
    </w:p>
    <w:p>
      <w:pPr>
        <w:pStyle w:val="BodyText"/>
      </w:pPr>
      <w:hyperlink r:id="rId44">
        <w:r>
          <w:rPr>
            <w:rStyle w:val="Hyperlink"/>
          </w:rPr>
          <w:t xml:space="preserve">[44]</w:t>
        </w:r>
      </w:hyperlink>
      <w:r>
        <w:t xml:space="preserve"> </w:t>
      </w:r>
      <w:r>
        <w:t xml:space="preserve">https://onlinelibrary.wiley.com/doi/10.1155/2014/860651</w:t>
      </w:r>
    </w:p>
    <w:p>
      <w:pPr>
        <w:pStyle w:val="BodyText"/>
      </w:pPr>
      <w:hyperlink r:id="rId44">
        <w:r>
          <w:rPr>
            <w:rStyle w:val="Hyperlink"/>
          </w:rPr>
          <w:t xml:space="preserve">https://onlinelibrary.wiley.com/doi/10.1155/2014/860651</w:t>
        </w:r>
      </w:hyperlink>
    </w:p>
    <w:p>
      <w:pPr>
        <w:pStyle w:val="BodyText"/>
      </w:pPr>
      <w:hyperlink r:id="rId45">
        <w:r>
          <w:rPr>
            <w:rStyle w:val="Hyperlink"/>
          </w:rPr>
          <w:t xml:space="preserve">[47]</w:t>
        </w:r>
      </w:hyperlink>
      <w:r>
        <w:t xml:space="preserve"> </w:t>
      </w:r>
      <w:r>
        <w:t xml:space="preserve">Bone as a Target Organ in Rheumatic Disease - PubMed - NIH</w:t>
      </w:r>
    </w:p>
    <w:p>
      <w:pPr>
        <w:pStyle w:val="BodyText"/>
      </w:pPr>
      <w:hyperlink r:id="rId45">
        <w:r>
          <w:rPr>
            <w:rStyle w:val="Hyperlink"/>
          </w:rPr>
          <w:t xml:space="preserve">https://pubmed.ncbi.nlm.nih.gov/26411424/?utm_source=chatgpt.com</w:t>
        </w:r>
      </w:hyperlink>
    </w:p>
    <w:p>
      <w:pPr>
        <w:pStyle w:val="BodyText"/>
      </w:pPr>
      <w:hyperlink r:id="rId46">
        <w:r>
          <w:rPr>
            <w:rStyle w:val="Hyperlink"/>
          </w:rPr>
          <w:t xml:space="preserve">[50]</w:t>
        </w:r>
      </w:hyperlink>
      <w:r>
        <w:t xml:space="preserve"> </w:t>
      </w:r>
      <w:hyperlink r:id="rId46">
        <w:r>
          <w:rPr>
            <w:rStyle w:val="Hyperlink"/>
          </w:rPr>
          <w:t xml:space="preserve">[79]</w:t>
        </w:r>
      </w:hyperlink>
      <w:r>
        <w:t xml:space="preserve"> </w:t>
      </w:r>
      <w:hyperlink r:id="rId46">
        <w:r>
          <w:rPr>
            <w:rStyle w:val="Hyperlink"/>
          </w:rPr>
          <w:t xml:space="preserve">[87]</w:t>
        </w:r>
      </w:hyperlink>
      <w:r>
        <w:t xml:space="preserve"> </w:t>
      </w:r>
      <w:r>
        <w:t xml:space="preserve">Metabolomic analysis in spondyloarthritis: A systematic ...</w:t>
      </w:r>
    </w:p>
    <w:p>
      <w:pPr>
        <w:pStyle w:val="BodyText"/>
      </w:pPr>
      <w:hyperlink r:id="rId46">
        <w:r>
          <w:rPr>
            <w:rStyle w:val="Hyperlink"/>
          </w:rPr>
          <w:t xml:space="preserve">https://www.frontiersin.org/journals/microbiology/articles/10.3389/fmicb.2022.965709/full?utm_source=chatgpt.com</w:t>
        </w:r>
      </w:hyperlink>
    </w:p>
    <w:p>
      <w:pPr>
        <w:pStyle w:val="BodyText"/>
      </w:pPr>
      <w:hyperlink r:id="rId47">
        <w:r>
          <w:rPr>
            <w:rStyle w:val="Hyperlink"/>
          </w:rPr>
          <w:t xml:space="preserve">[51]</w:t>
        </w:r>
      </w:hyperlink>
      <w:r>
        <w:t xml:space="preserve"> </w:t>
      </w:r>
      <w:r>
        <w:t xml:space="preserve">Multi 'Omics Analysis of Intestinal Tissue in Ankylosing ...</w:t>
      </w:r>
    </w:p>
    <w:p>
      <w:pPr>
        <w:pStyle w:val="BodyText"/>
      </w:pPr>
      <w:hyperlink r:id="rId47">
        <w:r>
          <w:rPr>
            <w:rStyle w:val="Hyperlink"/>
          </w:rPr>
          <w:t xml:space="preserve">https://pubmed.ncbi.nlm.nih.gov/33746944/?utm_source=chatgpt.com</w:t>
        </w:r>
      </w:hyperlink>
    </w:p>
    <w:p>
      <w:pPr>
        <w:pStyle w:val="BodyText"/>
      </w:pPr>
      <w:hyperlink r:id="rId48">
        <w:r>
          <w:rPr>
            <w:rStyle w:val="Hyperlink"/>
          </w:rPr>
          <w:t xml:space="preserve">[53]</w:t>
        </w:r>
      </w:hyperlink>
      <w:r>
        <w:t xml:space="preserve"> </w:t>
      </w:r>
      <w:r>
        <w:t xml:space="preserve">https://www.frontiersin.org/journals/medicine/articles/10.3389/fmed.2026.1815404/full</w:t>
      </w:r>
    </w:p>
    <w:p>
      <w:pPr>
        <w:pStyle w:val="BodyText"/>
      </w:pPr>
      <w:hyperlink r:id="rId48">
        <w:r>
          <w:rPr>
            <w:rStyle w:val="Hyperlink"/>
          </w:rPr>
          <w:t xml:space="preserve">https://www.frontiersin.org/journals/medicine/articles/10.3389/fmed.2026.1815404/full</w:t>
        </w:r>
      </w:hyperlink>
    </w:p>
    <w:p>
      <w:pPr>
        <w:pStyle w:val="BodyText"/>
      </w:pPr>
      <w:hyperlink r:id="rId49">
        <w:r>
          <w:rPr>
            <w:rStyle w:val="Hyperlink"/>
          </w:rPr>
          <w:t xml:space="preserve">[54]</w:t>
        </w:r>
      </w:hyperlink>
      <w:r>
        <w:t xml:space="preserve"> </w:t>
      </w:r>
      <w:r>
        <w:t xml:space="preserve">https://pubmed.ncbi.nlm.nih.gov/38318588/</w:t>
      </w:r>
    </w:p>
    <w:p>
      <w:pPr>
        <w:pStyle w:val="BodyText"/>
      </w:pPr>
      <w:hyperlink r:id="rId49">
        <w:r>
          <w:rPr>
            <w:rStyle w:val="Hyperlink"/>
          </w:rPr>
          <w:t xml:space="preserve">https://pubmed.ncbi.nlm.nih.gov/38318588/</w:t>
        </w:r>
      </w:hyperlink>
    </w:p>
    <w:p>
      <w:pPr>
        <w:pStyle w:val="BodyText"/>
      </w:pPr>
      <w:hyperlink r:id="rId50">
        <w:r>
          <w:rPr>
            <w:rStyle w:val="Hyperlink"/>
          </w:rPr>
          <w:t xml:space="preserve">[55]</w:t>
        </w:r>
      </w:hyperlink>
      <w:r>
        <w:t xml:space="preserve"> </w:t>
      </w:r>
      <w:hyperlink r:id="rId50">
        <w:r>
          <w:rPr>
            <w:rStyle w:val="Hyperlink"/>
          </w:rPr>
          <w:t xml:space="preserve">[78]</w:t>
        </w:r>
      </w:hyperlink>
      <w:r>
        <w:t xml:space="preserve"> </w:t>
      </w:r>
      <w:r>
        <w:t xml:space="preserve">https://researchprofiles.ku.dk/en/publications/vagal-nerve-stimulation-modulation-of-the-anti-inflammatory-respo/</w:t>
      </w:r>
    </w:p>
    <w:p>
      <w:pPr>
        <w:pStyle w:val="BodyText"/>
      </w:pPr>
      <w:hyperlink r:id="rId50">
        <w:r>
          <w:rPr>
            <w:rStyle w:val="Hyperlink"/>
          </w:rPr>
          <w:t xml:space="preserve">https://researchprofiles.ku.dk/en/publications/vagal-nerve-stimulation-modulation-of-the-anti-inflammatory-respo/</w:t>
        </w:r>
      </w:hyperlink>
    </w:p>
    <w:p>
      <w:pPr>
        <w:pStyle w:val="BodyText"/>
      </w:pPr>
      <w:hyperlink r:id="rId51">
        <w:r>
          <w:rPr>
            <w:rStyle w:val="Hyperlink"/>
          </w:rPr>
          <w:t xml:space="preserve">[56]</w:t>
        </w:r>
      </w:hyperlink>
      <w:r>
        <w:t xml:space="preserve"> </w:t>
      </w:r>
      <w:r>
        <w:t xml:space="preserve">https://pubmed.ncbi.nlm.nih.gov/15140773/</w:t>
      </w:r>
    </w:p>
    <w:p>
      <w:pPr>
        <w:pStyle w:val="BodyText"/>
      </w:pPr>
      <w:hyperlink r:id="rId51">
        <w:r>
          <w:rPr>
            <w:rStyle w:val="Hyperlink"/>
          </w:rPr>
          <w:t xml:space="preserve">https://pubmed.ncbi.nlm.nih.gov/15140773/</w:t>
        </w:r>
      </w:hyperlink>
    </w:p>
    <w:p>
      <w:pPr>
        <w:pStyle w:val="BodyText"/>
      </w:pPr>
      <w:hyperlink r:id="rId52">
        <w:r>
          <w:rPr>
            <w:rStyle w:val="Hyperlink"/>
          </w:rPr>
          <w:t xml:space="preserve">[57]</w:t>
        </w:r>
      </w:hyperlink>
      <w:r>
        <w:t xml:space="preserve"> </w:t>
      </w:r>
      <w:hyperlink r:id="rId52">
        <w:r>
          <w:rPr>
            <w:rStyle w:val="Hyperlink"/>
          </w:rPr>
          <w:t xml:space="preserve">[91]</w:t>
        </w:r>
      </w:hyperlink>
      <w:r>
        <w:t xml:space="preserve"> </w:t>
      </w:r>
      <w:hyperlink r:id="rId52">
        <w:r>
          <w:rPr>
            <w:rStyle w:val="Hyperlink"/>
          </w:rPr>
          <w:t xml:space="preserve">[115]</w:t>
        </w:r>
      </w:hyperlink>
      <w:r>
        <w:t xml:space="preserve"> </w:t>
      </w:r>
      <w:r>
        <w:t xml:space="preserve">https://www.mdpi.com/2075-4426/15/1/31</w:t>
      </w:r>
    </w:p>
    <w:p>
      <w:pPr>
        <w:pStyle w:val="BodyText"/>
      </w:pPr>
      <w:hyperlink r:id="rId52">
        <w:r>
          <w:rPr>
            <w:rStyle w:val="Hyperlink"/>
          </w:rPr>
          <w:t xml:space="preserve">https://www.mdpi.com/2075-4426/15/1/31</w:t>
        </w:r>
      </w:hyperlink>
    </w:p>
    <w:p>
      <w:pPr>
        <w:pStyle w:val="BodyText"/>
      </w:pPr>
      <w:hyperlink r:id="rId53">
        <w:r>
          <w:rPr>
            <w:rStyle w:val="Hyperlink"/>
          </w:rPr>
          <w:t xml:space="preserve">[58]</w:t>
        </w:r>
      </w:hyperlink>
      <w:r>
        <w:t xml:space="preserve"> </w:t>
      </w:r>
      <w:r>
        <w:t xml:space="preserve">https://www.frontiersin.org/journals/endocrinology/articles/10.3389/fendo.2020.606560/full</w:t>
      </w:r>
    </w:p>
    <w:p>
      <w:pPr>
        <w:pStyle w:val="BodyText"/>
      </w:pPr>
      <w:hyperlink r:id="rId53">
        <w:r>
          <w:rPr>
            <w:rStyle w:val="Hyperlink"/>
          </w:rPr>
          <w:t xml:space="preserve">https://www.frontiersin.org/journals/endocrinology/articles/10.3389/fendo.2020.606560/full</w:t>
        </w:r>
      </w:hyperlink>
    </w:p>
    <w:p>
      <w:pPr>
        <w:pStyle w:val="BodyText"/>
      </w:pPr>
      <w:hyperlink r:id="rId54">
        <w:r>
          <w:rPr>
            <w:rStyle w:val="Hyperlink"/>
          </w:rPr>
          <w:t xml:space="preserve">[59]</w:t>
        </w:r>
      </w:hyperlink>
      <w:r>
        <w:t xml:space="preserve"> </w:t>
      </w:r>
      <w:r>
        <w:t xml:space="preserve">https://www.frontiersin.org/journals/immunology/articles/10.3389/fimmu.2026.1874215/full</w:t>
      </w:r>
    </w:p>
    <w:p>
      <w:pPr>
        <w:pStyle w:val="BodyText"/>
      </w:pPr>
      <w:hyperlink r:id="rId54">
        <w:r>
          <w:rPr>
            <w:rStyle w:val="Hyperlink"/>
          </w:rPr>
          <w:t xml:space="preserve">https://www.frontiersin.org/journals/immunology/articles/10.3389/fimmu.2026.1874215/full</w:t>
        </w:r>
      </w:hyperlink>
    </w:p>
    <w:p>
      <w:pPr>
        <w:pStyle w:val="BodyText"/>
      </w:pPr>
      <w:hyperlink r:id="rId57">
        <w:r>
          <w:rPr>
            <w:rStyle w:val="Hyperlink"/>
          </w:rPr>
          <w:t xml:space="preserve">[60]</w:t>
        </w:r>
      </w:hyperlink>
      <w:r>
        <w:t xml:space="preserve"> </w:t>
      </w:r>
      <w:hyperlink r:id="rId57">
        <w:r>
          <w:rPr>
            <w:rStyle w:val="Hyperlink"/>
          </w:rPr>
          <w:t xml:space="preserve">[133]</w:t>
        </w:r>
      </w:hyperlink>
      <w:r>
        <w:t xml:space="preserve"> </w:t>
      </w:r>
      <w:r>
        <w:t xml:space="preserve">https://www.researchgate.net/publication/7146542_Infection_and_work_stress_are_potential_triggers_of_ankylosing_spondylitis</w:t>
      </w:r>
    </w:p>
    <w:p>
      <w:pPr>
        <w:pStyle w:val="BodyText"/>
      </w:pPr>
      <w:hyperlink r:id="rId57">
        <w:r>
          <w:rPr>
            <w:rStyle w:val="Hyperlink"/>
          </w:rPr>
          <w:t xml:space="preserve">https://www.researchgate.net/publication/7146542_Infection_and_work_stress_are_potential_triggers_of_ankylosing_spondylitis</w:t>
        </w:r>
      </w:hyperlink>
    </w:p>
    <w:p>
      <w:pPr>
        <w:pStyle w:val="BodyText"/>
      </w:pPr>
      <w:hyperlink r:id="rId59">
        <w:r>
          <w:rPr>
            <w:rStyle w:val="Hyperlink"/>
          </w:rPr>
          <w:t xml:space="preserve">[61]</w:t>
        </w:r>
      </w:hyperlink>
      <w:r>
        <w:t xml:space="preserve"> </w:t>
      </w:r>
      <w:hyperlink r:id="rId59">
        <w:r>
          <w:rPr>
            <w:rStyle w:val="Hyperlink"/>
          </w:rPr>
          <w:t xml:space="preserve">[81]</w:t>
        </w:r>
      </w:hyperlink>
      <w:r>
        <w:t xml:space="preserve"> </w:t>
      </w:r>
      <w:r>
        <w:t xml:space="preserve">Markers of intestinal inflammation in patients with ankylosing ...</w:t>
      </w:r>
    </w:p>
    <w:p>
      <w:pPr>
        <w:pStyle w:val="BodyText"/>
      </w:pPr>
      <w:hyperlink r:id="rId59">
        <w:r>
          <w:rPr>
            <w:rStyle w:val="Hyperlink"/>
          </w:rPr>
          <w:t xml:space="preserve">https://pubmed.ncbi.nlm.nih.gov/23194008/?utm_source=chatgpt.com</w:t>
        </w:r>
      </w:hyperlink>
    </w:p>
    <w:p>
      <w:pPr>
        <w:pStyle w:val="BodyText"/>
      </w:pPr>
      <w:hyperlink r:id="rId62">
        <w:r>
          <w:rPr>
            <w:rStyle w:val="Hyperlink"/>
          </w:rPr>
          <w:t xml:space="preserve">[63]</w:t>
        </w:r>
      </w:hyperlink>
      <w:r>
        <w:t xml:space="preserve"> </w:t>
      </w:r>
      <w:hyperlink r:id="rId62">
        <w:r>
          <w:rPr>
            <w:rStyle w:val="Hyperlink"/>
          </w:rPr>
          <w:t xml:space="preserve">[90]</w:t>
        </w:r>
      </w:hyperlink>
      <w:r>
        <w:t xml:space="preserve"> </w:t>
      </w:r>
      <w:hyperlink r:id="rId62">
        <w:r>
          <w:rPr>
            <w:rStyle w:val="Hyperlink"/>
          </w:rPr>
          <w:t xml:space="preserve">[140]</w:t>
        </w:r>
      </w:hyperlink>
      <w:r>
        <w:t xml:space="preserve"> </w:t>
      </w:r>
      <w:r>
        <w:t xml:space="preserve">https://www.sciencedirect.com/science/article/abs/pii/S1297319X1830109X</w:t>
      </w:r>
    </w:p>
    <w:p>
      <w:pPr>
        <w:pStyle w:val="BodyText"/>
      </w:pPr>
      <w:hyperlink r:id="rId62">
        <w:r>
          <w:rPr>
            <w:rStyle w:val="Hyperlink"/>
          </w:rPr>
          <w:t xml:space="preserve">https://www.sciencedirect.com/science/article/abs/pii/S1297319X1830109X</w:t>
        </w:r>
      </w:hyperlink>
    </w:p>
    <w:p>
      <w:pPr>
        <w:pStyle w:val="BodyText"/>
      </w:pPr>
      <w:hyperlink r:id="rId65">
        <w:r>
          <w:rPr>
            <w:rStyle w:val="Hyperlink"/>
          </w:rPr>
          <w:t xml:space="preserve">[64]</w:t>
        </w:r>
      </w:hyperlink>
      <w:r>
        <w:t xml:space="preserve"> </w:t>
      </w:r>
      <w:r>
        <w:t xml:space="preserve">https://pmc.ncbi.nlm.nih.gov/articles/PMC5258786/</w:t>
      </w:r>
    </w:p>
    <w:p>
      <w:pPr>
        <w:pStyle w:val="BodyText"/>
      </w:pPr>
      <w:hyperlink r:id="rId65">
        <w:r>
          <w:rPr>
            <w:rStyle w:val="Hyperlink"/>
          </w:rPr>
          <w:t xml:space="preserve">https://pmc.ncbi.nlm.nih.gov/articles/PMC5258786/</w:t>
        </w:r>
      </w:hyperlink>
    </w:p>
    <w:p>
      <w:pPr>
        <w:pStyle w:val="BodyText"/>
      </w:pPr>
      <w:hyperlink r:id="rId68">
        <w:r>
          <w:rPr>
            <w:rStyle w:val="Hyperlink"/>
          </w:rPr>
          <w:t xml:space="preserve">[66]</w:t>
        </w:r>
      </w:hyperlink>
      <w:r>
        <w:t xml:space="preserve"> </w:t>
      </w:r>
      <w:r>
        <w:t xml:space="preserve">https://pubmed.ncbi.nlm.nih.gov/28879046/</w:t>
      </w:r>
    </w:p>
    <w:p>
      <w:pPr>
        <w:pStyle w:val="BodyText"/>
      </w:pPr>
      <w:hyperlink r:id="rId68">
        <w:r>
          <w:rPr>
            <w:rStyle w:val="Hyperlink"/>
          </w:rPr>
          <w:t xml:space="preserve">https://pubmed.ncbi.nlm.nih.gov/28879046/</w:t>
        </w:r>
      </w:hyperlink>
    </w:p>
    <w:p>
      <w:pPr>
        <w:pStyle w:val="BodyText"/>
      </w:pPr>
      <w:hyperlink r:id="rId70">
        <w:r>
          <w:rPr>
            <w:rStyle w:val="Hyperlink"/>
          </w:rPr>
          <w:t xml:space="preserve">[67]</w:t>
        </w:r>
      </w:hyperlink>
      <w:r>
        <w:t xml:space="preserve"> </w:t>
      </w:r>
      <w:r>
        <w:t xml:space="preserve">https://pmc.ncbi.nlm.nih.gov/articles/PMC5895151/</w:t>
      </w:r>
    </w:p>
    <w:p>
      <w:pPr>
        <w:pStyle w:val="BodyText"/>
      </w:pPr>
      <w:hyperlink r:id="rId70">
        <w:r>
          <w:rPr>
            <w:rStyle w:val="Hyperlink"/>
          </w:rPr>
          <w:t xml:space="preserve">https://pmc.ncbi.nlm.nih.gov/articles/PMC5895151/</w:t>
        </w:r>
      </w:hyperlink>
    </w:p>
    <w:p>
      <w:pPr>
        <w:pStyle w:val="BodyText"/>
      </w:pPr>
      <w:hyperlink r:id="rId72">
        <w:r>
          <w:rPr>
            <w:rStyle w:val="Hyperlink"/>
          </w:rPr>
          <w:t xml:space="preserve">[68]</w:t>
        </w:r>
      </w:hyperlink>
      <w:r>
        <w:t xml:space="preserve"> </w:t>
      </w:r>
      <w:r>
        <w:t xml:space="preserve">https://spondylitis.org/patient-story/diet-and-exercise-my-game-changer/</w:t>
      </w:r>
    </w:p>
    <w:p>
      <w:pPr>
        <w:pStyle w:val="BodyText"/>
      </w:pPr>
      <w:hyperlink r:id="rId72">
        <w:r>
          <w:rPr>
            <w:rStyle w:val="Hyperlink"/>
          </w:rPr>
          <w:t xml:space="preserve">https://spondylitis.org/patient-story/diet-and-exercise-my-game-changer/</w:t>
        </w:r>
      </w:hyperlink>
    </w:p>
    <w:p>
      <w:pPr>
        <w:pStyle w:val="BodyText"/>
      </w:pPr>
      <w:hyperlink r:id="rId74">
        <w:r>
          <w:rPr>
            <w:rStyle w:val="Hyperlink"/>
          </w:rPr>
          <w:t xml:space="preserve">[69]</w:t>
        </w:r>
      </w:hyperlink>
      <w:r>
        <w:t xml:space="preserve"> </w:t>
      </w:r>
      <w:hyperlink r:id="rId74">
        <w:r>
          <w:rPr>
            <w:rStyle w:val="Hyperlink"/>
          </w:rPr>
          <w:t xml:space="preserve">[105]</w:t>
        </w:r>
      </w:hyperlink>
      <w:r>
        <w:t xml:space="preserve"> </w:t>
      </w:r>
      <w:hyperlink r:id="rId74">
        <w:r>
          <w:rPr>
            <w:rStyle w:val="Hyperlink"/>
          </w:rPr>
          <w:t xml:space="preserve">[131]</w:t>
        </w:r>
      </w:hyperlink>
      <w:r>
        <w:t xml:space="preserve"> </w:t>
      </w:r>
      <w:r>
        <w:t xml:space="preserve">https://research.manchester.ac.uk/en/publications/vitamin-d-deficiency-in-axial-spondyloarthritis-is-associated-wit/</w:t>
      </w:r>
    </w:p>
    <w:p>
      <w:pPr>
        <w:pStyle w:val="BodyText"/>
      </w:pPr>
      <w:hyperlink r:id="rId74">
        <w:r>
          <w:rPr>
            <w:rStyle w:val="Hyperlink"/>
          </w:rPr>
          <w:t xml:space="preserve">https://research.manchester.ac.uk/en/publications/vitamin-d-deficiency-in-axial-spondyloarthritis-is-associated-wit/</w:t>
        </w:r>
      </w:hyperlink>
    </w:p>
    <w:p>
      <w:pPr>
        <w:pStyle w:val="BodyText"/>
      </w:pPr>
      <w:hyperlink r:id="rId75">
        <w:r>
          <w:rPr>
            <w:rStyle w:val="Hyperlink"/>
          </w:rPr>
          <w:t xml:space="preserve">[71]</w:t>
        </w:r>
      </w:hyperlink>
      <w:r>
        <w:t xml:space="preserve"> </w:t>
      </w:r>
      <w:r>
        <w:t xml:space="preserve">Gut dysbiosis associated with worse disease activity and ...</w:t>
      </w:r>
    </w:p>
    <w:p>
      <w:pPr>
        <w:pStyle w:val="BodyText"/>
      </w:pPr>
      <w:hyperlink r:id="rId75">
        <w:r>
          <w:rPr>
            <w:rStyle w:val="Hyperlink"/>
          </w:rPr>
          <w:t xml:space="preserve">https://link.springer.com/article/10.1186/s13075-022-02733-w?utm_source=chatgpt.com</w:t>
        </w:r>
      </w:hyperlink>
    </w:p>
    <w:p>
      <w:pPr>
        <w:pStyle w:val="BodyText"/>
      </w:pPr>
      <w:hyperlink r:id="rId78">
        <w:r>
          <w:rPr>
            <w:rStyle w:val="Hyperlink"/>
          </w:rPr>
          <w:t xml:space="preserve">[75]</w:t>
        </w:r>
      </w:hyperlink>
      <w:r>
        <w:t xml:space="preserve"> </w:t>
      </w:r>
      <w:r>
        <w:t xml:space="preserve">https://pmc.ncbi.nlm.nih.gov/articles/PMC6192849/</w:t>
      </w:r>
    </w:p>
    <w:p>
      <w:pPr>
        <w:pStyle w:val="BodyText"/>
      </w:pPr>
      <w:hyperlink r:id="rId78">
        <w:r>
          <w:rPr>
            <w:rStyle w:val="Hyperlink"/>
          </w:rPr>
          <w:t xml:space="preserve">https://pmc.ncbi.nlm.nih.gov/articles/PMC6192849/</w:t>
        </w:r>
      </w:hyperlink>
    </w:p>
    <w:p>
      <w:pPr>
        <w:pStyle w:val="BodyText"/>
      </w:pPr>
      <w:hyperlink r:id="rId79">
        <w:r>
          <w:rPr>
            <w:rStyle w:val="Hyperlink"/>
          </w:rPr>
          <w:t xml:space="preserve">[76]</w:t>
        </w:r>
      </w:hyperlink>
      <w:r>
        <w:t xml:space="preserve"> </w:t>
      </w:r>
      <w:r>
        <w:t xml:space="preserve">https://pmc.ncbi.nlm.nih.gov/articles/PMC8834543/</w:t>
      </w:r>
    </w:p>
    <w:p>
      <w:pPr>
        <w:pStyle w:val="BodyText"/>
      </w:pPr>
      <w:hyperlink r:id="rId79">
        <w:r>
          <w:rPr>
            <w:rStyle w:val="Hyperlink"/>
          </w:rPr>
          <w:t xml:space="preserve">https://pmc.ncbi.nlm.nih.gov/articles/PMC8834543/</w:t>
        </w:r>
      </w:hyperlink>
    </w:p>
    <w:p>
      <w:pPr>
        <w:pStyle w:val="BodyText"/>
      </w:pPr>
      <w:hyperlink r:id="rId81">
        <w:r>
          <w:rPr>
            <w:rStyle w:val="Hyperlink"/>
          </w:rPr>
          <w:t xml:space="preserve">[77]</w:t>
        </w:r>
      </w:hyperlink>
      <w:r>
        <w:t xml:space="preserve"> </w:t>
      </w:r>
      <w:r>
        <w:t xml:space="preserve">https://pmc.ncbi.nlm.nih.gov/articles/PMC5242505/</w:t>
      </w:r>
    </w:p>
    <w:p>
      <w:pPr>
        <w:pStyle w:val="BodyText"/>
      </w:pPr>
      <w:hyperlink r:id="rId81">
        <w:r>
          <w:rPr>
            <w:rStyle w:val="Hyperlink"/>
          </w:rPr>
          <w:t xml:space="preserve">https://pmc.ncbi.nlm.nih.gov/articles/PMC5242505/</w:t>
        </w:r>
      </w:hyperlink>
    </w:p>
    <w:p>
      <w:pPr>
        <w:pStyle w:val="BodyText"/>
      </w:pPr>
      <w:hyperlink r:id="rId86">
        <w:r>
          <w:rPr>
            <w:rStyle w:val="Hyperlink"/>
          </w:rPr>
          <w:t xml:space="preserve">[80]</w:t>
        </w:r>
      </w:hyperlink>
      <w:r>
        <w:t xml:space="preserve"> </w:t>
      </w:r>
      <w:r>
        <w:t xml:space="preserve">https://www.frontiersin.org/journals/immunology/articles/10.3389/fimmu.2026.1788883/full</w:t>
      </w:r>
    </w:p>
    <w:p>
      <w:pPr>
        <w:pStyle w:val="BodyText"/>
      </w:pPr>
      <w:hyperlink r:id="rId86">
        <w:r>
          <w:rPr>
            <w:rStyle w:val="Hyperlink"/>
          </w:rPr>
          <w:t xml:space="preserve">https://www.frontiersin.org/journals/immunology/articles/10.3389/fimmu.2026.1788883/full</w:t>
        </w:r>
      </w:hyperlink>
    </w:p>
    <w:p>
      <w:pPr>
        <w:pStyle w:val="BodyText"/>
      </w:pPr>
      <w:hyperlink r:id="rId89">
        <w:r>
          <w:rPr>
            <w:rStyle w:val="Hyperlink"/>
          </w:rPr>
          <w:t xml:space="preserve">[85]</w:t>
        </w:r>
      </w:hyperlink>
      <w:r>
        <w:t xml:space="preserve"> </w:t>
      </w:r>
      <w:hyperlink r:id="rId89">
        <w:r>
          <w:rPr>
            <w:rStyle w:val="Hyperlink"/>
          </w:rPr>
          <w:t xml:space="preserve">[124]</w:t>
        </w:r>
      </w:hyperlink>
      <w:r>
        <w:t xml:space="preserve"> </w:t>
      </w:r>
      <w:r>
        <w:t xml:space="preserve">https://pmc.ncbi.nlm.nih.gov/articles/PMC1004923/</w:t>
      </w:r>
    </w:p>
    <w:p>
      <w:pPr>
        <w:pStyle w:val="BodyText"/>
      </w:pPr>
      <w:hyperlink r:id="rId89">
        <w:r>
          <w:rPr>
            <w:rStyle w:val="Hyperlink"/>
          </w:rPr>
          <w:t xml:space="preserve">https://pmc.ncbi.nlm.nih.gov/articles/PMC1004923/</w:t>
        </w:r>
      </w:hyperlink>
    </w:p>
    <w:p>
      <w:pPr>
        <w:pStyle w:val="BodyText"/>
      </w:pPr>
      <w:hyperlink r:id="rId90">
        <w:r>
          <w:rPr>
            <w:rStyle w:val="Hyperlink"/>
          </w:rPr>
          <w:t xml:space="preserve">[86]</w:t>
        </w:r>
      </w:hyperlink>
      <w:r>
        <w:t xml:space="preserve"> </w:t>
      </w:r>
      <w:hyperlink r:id="rId90">
        <w:r>
          <w:rPr>
            <w:rStyle w:val="Hyperlink"/>
          </w:rPr>
          <w:t xml:space="preserve">[98]</w:t>
        </w:r>
      </w:hyperlink>
      <w:r>
        <w:t xml:space="preserve"> </w:t>
      </w:r>
      <w:r>
        <w:t xml:space="preserve">https://pubmed.ncbi.nlm.nih.gov/8835506/</w:t>
      </w:r>
    </w:p>
    <w:p>
      <w:pPr>
        <w:pStyle w:val="BodyText"/>
      </w:pPr>
      <w:hyperlink r:id="rId90">
        <w:r>
          <w:rPr>
            <w:rStyle w:val="Hyperlink"/>
          </w:rPr>
          <w:t xml:space="preserve">https://pubmed.ncbi.nlm.nih.gov/8835506/</w:t>
        </w:r>
      </w:hyperlink>
    </w:p>
    <w:p>
      <w:pPr>
        <w:pStyle w:val="BodyText"/>
      </w:pPr>
      <w:hyperlink r:id="rId93">
        <w:r>
          <w:rPr>
            <w:rStyle w:val="Hyperlink"/>
          </w:rPr>
          <w:t xml:space="preserve">[88]</w:t>
        </w:r>
      </w:hyperlink>
      <w:r>
        <w:t xml:space="preserve"> </w:t>
      </w:r>
      <w:hyperlink r:id="rId93">
        <w:r>
          <w:rPr>
            <w:rStyle w:val="Hyperlink"/>
          </w:rPr>
          <w:t xml:space="preserve">[102]</w:t>
        </w:r>
      </w:hyperlink>
      <w:r>
        <w:t xml:space="preserve"> </w:t>
      </w:r>
      <w:hyperlink r:id="rId93">
        <w:r>
          <w:rPr>
            <w:rStyle w:val="Hyperlink"/>
          </w:rPr>
          <w:t xml:space="preserve">[146]</w:t>
        </w:r>
      </w:hyperlink>
      <w:r>
        <w:t xml:space="preserve"> </w:t>
      </w:r>
      <w:r>
        <w:t xml:space="preserve">https://pmc.ncbi.nlm.nih.gov/articles/PMC9996308/</w:t>
      </w:r>
    </w:p>
    <w:p>
      <w:pPr>
        <w:pStyle w:val="BodyText"/>
      </w:pPr>
      <w:hyperlink r:id="rId93">
        <w:r>
          <w:rPr>
            <w:rStyle w:val="Hyperlink"/>
          </w:rPr>
          <w:t xml:space="preserve">https://pmc.ncbi.nlm.nih.gov/articles/PMC9996308/</w:t>
        </w:r>
      </w:hyperlink>
    </w:p>
    <w:p>
      <w:pPr>
        <w:pStyle w:val="BodyText"/>
      </w:pPr>
      <w:hyperlink r:id="rId94">
        <w:r>
          <w:rPr>
            <w:rStyle w:val="Hyperlink"/>
          </w:rPr>
          <w:t xml:space="preserve">[89]</w:t>
        </w:r>
      </w:hyperlink>
      <w:r>
        <w:t xml:space="preserve"> </w:t>
      </w:r>
      <w:r>
        <w:t xml:space="preserve">https://clinicaltrials.gov/study/NCT06451588</w:t>
      </w:r>
    </w:p>
    <w:p>
      <w:pPr>
        <w:pStyle w:val="BodyText"/>
      </w:pPr>
      <w:hyperlink r:id="rId94">
        <w:r>
          <w:rPr>
            <w:rStyle w:val="Hyperlink"/>
          </w:rPr>
          <w:t xml:space="preserve">https://clinicaltrials.gov/study/NCT06451588</w:t>
        </w:r>
      </w:hyperlink>
    </w:p>
    <w:p>
      <w:pPr>
        <w:pStyle w:val="BodyText"/>
      </w:pPr>
      <w:hyperlink r:id="rId97">
        <w:r>
          <w:rPr>
            <w:rStyle w:val="Hyperlink"/>
          </w:rPr>
          <w:t xml:space="preserve">[94]</w:t>
        </w:r>
      </w:hyperlink>
      <w:r>
        <w:t xml:space="preserve"> </w:t>
      </w:r>
      <w:hyperlink r:id="rId97">
        <w:r>
          <w:rPr>
            <w:rStyle w:val="Hyperlink"/>
          </w:rPr>
          <w:t xml:space="preserve">[128]</w:t>
        </w:r>
      </w:hyperlink>
      <w:r>
        <w:t xml:space="preserve"> </w:t>
      </w:r>
      <w:r>
        <w:t xml:space="preserve">https://pubmed.ncbi.nlm.nih.gov/38854418/</w:t>
      </w:r>
    </w:p>
    <w:p>
      <w:pPr>
        <w:pStyle w:val="BodyText"/>
      </w:pPr>
      <w:hyperlink r:id="rId97">
        <w:r>
          <w:rPr>
            <w:rStyle w:val="Hyperlink"/>
          </w:rPr>
          <w:t xml:space="preserve">https://pubmed.ncbi.nlm.nih.gov/38854418/</w:t>
        </w:r>
      </w:hyperlink>
    </w:p>
    <w:p>
      <w:pPr>
        <w:pStyle w:val="BodyText"/>
      </w:pPr>
      <w:hyperlink r:id="rId98">
        <w:r>
          <w:rPr>
            <w:rStyle w:val="Hyperlink"/>
          </w:rPr>
          <w:t xml:space="preserve">[95]</w:t>
        </w:r>
      </w:hyperlink>
      <w:r>
        <w:t xml:space="preserve"> </w:t>
      </w:r>
      <w:r>
        <w:t xml:space="preserve">https://pubmed.ncbi.nlm.nih.gov/38942347/</w:t>
      </w:r>
    </w:p>
    <w:p>
      <w:pPr>
        <w:pStyle w:val="BodyText"/>
      </w:pPr>
      <w:hyperlink r:id="rId98">
        <w:r>
          <w:rPr>
            <w:rStyle w:val="Hyperlink"/>
          </w:rPr>
          <w:t xml:space="preserve">https://pubmed.ncbi.nlm.nih.gov/38942347/</w:t>
        </w:r>
      </w:hyperlink>
    </w:p>
    <w:p>
      <w:pPr>
        <w:pStyle w:val="BodyText"/>
      </w:pPr>
      <w:hyperlink r:id="rId101">
        <w:r>
          <w:rPr>
            <w:rStyle w:val="Hyperlink"/>
          </w:rPr>
          <w:t xml:space="preserve">[96]</w:t>
        </w:r>
      </w:hyperlink>
      <w:r>
        <w:t xml:space="preserve"> </w:t>
      </w:r>
      <w:hyperlink r:id="rId101">
        <w:r>
          <w:rPr>
            <w:rStyle w:val="Hyperlink"/>
          </w:rPr>
          <w:t xml:space="preserve">[130]</w:t>
        </w:r>
      </w:hyperlink>
      <w:r>
        <w:t xml:space="preserve"> </w:t>
      </w:r>
      <w:r>
        <w:t xml:space="preserve">https://pubmed.ncbi.nlm.nih.gov/34416917/</w:t>
      </w:r>
    </w:p>
    <w:p>
      <w:pPr>
        <w:pStyle w:val="BodyText"/>
      </w:pPr>
      <w:hyperlink r:id="rId101">
        <w:r>
          <w:rPr>
            <w:rStyle w:val="Hyperlink"/>
          </w:rPr>
          <w:t xml:space="preserve">https://pubmed.ncbi.nlm.nih.gov/34416917/</w:t>
        </w:r>
      </w:hyperlink>
    </w:p>
    <w:p>
      <w:pPr>
        <w:pStyle w:val="BodyText"/>
      </w:pPr>
      <w:hyperlink r:id="rId102">
        <w:r>
          <w:rPr>
            <w:rStyle w:val="Hyperlink"/>
          </w:rPr>
          <w:t xml:space="preserve">[97]</w:t>
        </w:r>
      </w:hyperlink>
      <w:r>
        <w:t xml:space="preserve"> </w:t>
      </w:r>
      <w:r>
        <w:t xml:space="preserve">https://pubmed.ncbi.nlm.nih.gov/41211687/</w:t>
      </w:r>
    </w:p>
    <w:p>
      <w:pPr>
        <w:pStyle w:val="BodyText"/>
      </w:pPr>
      <w:hyperlink r:id="rId102">
        <w:r>
          <w:rPr>
            <w:rStyle w:val="Hyperlink"/>
          </w:rPr>
          <w:t xml:space="preserve">https://pubmed.ncbi.nlm.nih.gov/41211687/</w:t>
        </w:r>
      </w:hyperlink>
    </w:p>
    <w:p>
      <w:pPr>
        <w:pStyle w:val="BodyText"/>
      </w:pPr>
      <w:hyperlink r:id="rId105">
        <w:r>
          <w:rPr>
            <w:rStyle w:val="Hyperlink"/>
          </w:rPr>
          <w:t xml:space="preserve">[100]</w:t>
        </w:r>
      </w:hyperlink>
      <w:r>
        <w:t xml:space="preserve"> </w:t>
      </w:r>
      <w:r>
        <w:t xml:space="preserve">https://www.frontiersin.org/journals/medicine/articles/10.3389/fmed.2021.792846/full</w:t>
      </w:r>
    </w:p>
    <w:p>
      <w:pPr>
        <w:pStyle w:val="BodyText"/>
      </w:pPr>
      <w:hyperlink r:id="rId105">
        <w:r>
          <w:rPr>
            <w:rStyle w:val="Hyperlink"/>
          </w:rPr>
          <w:t xml:space="preserve">https://www.frontiersin.org/journals/medicine/articles/10.3389/fmed.2021.792846/full</w:t>
        </w:r>
      </w:hyperlink>
    </w:p>
    <w:p>
      <w:pPr>
        <w:pStyle w:val="BodyText"/>
      </w:pPr>
      <w:hyperlink r:id="rId113">
        <w:r>
          <w:rPr>
            <w:rStyle w:val="Hyperlink"/>
          </w:rPr>
          <w:t xml:space="preserve">[104]</w:t>
        </w:r>
      </w:hyperlink>
      <w:r>
        <w:t xml:space="preserve"> </w:t>
      </w:r>
      <w:r>
        <w:t xml:space="preserve">https://ods.od.nih.gov/factsheets/Omega3FattyAcids-HealthProfessional/</w:t>
      </w:r>
    </w:p>
    <w:p>
      <w:pPr>
        <w:pStyle w:val="BodyText"/>
      </w:pPr>
      <w:hyperlink r:id="rId113">
        <w:r>
          <w:rPr>
            <w:rStyle w:val="Hyperlink"/>
          </w:rPr>
          <w:t xml:space="preserve">https://ods.od.nih.gov/factsheets/Omega3FattyAcids-HealthProfessional/</w:t>
        </w:r>
      </w:hyperlink>
    </w:p>
    <w:p>
      <w:pPr>
        <w:pStyle w:val="BodyText"/>
      </w:pPr>
      <w:hyperlink r:id="rId114">
        <w:r>
          <w:rPr>
            <w:rStyle w:val="Hyperlink"/>
          </w:rPr>
          <w:t xml:space="preserve">[106]</w:t>
        </w:r>
      </w:hyperlink>
      <w:r>
        <w:t xml:space="preserve"> </w:t>
      </w:r>
      <w:hyperlink r:id="rId114">
        <w:r>
          <w:rPr>
            <w:rStyle w:val="Hyperlink"/>
          </w:rPr>
          <w:t xml:space="preserve">[149]</w:t>
        </w:r>
      </w:hyperlink>
      <w:r>
        <w:t xml:space="preserve"> </w:t>
      </w:r>
      <w:r>
        <w:t xml:space="preserve">https://ods.od.nih.gov/factsheets/VitaminD-HealthProfessional/</w:t>
      </w:r>
    </w:p>
    <w:p>
      <w:pPr>
        <w:pStyle w:val="BodyText"/>
      </w:pPr>
      <w:hyperlink r:id="rId114">
        <w:r>
          <w:rPr>
            <w:rStyle w:val="Hyperlink"/>
          </w:rPr>
          <w:t xml:space="preserve">https://ods.od.nih.gov/factsheets/VitaminD-HealthProfessional/</w:t>
        </w:r>
      </w:hyperlink>
    </w:p>
    <w:p>
      <w:pPr>
        <w:pStyle w:val="BodyText"/>
      </w:pPr>
      <w:hyperlink r:id="rId115">
        <w:r>
          <w:rPr>
            <w:rStyle w:val="Hyperlink"/>
          </w:rPr>
          <w:t xml:space="preserve">[107]</w:t>
        </w:r>
      </w:hyperlink>
      <w:r>
        <w:t xml:space="preserve"> </w:t>
      </w:r>
      <w:hyperlink r:id="rId115">
        <w:r>
          <w:rPr>
            <w:rStyle w:val="Hyperlink"/>
          </w:rPr>
          <w:t xml:space="preserve">[132]</w:t>
        </w:r>
      </w:hyperlink>
      <w:r>
        <w:t xml:space="preserve"> </w:t>
      </w:r>
      <w:r>
        <w:t xml:space="preserve">https://ods.od.nih.gov/factsheets/Magnesium-HealthProfessional/</w:t>
      </w:r>
    </w:p>
    <w:p>
      <w:pPr>
        <w:pStyle w:val="BodyText"/>
      </w:pPr>
      <w:hyperlink r:id="rId115">
        <w:r>
          <w:rPr>
            <w:rStyle w:val="Hyperlink"/>
          </w:rPr>
          <w:t xml:space="preserve">https://ods.od.nih.gov/factsheets/Magnesium-HealthProfessional/</w:t>
        </w:r>
      </w:hyperlink>
    </w:p>
    <w:p>
      <w:pPr>
        <w:pStyle w:val="BodyText"/>
      </w:pPr>
      <w:hyperlink r:id="rId116">
        <w:r>
          <w:rPr>
            <w:rStyle w:val="Hyperlink"/>
          </w:rPr>
          <w:t xml:space="preserve">[108]</w:t>
        </w:r>
      </w:hyperlink>
      <w:r>
        <w:t xml:space="preserve"> </w:t>
      </w:r>
      <w:r>
        <w:t xml:space="preserve">https://pubmed.ncbi.nlm.nih.gov/40667507/</w:t>
      </w:r>
    </w:p>
    <w:p>
      <w:pPr>
        <w:pStyle w:val="BodyText"/>
      </w:pPr>
      <w:hyperlink r:id="rId116">
        <w:r>
          <w:rPr>
            <w:rStyle w:val="Hyperlink"/>
          </w:rPr>
          <w:t xml:space="preserve">https://pubmed.ncbi.nlm.nih.gov/40667507/</w:t>
        </w:r>
      </w:hyperlink>
    </w:p>
    <w:p>
      <w:pPr>
        <w:pStyle w:val="BodyText"/>
      </w:pPr>
      <w:hyperlink r:id="rId117">
        <w:r>
          <w:rPr>
            <w:rStyle w:val="Hyperlink"/>
          </w:rPr>
          <w:t xml:space="preserve">[109]</w:t>
        </w:r>
      </w:hyperlink>
      <w:r>
        <w:t xml:space="preserve"> </w:t>
      </w:r>
      <w:hyperlink r:id="rId117">
        <w:r>
          <w:rPr>
            <w:rStyle w:val="Hyperlink"/>
          </w:rPr>
          <w:t xml:space="preserve">[125]</w:t>
        </w:r>
      </w:hyperlink>
      <w:r>
        <w:t xml:space="preserve"> </w:t>
      </w:r>
      <w:r>
        <w:t xml:space="preserve">https://pubmed.ncbi.nlm.nih.gov/35851761/</w:t>
      </w:r>
    </w:p>
    <w:p>
      <w:pPr>
        <w:pStyle w:val="BodyText"/>
      </w:pPr>
      <w:hyperlink r:id="rId117">
        <w:r>
          <w:rPr>
            <w:rStyle w:val="Hyperlink"/>
          </w:rPr>
          <w:t xml:space="preserve">https://pubmed.ncbi.nlm.nih.gov/35851761/</w:t>
        </w:r>
      </w:hyperlink>
    </w:p>
    <w:p>
      <w:pPr>
        <w:pStyle w:val="BodyText"/>
      </w:pPr>
      <w:hyperlink r:id="rId118">
        <w:r>
          <w:rPr>
            <w:rStyle w:val="Hyperlink"/>
          </w:rPr>
          <w:t xml:space="preserve">[110]</w:t>
        </w:r>
      </w:hyperlink>
      <w:r>
        <w:t xml:space="preserve"> </w:t>
      </w:r>
      <w:r>
        <w:t xml:space="preserve">https://ods.od.nih.gov/factsheets/Copper-HealthProfessional/</w:t>
      </w:r>
    </w:p>
    <w:p>
      <w:pPr>
        <w:pStyle w:val="BodyText"/>
      </w:pPr>
      <w:hyperlink r:id="rId118">
        <w:r>
          <w:rPr>
            <w:rStyle w:val="Hyperlink"/>
          </w:rPr>
          <w:t xml:space="preserve">https://ods.od.nih.gov/factsheets/Copper-HealthProfessional/</w:t>
        </w:r>
      </w:hyperlink>
    </w:p>
    <w:p>
      <w:pPr>
        <w:pStyle w:val="BodyText"/>
      </w:pPr>
      <w:hyperlink r:id="rId119">
        <w:r>
          <w:rPr>
            <w:rStyle w:val="Hyperlink"/>
          </w:rPr>
          <w:t xml:space="preserve">[111]</w:t>
        </w:r>
      </w:hyperlink>
      <w:r>
        <w:t xml:space="preserve"> </w:t>
      </w:r>
      <w:r>
        <w:t xml:space="preserve">https://ods.od.nih.gov/factsheets/Selenium-HealthProfessional/</w:t>
      </w:r>
    </w:p>
    <w:p>
      <w:pPr>
        <w:pStyle w:val="BodyText"/>
      </w:pPr>
      <w:hyperlink r:id="rId119">
        <w:r>
          <w:rPr>
            <w:rStyle w:val="Hyperlink"/>
          </w:rPr>
          <w:t xml:space="preserve">https://ods.od.nih.gov/factsheets/Selenium-HealthProfessional/</w:t>
        </w:r>
      </w:hyperlink>
    </w:p>
    <w:p>
      <w:pPr>
        <w:pStyle w:val="BodyText"/>
      </w:pPr>
      <w:hyperlink r:id="rId121">
        <w:r>
          <w:rPr>
            <w:rStyle w:val="Hyperlink"/>
          </w:rPr>
          <w:t xml:space="preserve">[113]</w:t>
        </w:r>
      </w:hyperlink>
      <w:r>
        <w:t xml:space="preserve"> </w:t>
      </w:r>
      <w:r>
        <w:t xml:space="preserve">ASAS-EULAR recommendations for the management ...</w:t>
      </w:r>
    </w:p>
    <w:p>
      <w:pPr>
        <w:pStyle w:val="BodyText"/>
      </w:pPr>
      <w:hyperlink r:id="rId121">
        <w:r>
          <w:rPr>
            <w:rStyle w:val="Hyperlink"/>
          </w:rPr>
          <w:t xml:space="preserve">https://ard.bmj.com/content/82/1/19?utm_source=chatgpt.com</w:t>
        </w:r>
      </w:hyperlink>
    </w:p>
    <w:p>
      <w:pPr>
        <w:pStyle w:val="BodyText"/>
      </w:pPr>
      <w:hyperlink r:id="rId125">
        <w:r>
          <w:rPr>
            <w:rStyle w:val="Hyperlink"/>
          </w:rPr>
          <w:t xml:space="preserve">[116]</w:t>
        </w:r>
      </w:hyperlink>
      <w:r>
        <w:t xml:space="preserve"> </w:t>
      </w:r>
      <w:r>
        <w:t xml:space="preserve">https://pubmed.ncbi.nlm.nih.gov/27330858/</w:t>
      </w:r>
    </w:p>
    <w:p>
      <w:pPr>
        <w:pStyle w:val="BodyText"/>
      </w:pPr>
      <w:hyperlink r:id="rId125">
        <w:r>
          <w:rPr>
            <w:rStyle w:val="Hyperlink"/>
          </w:rPr>
          <w:t xml:space="preserve">https://pubmed.ncbi.nlm.nih.gov/27330858/</w:t>
        </w:r>
      </w:hyperlink>
    </w:p>
    <w:p>
      <w:pPr>
        <w:pStyle w:val="BodyText"/>
      </w:pPr>
      <w:hyperlink r:id="rId127">
        <w:r>
          <w:rPr>
            <w:rStyle w:val="Hyperlink"/>
          </w:rPr>
          <w:t xml:space="preserve">[117]</w:t>
        </w:r>
      </w:hyperlink>
      <w:r>
        <w:t xml:space="preserve"> </w:t>
      </w:r>
      <w:r>
        <w:t xml:space="preserve">https://pmc.ncbi.nlm.nih.gov/articles/PMC4289210/</w:t>
      </w:r>
    </w:p>
    <w:p>
      <w:pPr>
        <w:pStyle w:val="BodyText"/>
      </w:pPr>
      <w:hyperlink r:id="rId127">
        <w:r>
          <w:rPr>
            <w:rStyle w:val="Hyperlink"/>
          </w:rPr>
          <w:t xml:space="preserve">https://pmc.ncbi.nlm.nih.gov/articles/PMC4289210/</w:t>
        </w:r>
      </w:hyperlink>
    </w:p>
    <w:p>
      <w:pPr>
        <w:pStyle w:val="BodyText"/>
      </w:pPr>
      <w:hyperlink r:id="rId132">
        <w:r>
          <w:rPr>
            <w:rStyle w:val="Hyperlink"/>
          </w:rPr>
          <w:t xml:space="preserve">[118]</w:t>
        </w:r>
      </w:hyperlink>
      <w:r>
        <w:t xml:space="preserve"> </w:t>
      </w:r>
      <w:r>
        <w:t xml:space="preserve">https://acrabstracts.org/abstract/exercise-as-a-supportive-treatment-for-my-ankylosing-spondylitis/</w:t>
      </w:r>
    </w:p>
    <w:p>
      <w:pPr>
        <w:pStyle w:val="BodyText"/>
      </w:pPr>
      <w:hyperlink r:id="rId132">
        <w:r>
          <w:rPr>
            <w:rStyle w:val="Hyperlink"/>
          </w:rPr>
          <w:t xml:space="preserve">https://acrabstracts.org/abstract/exercise-as-a-supportive-treatment-for-my-ankylosing-spondylitis/</w:t>
        </w:r>
      </w:hyperlink>
    </w:p>
    <w:p>
      <w:pPr>
        <w:pStyle w:val="BodyText"/>
      </w:pPr>
      <w:hyperlink r:id="rId137">
        <w:r>
          <w:rPr>
            <w:rStyle w:val="Hyperlink"/>
          </w:rPr>
          <w:t xml:space="preserve">[120]</w:t>
        </w:r>
      </w:hyperlink>
      <w:r>
        <w:t xml:space="preserve"> </w:t>
      </w:r>
      <w:r>
        <w:t xml:space="preserve">Type 1 interferon signature and allograft inflammatory ...</w:t>
      </w:r>
    </w:p>
    <w:p>
      <w:pPr>
        <w:pStyle w:val="BodyText"/>
      </w:pPr>
      <w:hyperlink r:id="rId137">
        <w:r>
          <w:rPr>
            <w:rStyle w:val="Hyperlink"/>
          </w:rPr>
          <w:t xml:space="preserve">https://www.nature.com/articles/s41467-025-60445-6?utm_source=chatgpt.com</w:t>
        </w:r>
      </w:hyperlink>
    </w:p>
    <w:p>
      <w:pPr>
        <w:pStyle w:val="BodyText"/>
      </w:pPr>
      <w:hyperlink r:id="rId143">
        <w:r>
          <w:rPr>
            <w:rStyle w:val="Hyperlink"/>
          </w:rPr>
          <w:t xml:space="preserve">[126]</w:t>
        </w:r>
      </w:hyperlink>
      <w:r>
        <w:t xml:space="preserve"> </w:t>
      </w:r>
      <w:r>
        <w:t xml:space="preserve">https://spondylitis.org/research-new/beyond-inflammation-study-highlights-role-of-pain-processing-and-sleep-in-axspa/</w:t>
      </w:r>
    </w:p>
    <w:p>
      <w:pPr>
        <w:pStyle w:val="BodyText"/>
      </w:pPr>
      <w:hyperlink r:id="rId143">
        <w:r>
          <w:rPr>
            <w:rStyle w:val="Hyperlink"/>
          </w:rPr>
          <w:t xml:space="preserve">https://spondylitis.org/research-new/beyond-inflammation-study-highlights-role-of-pain-processing-and-sleep-in-axspa/</w:t>
        </w:r>
      </w:hyperlink>
    </w:p>
    <w:p>
      <w:pPr>
        <w:pStyle w:val="BodyText"/>
      </w:pPr>
      <w:hyperlink r:id="rId146">
        <w:r>
          <w:rPr>
            <w:rStyle w:val="Hyperlink"/>
          </w:rPr>
          <w:t xml:space="preserve">[129]</w:t>
        </w:r>
      </w:hyperlink>
      <w:r>
        <w:t xml:space="preserve"> </w:t>
      </w:r>
      <w:r>
        <w:t xml:space="preserve">https://www.frontiersin.org/journals/medicine/articles/10.3389/fmed.2022.994797/full</w:t>
      </w:r>
    </w:p>
    <w:p>
      <w:pPr>
        <w:pStyle w:val="BodyText"/>
      </w:pPr>
      <w:hyperlink r:id="rId146">
        <w:r>
          <w:rPr>
            <w:rStyle w:val="Hyperlink"/>
          </w:rPr>
          <w:t xml:space="preserve">https://www.frontiersin.org/journals/medicine/articles/10.3389/fmed.2022.994797/full</w:t>
        </w:r>
      </w:hyperlink>
    </w:p>
    <w:p>
      <w:pPr>
        <w:pStyle w:val="BodyText"/>
      </w:pPr>
      <w:hyperlink r:id="rId157">
        <w:r>
          <w:rPr>
            <w:rStyle w:val="Hyperlink"/>
          </w:rPr>
          <w:t xml:space="preserve">[141]</w:t>
        </w:r>
      </w:hyperlink>
      <w:r>
        <w:t xml:space="preserve"> </w:t>
      </w:r>
      <w:r>
        <w:t xml:space="preserve">https://link.springer.com/article/10.1186/s43166-025-00328-2</w:t>
      </w:r>
    </w:p>
    <w:p>
      <w:pPr>
        <w:pStyle w:val="BodyText"/>
      </w:pPr>
      <w:hyperlink r:id="rId157">
        <w:r>
          <w:rPr>
            <w:rStyle w:val="Hyperlink"/>
          </w:rPr>
          <w:t xml:space="preserve">https://link.springer.com/article/10.1186/s43166-025-00328-2</w:t>
        </w:r>
      </w:hyperlink>
    </w:p>
    <w:p>
      <w:pPr>
        <w:pStyle w:val="BodyText"/>
      </w:pPr>
      <w:hyperlink r:id="rId159">
        <w:r>
          <w:rPr>
            <w:rStyle w:val="Hyperlink"/>
          </w:rPr>
          <w:t xml:space="preserve">[144]</w:t>
        </w:r>
      </w:hyperlink>
      <w:r>
        <w:t xml:space="preserve"> </w:t>
      </w:r>
      <w:r>
        <w:t xml:space="preserve">https://trialscreen.org/trials/spondyloarthritis-effect-low-starch-diet-patients-ankylosing-spondylitis-trial-nct04386538</w:t>
      </w:r>
    </w:p>
    <w:p>
      <w:pPr>
        <w:pStyle w:val="BodyText"/>
      </w:pPr>
      <w:hyperlink r:id="rId159">
        <w:r>
          <w:rPr>
            <w:rStyle w:val="Hyperlink"/>
          </w:rPr>
          <w:t xml:space="preserve">https://trialscreen.org/trials/spondyloarthritis-effect-low-starch-diet-patients-ankylosing-spondylitis-trial-nct04386538</w:t>
        </w:r>
      </w:hyperlink>
    </w:p>
    <w:p>
      <w:pPr>
        <w:pStyle w:val="BodyText"/>
      </w:pPr>
      <w:hyperlink r:id="rId165">
        <w:r>
          <w:rPr>
            <w:rStyle w:val="Hyperlink"/>
          </w:rPr>
          <w:t xml:space="preserve">[148]</w:t>
        </w:r>
      </w:hyperlink>
      <w:r>
        <w:t xml:space="preserve"> </w:t>
      </w:r>
      <w:r>
        <w:t xml:space="preserve">ASAS-EULAR recommendations for the management of ...</w:t>
      </w:r>
    </w:p>
    <w:p>
      <w:pPr>
        <w:pStyle w:val="BodyText"/>
      </w:pPr>
      <w:hyperlink r:id="rId165">
        <w:r>
          <w:rPr>
            <w:rStyle w:val="Hyperlink"/>
          </w:rPr>
          <w:t xml:space="preserve">https://pubmed.ncbi.nlm.nih.gov/36270658/?utm_source=chatgpt.com</w:t>
        </w:r>
      </w:hyperlink>
    </w:p>
    <w:p>
      <w:pPr>
        <w:pStyle w:val="BodyText"/>
      </w:pPr>
      <w:hyperlink r:id="rId166">
        <w:r>
          <w:rPr>
            <w:rStyle w:val="Hyperlink"/>
          </w:rPr>
          <w:t xml:space="preserve">[150]</w:t>
        </w:r>
      </w:hyperlink>
      <w:r>
        <w:t xml:space="preserve"> </w:t>
      </w:r>
      <w:r>
        <w:t xml:space="preserve">https://www.fda.gov/consumers/consumer-updates/mixing-medications-and-dietary-supplements-can-endanger-your-health</w:t>
      </w:r>
    </w:p>
    <w:p>
      <w:pPr>
        <w:pStyle w:val="BodyText"/>
      </w:pPr>
      <w:hyperlink r:id="rId166">
        <w:r>
          <w:rPr>
            <w:rStyle w:val="Hyperlink"/>
          </w:rPr>
          <w:t xml:space="preserve">https://www.fda.gov/consumers/consumer-updates/mixing-medications-and-dietary-supplements-can-endanger-your-health</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academic.oup.com/rheumatology/article/61/4/1487/6322973" TargetMode="External" /><Relationship Type="http://schemas.openxmlformats.org/officeDocument/2006/relationships/hyperlink" Id="rId132" Target="https://acrabstracts.org/abstract/exercise-as-a-supportive-treatment-for-my-ankylosing-spondylitis/" TargetMode="External" /><Relationship Type="http://schemas.openxmlformats.org/officeDocument/2006/relationships/hyperlink" Id="rId12" Target="https://ard.bmj.com/content/78/9/1167?utm_source=chatgpt.com" TargetMode="External" /><Relationship Type="http://schemas.openxmlformats.org/officeDocument/2006/relationships/hyperlink" Id="rId121" Target="https://ard.bmj.com/content/82/1/19?utm_source=chatgpt.com" TargetMode="External" /><Relationship Type="http://schemas.openxmlformats.org/officeDocument/2006/relationships/hyperlink" Id="rId38" Target="https://ard.bmj.com/content/83/2/214?utm_source=chatgpt.com" TargetMode="External" /><Relationship Type="http://schemas.openxmlformats.org/officeDocument/2006/relationships/hyperlink" Id="rId25" Target="https://ard.bmj.com/content/annrheumdis/early/2023/03/26/ard-2022-222852.full.pdf?utm_source=chatgpt.com" TargetMode="External" /><Relationship Type="http://schemas.openxmlformats.org/officeDocument/2006/relationships/hyperlink" Id="rId29" Target="https://ard.eular.org/article/S0003-4967%2824%2902128-9/fulltext?utm_source=chatgpt.com" TargetMode="External" /><Relationship Type="http://schemas.openxmlformats.org/officeDocument/2006/relationships/hyperlink" Id="rId94" Target="https://clinicaltrials.gov/study/NCT06451588" TargetMode="External" /><Relationship Type="http://schemas.openxmlformats.org/officeDocument/2006/relationships/hyperlink" Id="rId33" Target="https://europepmc.org/article/pmc/3494199?utm_source=chatgpt.com" TargetMode="External" /><Relationship Type="http://schemas.openxmlformats.org/officeDocument/2006/relationships/hyperlink" Id="rId26" Target="https://europepmc.org/article/pmc/pmc7935519?utm_source=chatgpt.com" TargetMode="External" /><Relationship Type="http://schemas.openxmlformats.org/officeDocument/2006/relationships/hyperlink" Id="rId75" Target="https://link.springer.com/article/10.1186/s13075-022-02733-w?utm_source=chatgpt.com" TargetMode="External" /><Relationship Type="http://schemas.openxmlformats.org/officeDocument/2006/relationships/hyperlink" Id="rId157" Target="https://link.springer.com/article/10.1186/s43166-025-00328-2" TargetMode="External" /><Relationship Type="http://schemas.openxmlformats.org/officeDocument/2006/relationships/hyperlink" Id="rId118" Target="https://ods.od.nih.gov/factsheets/Copper-HealthProfessional/" TargetMode="External" /><Relationship Type="http://schemas.openxmlformats.org/officeDocument/2006/relationships/hyperlink" Id="rId115" Target="https://ods.od.nih.gov/factsheets/Magnesium-HealthProfessional/" TargetMode="External" /><Relationship Type="http://schemas.openxmlformats.org/officeDocument/2006/relationships/hyperlink" Id="rId113" Target="https://ods.od.nih.gov/factsheets/Omega3FattyAcids-HealthProfessional/" TargetMode="External" /><Relationship Type="http://schemas.openxmlformats.org/officeDocument/2006/relationships/hyperlink" Id="rId119" Target="https://ods.od.nih.gov/factsheets/Selenium-HealthProfessional/" TargetMode="External" /><Relationship Type="http://schemas.openxmlformats.org/officeDocument/2006/relationships/hyperlink" Id="rId114" Target="https://ods.od.nih.gov/factsheets/VitaminD-HealthProfessional/" TargetMode="External" /><Relationship Type="http://schemas.openxmlformats.org/officeDocument/2006/relationships/hyperlink" Id="rId44" Target="https://onlinelibrary.wiley.com/doi/10.1155/2014/860651" TargetMode="External" /><Relationship Type="http://schemas.openxmlformats.org/officeDocument/2006/relationships/hyperlink" Id="rId89" Target="https://pmc.ncbi.nlm.nih.gov/articles/PMC1004923/" TargetMode="External" /><Relationship Type="http://schemas.openxmlformats.org/officeDocument/2006/relationships/hyperlink" Id="rId27" Target="https://pmc.ncbi.nlm.nih.gov/articles/PMC10898325/?utm_source=chatgpt.com" TargetMode="External" /><Relationship Type="http://schemas.openxmlformats.org/officeDocument/2006/relationships/hyperlink" Id="rId127" Target="https://pmc.ncbi.nlm.nih.gov/articles/PMC4289210/" TargetMode="External" /><Relationship Type="http://schemas.openxmlformats.org/officeDocument/2006/relationships/hyperlink" Id="rId81" Target="https://pmc.ncbi.nlm.nih.gov/articles/PMC5242505/" TargetMode="External" /><Relationship Type="http://schemas.openxmlformats.org/officeDocument/2006/relationships/hyperlink" Id="rId65" Target="https://pmc.ncbi.nlm.nih.gov/articles/PMC5258786/" TargetMode="External" /><Relationship Type="http://schemas.openxmlformats.org/officeDocument/2006/relationships/hyperlink" Id="rId70" Target="https://pmc.ncbi.nlm.nih.gov/articles/PMC5895151/" TargetMode="External" /><Relationship Type="http://schemas.openxmlformats.org/officeDocument/2006/relationships/hyperlink" Id="rId78" Target="https://pmc.ncbi.nlm.nih.gov/articles/PMC6192849/" TargetMode="External" /><Relationship Type="http://schemas.openxmlformats.org/officeDocument/2006/relationships/hyperlink" Id="rId28" Target="https://pmc.ncbi.nlm.nih.gov/articles/PMC7990848/?utm_source=chatgpt.com" TargetMode="External" /><Relationship Type="http://schemas.openxmlformats.org/officeDocument/2006/relationships/hyperlink" Id="rId15" Target="https://pmc.ncbi.nlm.nih.gov/articles/PMC8678434/" TargetMode="External" /><Relationship Type="http://schemas.openxmlformats.org/officeDocument/2006/relationships/hyperlink" Id="rId79" Target="https://pmc.ncbi.nlm.nih.gov/articles/PMC8834543/" TargetMode="External" /><Relationship Type="http://schemas.openxmlformats.org/officeDocument/2006/relationships/hyperlink" Id="rId93" Target="https://pmc.ncbi.nlm.nih.gov/articles/PMC9996308/" TargetMode="External" /><Relationship Type="http://schemas.openxmlformats.org/officeDocument/2006/relationships/hyperlink" Id="rId51" Target="https://pubmed.ncbi.nlm.nih.gov/15140773/" TargetMode="External" /><Relationship Type="http://schemas.openxmlformats.org/officeDocument/2006/relationships/hyperlink" Id="rId16" Target="https://pubmed.ncbi.nlm.nih.gov/18539622/" TargetMode="External" /><Relationship Type="http://schemas.openxmlformats.org/officeDocument/2006/relationships/hyperlink" Id="rId20" Target="https://pubmed.ncbi.nlm.nih.gov/20716665/" TargetMode="External" /><Relationship Type="http://schemas.openxmlformats.org/officeDocument/2006/relationships/hyperlink" Id="rId34" Target="https://pubmed.ncbi.nlm.nih.gov/21248258/?utm_source=chatgpt.com" TargetMode="External" /><Relationship Type="http://schemas.openxmlformats.org/officeDocument/2006/relationships/hyperlink" Id="rId59" Target="https://pubmed.ncbi.nlm.nih.gov/23194008/?utm_source=chatgpt.com" TargetMode="External" /><Relationship Type="http://schemas.openxmlformats.org/officeDocument/2006/relationships/hyperlink" Id="rId18" Target="https://pubmed.ncbi.nlm.nih.gov/23566662/?utm_source=chatgpt.com" TargetMode="External" /><Relationship Type="http://schemas.openxmlformats.org/officeDocument/2006/relationships/hyperlink" Id="rId11" Target="https://pubmed.ncbi.nlm.nih.gov/23993278/?utm_source=chatgpt.com" TargetMode="External" /><Relationship Type="http://schemas.openxmlformats.org/officeDocument/2006/relationships/hyperlink" Id="rId37" Target="https://pubmed.ncbi.nlm.nih.gov/25902790/" TargetMode="External" /><Relationship Type="http://schemas.openxmlformats.org/officeDocument/2006/relationships/hyperlink" Id="rId45" Target="https://pubmed.ncbi.nlm.nih.gov/26411424/?utm_source=chatgpt.com" TargetMode="External" /><Relationship Type="http://schemas.openxmlformats.org/officeDocument/2006/relationships/hyperlink" Id="rId36" Target="https://pubmed.ncbi.nlm.nih.gov/27165176/" TargetMode="External" /><Relationship Type="http://schemas.openxmlformats.org/officeDocument/2006/relationships/hyperlink" Id="rId125" Target="https://pubmed.ncbi.nlm.nih.gov/27330858/" TargetMode="External" /><Relationship Type="http://schemas.openxmlformats.org/officeDocument/2006/relationships/hyperlink" Id="rId68" Target="https://pubmed.ncbi.nlm.nih.gov/28879046/" TargetMode="External" /><Relationship Type="http://schemas.openxmlformats.org/officeDocument/2006/relationships/hyperlink" Id="rId19" Target="https://pubmed.ncbi.nlm.nih.gov/30745314/" TargetMode="External" /><Relationship Type="http://schemas.openxmlformats.org/officeDocument/2006/relationships/hyperlink" Id="rId39" Target="https://pubmed.ncbi.nlm.nih.gov/32765525/" TargetMode="External" /><Relationship Type="http://schemas.openxmlformats.org/officeDocument/2006/relationships/hyperlink" Id="rId42" Target="https://pubmed.ncbi.nlm.nih.gov/32943613/" TargetMode="External" /><Relationship Type="http://schemas.openxmlformats.org/officeDocument/2006/relationships/hyperlink" Id="rId40" Target="https://pubmed.ncbi.nlm.nih.gov/33452867/" TargetMode="External" /><Relationship Type="http://schemas.openxmlformats.org/officeDocument/2006/relationships/hyperlink" Id="rId47" Target="https://pubmed.ncbi.nlm.nih.gov/33746944/?utm_source=chatgpt.com" TargetMode="External" /><Relationship Type="http://schemas.openxmlformats.org/officeDocument/2006/relationships/hyperlink" Id="rId101" Target="https://pubmed.ncbi.nlm.nih.gov/34416917/" TargetMode="External" /><Relationship Type="http://schemas.openxmlformats.org/officeDocument/2006/relationships/hyperlink" Id="rId23" Target="https://pubmed.ncbi.nlm.nih.gov/34715506/" TargetMode="External" /><Relationship Type="http://schemas.openxmlformats.org/officeDocument/2006/relationships/hyperlink" Id="rId14" Target="https://pubmed.ncbi.nlm.nih.gov/35019225/" TargetMode="External" /><Relationship Type="http://schemas.openxmlformats.org/officeDocument/2006/relationships/hyperlink" Id="rId35" Target="https://pubmed.ncbi.nlm.nih.gov/35818337/?utm_source=chatgpt.com" TargetMode="External" /><Relationship Type="http://schemas.openxmlformats.org/officeDocument/2006/relationships/hyperlink" Id="rId117" Target="https://pubmed.ncbi.nlm.nih.gov/35851761/" TargetMode="External" /><Relationship Type="http://schemas.openxmlformats.org/officeDocument/2006/relationships/hyperlink" Id="rId165" Target="https://pubmed.ncbi.nlm.nih.gov/36270658/?utm_source=chatgpt.com" TargetMode="External" /><Relationship Type="http://schemas.openxmlformats.org/officeDocument/2006/relationships/hyperlink" Id="rId32" Target="https://pubmed.ncbi.nlm.nih.gov/37222563/?utm_source=chatgpt.com" TargetMode="External" /><Relationship Type="http://schemas.openxmlformats.org/officeDocument/2006/relationships/hyperlink" Id="rId49" Target="https://pubmed.ncbi.nlm.nih.gov/38318588/" TargetMode="External" /><Relationship Type="http://schemas.openxmlformats.org/officeDocument/2006/relationships/hyperlink" Id="rId97" Target="https://pubmed.ncbi.nlm.nih.gov/38854418/" TargetMode="External" /><Relationship Type="http://schemas.openxmlformats.org/officeDocument/2006/relationships/hyperlink" Id="rId98" Target="https://pubmed.ncbi.nlm.nih.gov/38942347/" TargetMode="External" /><Relationship Type="http://schemas.openxmlformats.org/officeDocument/2006/relationships/hyperlink" Id="rId13" Target="https://pubmed.ncbi.nlm.nih.gov/39421642/?utm_source=chatgpt.com" TargetMode="External" /><Relationship Type="http://schemas.openxmlformats.org/officeDocument/2006/relationships/hyperlink" Id="rId116" Target="https://pubmed.ncbi.nlm.nih.gov/40667507/" TargetMode="External" /><Relationship Type="http://schemas.openxmlformats.org/officeDocument/2006/relationships/hyperlink" Id="rId102" Target="https://pubmed.ncbi.nlm.nih.gov/41211687/" TargetMode="External" /><Relationship Type="http://schemas.openxmlformats.org/officeDocument/2006/relationships/hyperlink" Id="rId90" Target="https://pubmed.ncbi.nlm.nih.gov/8835506/" TargetMode="External" /><Relationship Type="http://schemas.openxmlformats.org/officeDocument/2006/relationships/hyperlink" Id="rId74" Target="https://research.manchester.ac.uk/en/publications/vitamin-d-deficiency-in-axial-spondyloarthritis-is-associated-wit/" TargetMode="External" /><Relationship Type="http://schemas.openxmlformats.org/officeDocument/2006/relationships/hyperlink" Id="rId50" Target="https://researchprofiles.ku.dk/en/publications/vagal-nerve-stimulation-modulation-of-the-anti-inflammatory-respo/" TargetMode="External" /><Relationship Type="http://schemas.openxmlformats.org/officeDocument/2006/relationships/hyperlink" Id="rId72" Target="https://spondylitis.org/patient-story/diet-and-exercise-my-game-changer/" TargetMode="External" /><Relationship Type="http://schemas.openxmlformats.org/officeDocument/2006/relationships/hyperlink" Id="rId143" Target="https://spondylitis.org/research-new/beyond-inflammation-study-highlights-role-of-pain-processing-and-sleep-in-axspa/" TargetMode="External" /><Relationship Type="http://schemas.openxmlformats.org/officeDocument/2006/relationships/hyperlink" Id="rId159" Target="https://trialscreen.org/trials/spondyloarthritis-effect-low-starch-diet-patients-ankylosing-spondylitis-trial-nct04386538" TargetMode="External" /><Relationship Type="http://schemas.openxmlformats.org/officeDocument/2006/relationships/hyperlink" Id="rId166" Target="https://www.fda.gov/consumers/consumer-updates/mixing-medications-and-dietary-supplements-can-endanger-your-health" TargetMode="External" /><Relationship Type="http://schemas.openxmlformats.org/officeDocument/2006/relationships/hyperlink" Id="rId53" Target="https://www.frontiersin.org/journals/endocrinology/articles/10.3389/fendo.2020.606560/full" TargetMode="External" /><Relationship Type="http://schemas.openxmlformats.org/officeDocument/2006/relationships/hyperlink" Id="rId43" Target="https://www.frontiersin.org/journals/immunology/articles/10.3389/fimmu.2021.630791/full" TargetMode="External" /><Relationship Type="http://schemas.openxmlformats.org/officeDocument/2006/relationships/hyperlink" Id="rId86" Target="https://www.frontiersin.org/journals/immunology/articles/10.3389/fimmu.2026.1788883/full" TargetMode="External" /><Relationship Type="http://schemas.openxmlformats.org/officeDocument/2006/relationships/hyperlink" Id="rId54" Target="https://www.frontiersin.org/journals/immunology/articles/10.3389/fimmu.2026.1874215/full" TargetMode="External" /><Relationship Type="http://schemas.openxmlformats.org/officeDocument/2006/relationships/hyperlink" Id="rId105" Target="https://www.frontiersin.org/journals/medicine/articles/10.3389/fmed.2021.792846/full" TargetMode="External" /><Relationship Type="http://schemas.openxmlformats.org/officeDocument/2006/relationships/hyperlink" Id="rId41" Target="https://www.frontiersin.org/journals/medicine/articles/10.3389/fmed.2022.857135/full" TargetMode="External" /><Relationship Type="http://schemas.openxmlformats.org/officeDocument/2006/relationships/hyperlink" Id="rId146" Target="https://www.frontiersin.org/journals/medicine/articles/10.3389/fmed.2022.994797/full" TargetMode="External" /><Relationship Type="http://schemas.openxmlformats.org/officeDocument/2006/relationships/hyperlink" Id="rId48" Target="https://www.frontiersin.org/journals/medicine/articles/10.3389/fmed.2026.1815404/full" TargetMode="External" /><Relationship Type="http://schemas.openxmlformats.org/officeDocument/2006/relationships/hyperlink" Id="rId46" Target="https://www.frontiersin.org/journals/microbiology/articles/10.3389/fmicb.2022.965709/full?utm_source=chatgpt.com" TargetMode="External" /><Relationship Type="http://schemas.openxmlformats.org/officeDocument/2006/relationships/hyperlink" Id="rId52" Target="https://www.mdpi.com/2075-4426/15/1/31" TargetMode="External" /><Relationship Type="http://schemas.openxmlformats.org/officeDocument/2006/relationships/hyperlink" Id="rId137" Target="https://www.nature.com/articles/s41467-025-60445-6?utm_source=chatgpt.com" TargetMode="External" /><Relationship Type="http://schemas.openxmlformats.org/officeDocument/2006/relationships/hyperlink" Id="rId17" Target="https://www.nature.com/articles/s42003-026-09829-y?utm_source=chatgpt.com" TargetMode="External" /><Relationship Type="http://schemas.openxmlformats.org/officeDocument/2006/relationships/hyperlink" Id="rId10" Target="https://www.nature.com/subjects/ankylosing-spondylitis/nrrheum?utm_source=chatgpt.com" TargetMode="External" /><Relationship Type="http://schemas.openxmlformats.org/officeDocument/2006/relationships/hyperlink" Id="rId21" Target="https://www.researchgate.net/publication/6734535_Supplementation_of_omega-3_fatty_acids_in_patients_with_ankylosing_spondylitis" TargetMode="External" /><Relationship Type="http://schemas.openxmlformats.org/officeDocument/2006/relationships/hyperlink" Id="rId57" Target="https://www.researchgate.net/publication/7146542_Infection_and_work_stress_are_potential_triggers_of_ankylosing_spondylitis" TargetMode="External" /><Relationship Type="http://schemas.openxmlformats.org/officeDocument/2006/relationships/hyperlink" Id="rId62" Target="https://www.sciencedirect.com/science/article/abs/pii/S1297319X1830109X" TargetMode="External" /></Relationships>
</file>

<file path=word/_rels/footnotes.xml.rels><?xml version="1.0" encoding="UTF-8"?><Relationships xmlns="http://schemas.openxmlformats.org/package/2006/relationships"><Relationship Type="http://schemas.openxmlformats.org/officeDocument/2006/relationships/hyperlink" Id="rId22" Target="https://academic.oup.com/rheumatology/article/61/4/1487/6322973" TargetMode="External" /><Relationship Type="http://schemas.openxmlformats.org/officeDocument/2006/relationships/hyperlink" Id="rId132" Target="https://acrabstracts.org/abstract/exercise-as-a-supportive-treatment-for-my-ankylosing-spondylitis/" TargetMode="External" /><Relationship Type="http://schemas.openxmlformats.org/officeDocument/2006/relationships/hyperlink" Id="rId12" Target="https://ard.bmj.com/content/78/9/1167?utm_source=chatgpt.com" TargetMode="External" /><Relationship Type="http://schemas.openxmlformats.org/officeDocument/2006/relationships/hyperlink" Id="rId121" Target="https://ard.bmj.com/content/82/1/19?utm_source=chatgpt.com" TargetMode="External" /><Relationship Type="http://schemas.openxmlformats.org/officeDocument/2006/relationships/hyperlink" Id="rId38" Target="https://ard.bmj.com/content/83/2/214?utm_source=chatgpt.com" TargetMode="External" /><Relationship Type="http://schemas.openxmlformats.org/officeDocument/2006/relationships/hyperlink" Id="rId25" Target="https://ard.bmj.com/content/annrheumdis/early/2023/03/26/ard-2022-222852.full.pdf?utm_source=chatgpt.com" TargetMode="External" /><Relationship Type="http://schemas.openxmlformats.org/officeDocument/2006/relationships/hyperlink" Id="rId29" Target="https://ard.eular.org/article/S0003-4967%2824%2902128-9/fulltext?utm_source=chatgpt.com" TargetMode="External" /><Relationship Type="http://schemas.openxmlformats.org/officeDocument/2006/relationships/hyperlink" Id="rId94" Target="https://clinicaltrials.gov/study/NCT06451588" TargetMode="External" /><Relationship Type="http://schemas.openxmlformats.org/officeDocument/2006/relationships/hyperlink" Id="rId33" Target="https://europepmc.org/article/pmc/3494199?utm_source=chatgpt.com" TargetMode="External" /><Relationship Type="http://schemas.openxmlformats.org/officeDocument/2006/relationships/hyperlink" Id="rId26" Target="https://europepmc.org/article/pmc/pmc7935519?utm_source=chatgpt.com" TargetMode="External" /><Relationship Type="http://schemas.openxmlformats.org/officeDocument/2006/relationships/hyperlink" Id="rId75" Target="https://link.springer.com/article/10.1186/s13075-022-02733-w?utm_source=chatgpt.com" TargetMode="External" /><Relationship Type="http://schemas.openxmlformats.org/officeDocument/2006/relationships/hyperlink" Id="rId157" Target="https://link.springer.com/article/10.1186/s43166-025-00328-2" TargetMode="External" /><Relationship Type="http://schemas.openxmlformats.org/officeDocument/2006/relationships/hyperlink" Id="rId118" Target="https://ods.od.nih.gov/factsheets/Copper-HealthProfessional/" TargetMode="External" /><Relationship Type="http://schemas.openxmlformats.org/officeDocument/2006/relationships/hyperlink" Id="rId115" Target="https://ods.od.nih.gov/factsheets/Magnesium-HealthProfessional/" TargetMode="External" /><Relationship Type="http://schemas.openxmlformats.org/officeDocument/2006/relationships/hyperlink" Id="rId113" Target="https://ods.od.nih.gov/factsheets/Omega3FattyAcids-HealthProfessional/" TargetMode="External" /><Relationship Type="http://schemas.openxmlformats.org/officeDocument/2006/relationships/hyperlink" Id="rId119" Target="https://ods.od.nih.gov/factsheets/Selenium-HealthProfessional/" TargetMode="External" /><Relationship Type="http://schemas.openxmlformats.org/officeDocument/2006/relationships/hyperlink" Id="rId114" Target="https://ods.od.nih.gov/factsheets/VitaminD-HealthProfessional/" TargetMode="External" /><Relationship Type="http://schemas.openxmlformats.org/officeDocument/2006/relationships/hyperlink" Id="rId44" Target="https://onlinelibrary.wiley.com/doi/10.1155/2014/860651" TargetMode="External" /><Relationship Type="http://schemas.openxmlformats.org/officeDocument/2006/relationships/hyperlink" Id="rId89" Target="https://pmc.ncbi.nlm.nih.gov/articles/PMC1004923/" TargetMode="External" /><Relationship Type="http://schemas.openxmlformats.org/officeDocument/2006/relationships/hyperlink" Id="rId27" Target="https://pmc.ncbi.nlm.nih.gov/articles/PMC10898325/?utm_source=chatgpt.com" TargetMode="External" /><Relationship Type="http://schemas.openxmlformats.org/officeDocument/2006/relationships/hyperlink" Id="rId127" Target="https://pmc.ncbi.nlm.nih.gov/articles/PMC4289210/" TargetMode="External" /><Relationship Type="http://schemas.openxmlformats.org/officeDocument/2006/relationships/hyperlink" Id="rId81" Target="https://pmc.ncbi.nlm.nih.gov/articles/PMC5242505/" TargetMode="External" /><Relationship Type="http://schemas.openxmlformats.org/officeDocument/2006/relationships/hyperlink" Id="rId65" Target="https://pmc.ncbi.nlm.nih.gov/articles/PMC5258786/" TargetMode="External" /><Relationship Type="http://schemas.openxmlformats.org/officeDocument/2006/relationships/hyperlink" Id="rId70" Target="https://pmc.ncbi.nlm.nih.gov/articles/PMC5895151/" TargetMode="External" /><Relationship Type="http://schemas.openxmlformats.org/officeDocument/2006/relationships/hyperlink" Id="rId78" Target="https://pmc.ncbi.nlm.nih.gov/articles/PMC6192849/" TargetMode="External" /><Relationship Type="http://schemas.openxmlformats.org/officeDocument/2006/relationships/hyperlink" Id="rId28" Target="https://pmc.ncbi.nlm.nih.gov/articles/PMC7990848/?utm_source=chatgpt.com" TargetMode="External" /><Relationship Type="http://schemas.openxmlformats.org/officeDocument/2006/relationships/hyperlink" Id="rId15" Target="https://pmc.ncbi.nlm.nih.gov/articles/PMC8678434/" TargetMode="External" /><Relationship Type="http://schemas.openxmlformats.org/officeDocument/2006/relationships/hyperlink" Id="rId79" Target="https://pmc.ncbi.nlm.nih.gov/articles/PMC8834543/" TargetMode="External" /><Relationship Type="http://schemas.openxmlformats.org/officeDocument/2006/relationships/hyperlink" Id="rId93" Target="https://pmc.ncbi.nlm.nih.gov/articles/PMC9996308/" TargetMode="External" /><Relationship Type="http://schemas.openxmlformats.org/officeDocument/2006/relationships/hyperlink" Id="rId51" Target="https://pubmed.ncbi.nlm.nih.gov/15140773/" TargetMode="External" /><Relationship Type="http://schemas.openxmlformats.org/officeDocument/2006/relationships/hyperlink" Id="rId16" Target="https://pubmed.ncbi.nlm.nih.gov/18539622/" TargetMode="External" /><Relationship Type="http://schemas.openxmlformats.org/officeDocument/2006/relationships/hyperlink" Id="rId20" Target="https://pubmed.ncbi.nlm.nih.gov/20716665/" TargetMode="External" /><Relationship Type="http://schemas.openxmlformats.org/officeDocument/2006/relationships/hyperlink" Id="rId34" Target="https://pubmed.ncbi.nlm.nih.gov/21248258/?utm_source=chatgpt.com" TargetMode="External" /><Relationship Type="http://schemas.openxmlformats.org/officeDocument/2006/relationships/hyperlink" Id="rId59" Target="https://pubmed.ncbi.nlm.nih.gov/23194008/?utm_source=chatgpt.com" TargetMode="External" /><Relationship Type="http://schemas.openxmlformats.org/officeDocument/2006/relationships/hyperlink" Id="rId18" Target="https://pubmed.ncbi.nlm.nih.gov/23566662/?utm_source=chatgpt.com" TargetMode="External" /><Relationship Type="http://schemas.openxmlformats.org/officeDocument/2006/relationships/hyperlink" Id="rId11" Target="https://pubmed.ncbi.nlm.nih.gov/23993278/?utm_source=chatgpt.com" TargetMode="External" /><Relationship Type="http://schemas.openxmlformats.org/officeDocument/2006/relationships/hyperlink" Id="rId37" Target="https://pubmed.ncbi.nlm.nih.gov/25902790/" TargetMode="External" /><Relationship Type="http://schemas.openxmlformats.org/officeDocument/2006/relationships/hyperlink" Id="rId45" Target="https://pubmed.ncbi.nlm.nih.gov/26411424/?utm_source=chatgpt.com" TargetMode="External" /><Relationship Type="http://schemas.openxmlformats.org/officeDocument/2006/relationships/hyperlink" Id="rId36" Target="https://pubmed.ncbi.nlm.nih.gov/27165176/" TargetMode="External" /><Relationship Type="http://schemas.openxmlformats.org/officeDocument/2006/relationships/hyperlink" Id="rId125" Target="https://pubmed.ncbi.nlm.nih.gov/27330858/" TargetMode="External" /><Relationship Type="http://schemas.openxmlformats.org/officeDocument/2006/relationships/hyperlink" Id="rId68" Target="https://pubmed.ncbi.nlm.nih.gov/28879046/" TargetMode="External" /><Relationship Type="http://schemas.openxmlformats.org/officeDocument/2006/relationships/hyperlink" Id="rId19" Target="https://pubmed.ncbi.nlm.nih.gov/30745314/" TargetMode="External" /><Relationship Type="http://schemas.openxmlformats.org/officeDocument/2006/relationships/hyperlink" Id="rId39" Target="https://pubmed.ncbi.nlm.nih.gov/32765525/" TargetMode="External" /><Relationship Type="http://schemas.openxmlformats.org/officeDocument/2006/relationships/hyperlink" Id="rId42" Target="https://pubmed.ncbi.nlm.nih.gov/32943613/" TargetMode="External" /><Relationship Type="http://schemas.openxmlformats.org/officeDocument/2006/relationships/hyperlink" Id="rId40" Target="https://pubmed.ncbi.nlm.nih.gov/33452867/" TargetMode="External" /><Relationship Type="http://schemas.openxmlformats.org/officeDocument/2006/relationships/hyperlink" Id="rId47" Target="https://pubmed.ncbi.nlm.nih.gov/33746944/?utm_source=chatgpt.com" TargetMode="External" /><Relationship Type="http://schemas.openxmlformats.org/officeDocument/2006/relationships/hyperlink" Id="rId101" Target="https://pubmed.ncbi.nlm.nih.gov/34416917/" TargetMode="External" /><Relationship Type="http://schemas.openxmlformats.org/officeDocument/2006/relationships/hyperlink" Id="rId23" Target="https://pubmed.ncbi.nlm.nih.gov/34715506/" TargetMode="External" /><Relationship Type="http://schemas.openxmlformats.org/officeDocument/2006/relationships/hyperlink" Id="rId14" Target="https://pubmed.ncbi.nlm.nih.gov/35019225/" TargetMode="External" /><Relationship Type="http://schemas.openxmlformats.org/officeDocument/2006/relationships/hyperlink" Id="rId35" Target="https://pubmed.ncbi.nlm.nih.gov/35818337/?utm_source=chatgpt.com" TargetMode="External" /><Relationship Type="http://schemas.openxmlformats.org/officeDocument/2006/relationships/hyperlink" Id="rId117" Target="https://pubmed.ncbi.nlm.nih.gov/35851761/" TargetMode="External" /><Relationship Type="http://schemas.openxmlformats.org/officeDocument/2006/relationships/hyperlink" Id="rId165" Target="https://pubmed.ncbi.nlm.nih.gov/36270658/?utm_source=chatgpt.com" TargetMode="External" /><Relationship Type="http://schemas.openxmlformats.org/officeDocument/2006/relationships/hyperlink" Id="rId32" Target="https://pubmed.ncbi.nlm.nih.gov/37222563/?utm_source=chatgpt.com" TargetMode="External" /><Relationship Type="http://schemas.openxmlformats.org/officeDocument/2006/relationships/hyperlink" Id="rId49" Target="https://pubmed.ncbi.nlm.nih.gov/38318588/" TargetMode="External" /><Relationship Type="http://schemas.openxmlformats.org/officeDocument/2006/relationships/hyperlink" Id="rId97" Target="https://pubmed.ncbi.nlm.nih.gov/38854418/" TargetMode="External" /><Relationship Type="http://schemas.openxmlformats.org/officeDocument/2006/relationships/hyperlink" Id="rId98" Target="https://pubmed.ncbi.nlm.nih.gov/38942347/" TargetMode="External" /><Relationship Type="http://schemas.openxmlformats.org/officeDocument/2006/relationships/hyperlink" Id="rId13" Target="https://pubmed.ncbi.nlm.nih.gov/39421642/?utm_source=chatgpt.com" TargetMode="External" /><Relationship Type="http://schemas.openxmlformats.org/officeDocument/2006/relationships/hyperlink" Id="rId116" Target="https://pubmed.ncbi.nlm.nih.gov/40667507/" TargetMode="External" /><Relationship Type="http://schemas.openxmlformats.org/officeDocument/2006/relationships/hyperlink" Id="rId102" Target="https://pubmed.ncbi.nlm.nih.gov/41211687/" TargetMode="External" /><Relationship Type="http://schemas.openxmlformats.org/officeDocument/2006/relationships/hyperlink" Id="rId90" Target="https://pubmed.ncbi.nlm.nih.gov/8835506/" TargetMode="External" /><Relationship Type="http://schemas.openxmlformats.org/officeDocument/2006/relationships/hyperlink" Id="rId74" Target="https://research.manchester.ac.uk/en/publications/vitamin-d-deficiency-in-axial-spondyloarthritis-is-associated-wit/" TargetMode="External" /><Relationship Type="http://schemas.openxmlformats.org/officeDocument/2006/relationships/hyperlink" Id="rId50" Target="https://researchprofiles.ku.dk/en/publications/vagal-nerve-stimulation-modulation-of-the-anti-inflammatory-respo/" TargetMode="External" /><Relationship Type="http://schemas.openxmlformats.org/officeDocument/2006/relationships/hyperlink" Id="rId72" Target="https://spondylitis.org/patient-story/diet-and-exercise-my-game-changer/" TargetMode="External" /><Relationship Type="http://schemas.openxmlformats.org/officeDocument/2006/relationships/hyperlink" Id="rId143" Target="https://spondylitis.org/research-new/beyond-inflammation-study-highlights-role-of-pain-processing-and-sleep-in-axspa/" TargetMode="External" /><Relationship Type="http://schemas.openxmlformats.org/officeDocument/2006/relationships/hyperlink" Id="rId159" Target="https://trialscreen.org/trials/spondyloarthritis-effect-low-starch-diet-patients-ankylosing-spondylitis-trial-nct04386538" TargetMode="External" /><Relationship Type="http://schemas.openxmlformats.org/officeDocument/2006/relationships/hyperlink" Id="rId166" Target="https://www.fda.gov/consumers/consumer-updates/mixing-medications-and-dietary-supplements-can-endanger-your-health" TargetMode="External" /><Relationship Type="http://schemas.openxmlformats.org/officeDocument/2006/relationships/hyperlink" Id="rId53" Target="https://www.frontiersin.org/journals/endocrinology/articles/10.3389/fendo.2020.606560/full" TargetMode="External" /><Relationship Type="http://schemas.openxmlformats.org/officeDocument/2006/relationships/hyperlink" Id="rId43" Target="https://www.frontiersin.org/journals/immunology/articles/10.3389/fimmu.2021.630791/full" TargetMode="External" /><Relationship Type="http://schemas.openxmlformats.org/officeDocument/2006/relationships/hyperlink" Id="rId86" Target="https://www.frontiersin.org/journals/immunology/articles/10.3389/fimmu.2026.1788883/full" TargetMode="External" /><Relationship Type="http://schemas.openxmlformats.org/officeDocument/2006/relationships/hyperlink" Id="rId54" Target="https://www.frontiersin.org/journals/immunology/articles/10.3389/fimmu.2026.1874215/full" TargetMode="External" /><Relationship Type="http://schemas.openxmlformats.org/officeDocument/2006/relationships/hyperlink" Id="rId105" Target="https://www.frontiersin.org/journals/medicine/articles/10.3389/fmed.2021.792846/full" TargetMode="External" /><Relationship Type="http://schemas.openxmlformats.org/officeDocument/2006/relationships/hyperlink" Id="rId41" Target="https://www.frontiersin.org/journals/medicine/articles/10.3389/fmed.2022.857135/full" TargetMode="External" /><Relationship Type="http://schemas.openxmlformats.org/officeDocument/2006/relationships/hyperlink" Id="rId146" Target="https://www.frontiersin.org/journals/medicine/articles/10.3389/fmed.2022.994797/full" TargetMode="External" /><Relationship Type="http://schemas.openxmlformats.org/officeDocument/2006/relationships/hyperlink" Id="rId48" Target="https://www.frontiersin.org/journals/medicine/articles/10.3389/fmed.2026.1815404/full" TargetMode="External" /><Relationship Type="http://schemas.openxmlformats.org/officeDocument/2006/relationships/hyperlink" Id="rId46" Target="https://www.frontiersin.org/journals/microbiology/articles/10.3389/fmicb.2022.965709/full?utm_source=chatgpt.com" TargetMode="External" /><Relationship Type="http://schemas.openxmlformats.org/officeDocument/2006/relationships/hyperlink" Id="rId52" Target="https://www.mdpi.com/2075-4426/15/1/31" TargetMode="External" /><Relationship Type="http://schemas.openxmlformats.org/officeDocument/2006/relationships/hyperlink" Id="rId137" Target="https://www.nature.com/articles/s41467-025-60445-6?utm_source=chatgpt.com" TargetMode="External" /><Relationship Type="http://schemas.openxmlformats.org/officeDocument/2006/relationships/hyperlink" Id="rId17" Target="https://www.nature.com/articles/s42003-026-09829-y?utm_source=chatgpt.com" TargetMode="External" /><Relationship Type="http://schemas.openxmlformats.org/officeDocument/2006/relationships/hyperlink" Id="rId10" Target="https://www.nature.com/subjects/ankylosing-spondylitis/nrrheum?utm_source=chatgpt.com" TargetMode="External" /><Relationship Type="http://schemas.openxmlformats.org/officeDocument/2006/relationships/hyperlink" Id="rId21" Target="https://www.researchgate.net/publication/6734535_Supplementation_of_omega-3_fatty_acids_in_patients_with_ankylosing_spondylitis" TargetMode="External" /><Relationship Type="http://schemas.openxmlformats.org/officeDocument/2006/relationships/hyperlink" Id="rId57" Target="https://www.researchgate.net/publication/7146542_Infection_and_work_stress_are_potential_triggers_of_ankylosing_spondylitis" TargetMode="External" /><Relationship Type="http://schemas.openxmlformats.org/officeDocument/2006/relationships/hyperlink" Id="rId62" Target="https://www.sciencedirect.com/science/article/abs/pii/S1297319X1830109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