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85" w:name="content"/>
    <w:bookmarkStart w:id="84" w:name="Xf717338afc3b425ac672c3761c72104ae89acd4"/>
    <w:p>
      <w:pPr>
        <w:pStyle w:val="Heading1"/>
      </w:pPr>
      <w:r>
        <w:t xml:space="preserve">Reverse-Engineering Inflammation: A Mechanism-First Framework for Finding the Source of an Elevated Inflammatory Signal</w:t>
      </w:r>
    </w:p>
    <w:bookmarkStart w:id="22" w:name="executive-synthesis"/>
    <w:p>
      <w:pPr>
        <w:pStyle w:val="Heading2"/>
      </w:pPr>
      <w:r>
        <w:t xml:space="preserve">Executive synthesis</w:t>
      </w:r>
    </w:p>
    <w:p>
      <w:pPr>
        <w:pStyle w:val="FirstParagraph"/>
      </w:pPr>
      <w:r>
        <w:t xml:space="preserve">An elevated inflammatory biomarker is best understood as a</w:t>
      </w:r>
      <w:r>
        <w:t xml:space="preserve"> </w:t>
      </w:r>
      <w:r>
        <w:rPr>
          <w:b/>
          <w:bCs/>
        </w:rPr>
        <w:t xml:space="preserve">signal that one or more biological inflammatory programmes are active</w:t>
      </w:r>
      <w:r>
        <w:t xml:space="preserve">, not as a diagnosis, anatomical localisation, or explanation of cause. CRP is the clearest example: inflammatory signals—especially IL-6, with context-dependent amplification by IL-1—alter hepatocyte transcription and increase hepatic CRP synthesis. Human kinetic studies indicate that circulating CRP has a relatively fixed plasma half-life of roughly 19 hours, so changes in CRP concentration largely reflect changes in its production rate rather than changing clearance. CRP is therefore principally a</w:t>
      </w:r>
      <w:r>
        <w:t xml:space="preserve"> </w:t>
      </w:r>
      <w:r>
        <w:rPr>
          <w:b/>
          <w:bCs/>
        </w:rPr>
        <w:t xml:space="preserve">downstream reporter of an upstream inflammatory process</w:t>
      </w:r>
      <w:r>
        <w:t xml:space="preserve">.</w:t>
      </w:r>
      <w:r>
        <w:t xml:space="preserve"> </w:t>
      </w:r>
      <w:hyperlink r:id="rId10">
        <w:r>
          <w:rPr>
            <w:rStyle w:val="Hyperlink"/>
          </w:rPr>
          <w:t xml:space="preserve">[1]</w:t>
        </w:r>
      </w:hyperlink>
    </w:p>
    <w:p>
      <w:pPr>
        <w:pStyle w:val="BodyText"/>
      </w:pPr>
      <w:r>
        <w:t xml:space="preserve">The central problem is a</w:t>
      </w:r>
      <w:r>
        <w:t xml:space="preserve"> </w:t>
      </w:r>
      <w:r>
        <w:rPr>
          <w:b/>
          <w:bCs/>
        </w:rPr>
        <w:t xml:space="preserve">many-to-one mapping</w:t>
      </w:r>
      <w:r>
        <w:t xml:space="preserve">:</w:t>
      </w:r>
    </w:p>
    <w:p>
      <w:pPr>
        <w:pStyle w:val="BlockText"/>
      </w:pPr>
      <w:r>
        <w:t xml:space="preserve">infection, tissue necrosis, autoimmune activation, crystal deposition, visceral adipose inflammation, inflammatory bowel disease, periodontal inflammation, atherosclerosis, cancer, surgery, trauma, and intense exercise</w:t>
      </w:r>
      <w:r>
        <w:br/>
      </w:r>
      <w:r>
        <w:t xml:space="preserve">↓</w:t>
      </w:r>
      <w:r>
        <w:br/>
      </w:r>
      <w:r>
        <w:t xml:space="preserve">partially overlapping cytokine networks</w:t>
      </w:r>
      <w:r>
        <w:br/>
      </w:r>
      <w:r>
        <w:t xml:space="preserve">↓</w:t>
      </w:r>
      <w:r>
        <w:br/>
      </w:r>
      <w:r>
        <w:t xml:space="preserve">hepatic acute-phase response</w:t>
      </w:r>
      <w:r>
        <w:br/>
      </w:r>
      <w:r>
        <w:t xml:space="preserve">↓</w:t>
      </w:r>
      <w:r>
        <w:br/>
      </w:r>
      <w:r>
        <w:rPr>
          <w:b/>
          <w:bCs/>
        </w:rPr>
        <w:t xml:space="preserve">the same CRP result</w:t>
      </w:r>
    </w:p>
    <w:p>
      <w:pPr>
        <w:pStyle w:val="FirstParagraph"/>
      </w:pPr>
      <w:r>
        <w:t xml:space="preserve">Consequently, the inverse inference—“CRP is high, therefore the inflammation must be coming from X”—is usually invalid. The correct question is:</w:t>
      </w:r>
      <w:r>
        <w:t xml:space="preserve"> </w:t>
      </w:r>
      <w:r>
        <w:rPr>
          <w:b/>
          <w:bCs/>
        </w:rPr>
        <w:t xml:space="preserve">given the magnitude, timing, accompanying biomarkers, symptoms, examination findings, exposures and longitudinal trajectory, which upstream mechanisms now have the highest posterior probability, and what measurement would best distinguish them?</w:t>
      </w:r>
      <w:r>
        <w:t xml:space="preserve"> </w:t>
      </w:r>
      <w:r>
        <w:t xml:space="preserve">Contemporary cardiovascular guidance likewise treats hsCRP as an inflammatory</w:t>
      </w:r>
      <w:r>
        <w:t xml:space="preserve"> </w:t>
      </w:r>
      <w:r>
        <w:rPr>
          <w:i/>
          <w:iCs/>
        </w:rPr>
        <w:t xml:space="preserve">marker</w:t>
      </w:r>
      <w:r>
        <w:t xml:space="preserve">, not the cause of inflammation, and recommends interpreting persistent elevation in clinical context rather than treating the number as a diagnosis.</w:t>
      </w:r>
      <w:r>
        <w:t xml:space="preserve"> </w:t>
      </w:r>
      <w:hyperlink r:id="rId11">
        <w:r>
          <w:rPr>
            <w:rStyle w:val="Hyperlink"/>
          </w:rPr>
          <w:t xml:space="preserve">[2]</w:t>
        </w:r>
      </w:hyperlink>
    </w:p>
    <w:p>
      <w:pPr>
        <w:pStyle w:val="BodyText"/>
      </w:pPr>
      <w:r>
        <w:t xml:space="preserve">TNF-α and IL-6 differ from CRP because they are simultaneously</w:t>
      </w:r>
      <w:r>
        <w:t xml:space="preserve"> </w:t>
      </w:r>
      <w:r>
        <w:rPr>
          <w:b/>
          <w:bCs/>
        </w:rPr>
        <w:t xml:space="preserve">mediators and measurable biomarkers</w:t>
      </w:r>
      <w:r>
        <w:t xml:space="preserve">. They can directly alter endothelial behaviour, leukocyte recruitment, hepatic acute-phase synthesis, metabolism and immune-cell activation, while their circulating concentrations can also serve as imperfect evidence that those pathways are active. The important qualification is that cytokine signalling is often highly local, pulsatile and short-lived. Serum concentration does not equal tissue production, receptor occupancy or pathway activity. IL-6 also has a well-characterised physiological role as an exercise-associated myokine, illustrating why even a cytokine conventionally described as “pro-inflammatory” cannot be interpreted without context.</w:t>
      </w:r>
      <w:r>
        <w:t xml:space="preserve"> </w:t>
      </w:r>
      <w:hyperlink r:id="rId12">
        <w:r>
          <w:rPr>
            <w:rStyle w:val="Hyperlink"/>
          </w:rPr>
          <w:t xml:space="preserve">[3]</w:t>
        </w:r>
      </w:hyperlink>
    </w:p>
    <w:p>
      <w:pPr>
        <w:pStyle w:val="BodyText"/>
      </w:pPr>
      <w:r>
        <w:t xml:space="preserve">The most useful conceptual model is therefore:</w:t>
      </w:r>
    </w:p>
    <w:p>
      <w:pPr>
        <w:pStyle w:val="BodyText"/>
      </w:pPr>
      <w:r>
        <w:rPr>
          <w:b/>
          <w:bCs/>
        </w:rPr>
        <w:t xml:space="preserve">Inflammatory biomarker → identify the upstream pathway that could generate it → look for tissue localisation → identify initiating driver → identify maintaining feedback loops → ask whether resolution is failing → select the observation or test that best separates competing hypotheses → treat the driver where possible, rather than merely suppressing the reporter.</w:t>
      </w:r>
    </w:p>
    <w:p>
      <w:pPr>
        <w:pStyle w:val="BodyText"/>
      </w:pPr>
      <w:r>
        <w:t xml:space="preserve">This report uses two parallel evidence labels: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Grade</w:t>
            </w:r>
          </w:p>
        </w:tc>
        <w:tc>
          <w:tcPr/>
          <w:p>
            <w:pPr>
              <w:pStyle w:val="Compact"/>
            </w:pPr>
            <w:r>
              <w:t xml:space="preserve">Meaning</w:t>
            </w:r>
          </w:p>
        </w:tc>
      </w:tr>
      <w:tr>
        <w:tc>
          <w:tcPr/>
          <w:p>
            <w:pPr>
              <w:pStyle w:val="Compact"/>
            </w:pPr>
            <w:r>
              <w:rPr>
                <w:b/>
                <w:bCs/>
              </w:rPr>
              <w:t xml:space="preserve">A — strong</w:t>
            </w:r>
          </w:p>
        </w:tc>
        <w:tc>
          <w:tcPr/>
          <w:p>
            <w:pPr>
              <w:pStyle w:val="Compact"/>
            </w:pPr>
            <w:r>
              <w:t xml:space="preserve">Replicated human evidence, major randomised trials, well-established clinical guidelines or exceptionally strong causal evidence</w:t>
            </w:r>
          </w:p>
        </w:tc>
      </w:tr>
      <w:tr>
        <w:tc>
          <w:tcPr/>
          <w:p>
            <w:pPr>
              <w:pStyle w:val="Compact"/>
            </w:pPr>
            <w:r>
              <w:rPr>
                <w:b/>
                <w:bCs/>
              </w:rPr>
              <w:t xml:space="preserve">B — moderate</w:t>
            </w:r>
          </w:p>
        </w:tc>
        <w:tc>
          <w:tcPr/>
          <w:p>
            <w:pPr>
              <w:pStyle w:val="Compact"/>
            </w:pPr>
            <w:r>
              <w:t xml:space="preserve">Good human observational/interventional evidence with convincing mechanistic support</w:t>
            </w:r>
          </w:p>
        </w:tc>
      </w:tr>
      <w:tr>
        <w:tc>
          <w:tcPr/>
          <w:p>
            <w:pPr>
              <w:pStyle w:val="Compact"/>
            </w:pPr>
            <w:r>
              <w:rPr>
                <w:b/>
                <w:bCs/>
              </w:rPr>
              <w:t xml:space="preserve">C — preliminary</w:t>
            </w:r>
          </w:p>
        </w:tc>
        <w:tc>
          <w:tcPr/>
          <w:p>
            <w:pPr>
              <w:pStyle w:val="Compact"/>
            </w:pPr>
            <w:r>
              <w:t xml:space="preserve">Small/inconsistent human studies or uncertain generalisability</w:t>
            </w:r>
          </w:p>
        </w:tc>
      </w:tr>
      <w:tr>
        <w:tc>
          <w:tcPr/>
          <w:p>
            <w:pPr>
              <w:pStyle w:val="Compact"/>
            </w:pPr>
            <w:r>
              <w:rPr>
                <w:b/>
                <w:bCs/>
              </w:rPr>
              <w:t xml:space="preserve">D — mechanistic</w:t>
            </w:r>
          </w:p>
        </w:tc>
        <w:tc>
          <w:tcPr/>
          <w:p>
            <w:pPr>
              <w:pStyle w:val="Compact"/>
            </w:pPr>
            <w:r>
              <w:t xml:space="preserve">Primarily cellular, animal, ex-vivo or indirect evidence</w:t>
            </w:r>
          </w:p>
        </w:tc>
      </w:tr>
      <w:tr>
        <w:tc>
          <w:tcPr/>
          <w:p>
            <w:pPr>
              <w:pStyle w:val="Compact"/>
            </w:pPr>
            <w:r>
              <w:rPr>
                <w:b/>
                <w:bCs/>
              </w:rPr>
              <w:t xml:space="preserve">E — unsupported</w:t>
            </w:r>
          </w:p>
        </w:tc>
        <w:tc>
          <w:tcPr/>
          <w:p>
            <w:pPr>
              <w:pStyle w:val="Compact"/>
            </w:pPr>
            <w:r>
              <w:t xml:space="preserve">Claim exceeds credible evidence</w:t>
            </w:r>
          </w:p>
        </w:tc>
      </w:tr>
    </w:tbl>
    <w:p>
      <w:pPr>
        <w:pStyle w:val="BodyText"/>
      </w:pPr>
      <w:r>
        <w:t xml:space="preserve">“Causal” below means intervention/genetic/strong convergent evidence supports causality; “likely causal” indicates substantial convergence without complete proof; “associative” means reverse causation/confounding remain important; and “speculative” means the mechanism remains insufficiently demonstrated in humans.</w:t>
      </w:r>
    </w:p>
    <w:p>
      <w:pPr>
        <w:pStyle w:val="BodyText"/>
      </w:pPr>
      <w:r>
        <w:t xml:space="preserve">Several human studies provide useful causal anchors for the framework. Obesity is accompanied by macrophage accumulation in adipose tissue, and direct portal-vein sampling in humans shows that visceral tissues contribute substantially to circulating IL-6. Weight loss reduces hsCRP even when macronutrient composition differs. IL-1 blockade has improved glycaemia in type 2 diabetes, while CANTOS demonstrated that blocking IL-1β reduced recurrent cardiovascular events without lowering lipids—strong evidence that inflammatory signalling can itself be causal in some cardiometabolic disease, rather than merely an epiphenomenon. Importantly, CANTOS also increased fatal infections, showing why indiscriminate inflammatory suppression is biologically different from removing an inflammatory cause.</w:t>
      </w:r>
      <w:r>
        <w:t xml:space="preserve"> </w:t>
      </w:r>
      <w:hyperlink r:id="rId13">
        <w:r>
          <w:rPr>
            <w:rStyle w:val="Hyperlink"/>
          </w:rPr>
          <w:t xml:space="preserve">[4]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Causal anchor</w:t>
            </w:r>
          </w:p>
        </w:tc>
        <w:tc>
          <w:tcPr/>
          <w:p>
            <w:pPr>
              <w:pStyle w:val="Compact"/>
            </w:pPr>
            <w:r>
              <w:t xml:space="preserve">Design/date</w:t>
            </w:r>
          </w:p>
        </w:tc>
        <w:tc>
          <w:tcPr/>
          <w:p>
            <w:pPr>
              <w:pStyle w:val="Compact"/>
            </w:pPr>
            <w:r>
              <w:t xml:space="preserve">Main inference</w:t>
            </w:r>
          </w:p>
        </w:tc>
      </w:tr>
      <w:tr>
        <w:tc>
          <w:tcPr/>
          <w:p>
            <w:pPr>
              <w:pStyle w:val="Compact"/>
            </w:pPr>
            <w:r>
              <w:t xml:space="preserve">CRP transcription</w:t>
            </w:r>
          </w:p>
        </w:tc>
        <w:tc>
          <w:tcPr/>
          <w:p>
            <w:pPr>
              <w:pStyle w:val="Compact"/>
            </w:pPr>
            <w:r>
              <w:t xml:space="preserve">Human hepatocyte/cellular mechanistic work, 1989–2008</w:t>
            </w:r>
          </w:p>
        </w:tc>
        <w:tc>
          <w:tcPr/>
          <w:p>
            <w:pPr>
              <w:pStyle w:val="Compact"/>
            </w:pPr>
            <w:r>
              <w:t xml:space="preserve">IL-6/STAT3 and IL-1-related signalling drive hepatic CRP synthesis.</w:t>
            </w:r>
            <w:r>
              <w:t xml:space="preserve"> </w:t>
            </w:r>
            <w:hyperlink r:id="rId10">
              <w:r>
                <w:rPr>
                  <w:rStyle w:val="Hyperlink"/>
                </w:rPr>
                <w:t xml:space="preserve">[5]</w:t>
              </w:r>
            </w:hyperlink>
          </w:p>
        </w:tc>
      </w:tr>
      <w:tr>
        <w:tc>
          <w:tcPr/>
          <w:p>
            <w:pPr>
              <w:pStyle w:val="Compact"/>
            </w:pPr>
            <w:r>
              <w:t xml:space="preserve">CRP kinetics</w:t>
            </w:r>
          </w:p>
        </w:tc>
        <w:tc>
          <w:tcPr/>
          <w:p>
            <w:pPr>
              <w:pStyle w:val="Compact"/>
            </w:pPr>
            <w:r>
              <w:t xml:space="preserve">Human tracer study, 1993; PMID 8473487</w:t>
            </w:r>
          </w:p>
        </w:tc>
        <w:tc>
          <w:tcPr/>
          <w:p>
            <w:pPr>
              <w:pStyle w:val="Compact"/>
            </w:pPr>
            <w:r>
              <w:t xml:space="preserve">CRP has ~19-hour half-life; concentration largely follows synthesis rate.</w:t>
            </w:r>
            <w:r>
              <w:t xml:space="preserve"> </w:t>
            </w:r>
            <w:hyperlink r:id="rId14">
              <w:r>
                <w:rPr>
                  <w:rStyle w:val="Hyperlink"/>
                </w:rPr>
                <w:t xml:space="preserve">[6]</w:t>
              </w:r>
            </w:hyperlink>
          </w:p>
        </w:tc>
      </w:tr>
      <w:tr>
        <w:tc>
          <w:tcPr/>
          <w:p>
            <w:pPr>
              <w:pStyle w:val="Compact"/>
            </w:pPr>
            <w:r>
              <w:t xml:space="preserve">Adipose inflammation</w:t>
            </w:r>
          </w:p>
        </w:tc>
        <w:tc>
          <w:tcPr/>
          <w:p>
            <w:pPr>
              <w:pStyle w:val="Compact"/>
            </w:pPr>
            <w:r>
              <w:t xml:space="preserve">Human/animal tissue study, 2003; PMID 14679176</w:t>
            </w:r>
          </w:p>
        </w:tc>
        <w:tc>
          <w:tcPr/>
          <w:p>
            <w:pPr>
              <w:pStyle w:val="Compact"/>
            </w:pPr>
            <w:r>
              <w:t xml:space="preserve">Obesity is accompanied by adipose macrophage accumulation and cytokine production.</w:t>
            </w:r>
            <w:r>
              <w:t xml:space="preserve"> </w:t>
            </w:r>
            <w:hyperlink r:id="rId13">
              <w:r>
                <w:rPr>
                  <w:rStyle w:val="Hyperlink"/>
                </w:rPr>
                <w:t xml:space="preserve">[7]</w:t>
              </w:r>
            </w:hyperlink>
          </w:p>
        </w:tc>
      </w:tr>
      <w:tr>
        <w:tc>
          <w:tcPr/>
          <w:p>
            <w:pPr>
              <w:pStyle w:val="Compact"/>
            </w:pPr>
            <w:r>
              <w:t xml:space="preserve">Visceral IL-6</w:t>
            </w:r>
          </w:p>
        </w:tc>
        <w:tc>
          <w:tcPr/>
          <w:p>
            <w:pPr>
              <w:pStyle w:val="Compact"/>
            </w:pPr>
            <w:r>
              <w:t xml:space="preserve">Human portal/arterial sampling, 2007; PMID 17287468</w:t>
            </w:r>
          </w:p>
        </w:tc>
        <w:tc>
          <w:tcPr/>
          <w:p>
            <w:pPr>
              <w:pStyle w:val="Compact"/>
            </w:pPr>
            <w:r>
              <w:t xml:space="preserve">Visceral tissues substantially contribute to systemic IL-6 in obesity.</w:t>
            </w:r>
            <w:r>
              <w:t xml:space="preserve"> </w:t>
            </w:r>
            <w:hyperlink r:id="rId15">
              <w:r>
                <w:rPr>
                  <w:rStyle w:val="Hyperlink"/>
                </w:rPr>
                <w:t xml:space="preserve">[8]</w:t>
              </w:r>
            </w:hyperlink>
          </w:p>
        </w:tc>
      </w:tr>
      <w:tr>
        <w:tc>
          <w:tcPr/>
          <w:p>
            <w:pPr>
              <w:pStyle w:val="Compact"/>
            </w:pPr>
            <w:r>
              <w:t xml:space="preserve">CANTOS</w:t>
            </w:r>
          </w:p>
        </w:tc>
        <w:tc>
          <w:tcPr/>
          <w:p>
            <w:pPr>
              <w:pStyle w:val="Compact"/>
            </w:pPr>
            <w:r>
              <w:t xml:space="preserve">RCT, 10,061 participants, 2017; PMID 28845751</w:t>
            </w:r>
          </w:p>
        </w:tc>
        <w:tc>
          <w:tcPr/>
          <w:p>
            <w:pPr>
              <w:pStyle w:val="Compact"/>
            </w:pPr>
            <w:r>
              <w:t xml:space="preserve">IL-1β-pathway inhibition reduced recurrent CV events independently of lipid lowering, but increased fatal infection.</w:t>
            </w:r>
            <w:r>
              <w:t xml:space="preserve"> </w:t>
            </w:r>
            <w:hyperlink r:id="rId16">
              <w:r>
                <w:rPr>
                  <w:rStyle w:val="Hyperlink"/>
                </w:rPr>
                <w:t xml:space="preserve">[9]</w:t>
              </w:r>
            </w:hyperlink>
          </w:p>
        </w:tc>
      </w:tr>
      <w:tr>
        <w:tc>
          <w:tcPr/>
          <w:p>
            <w:pPr>
              <w:pStyle w:val="Compact"/>
            </w:pPr>
            <w:r>
              <w:t xml:space="preserve">Trained immunity</w:t>
            </w:r>
          </w:p>
        </w:tc>
        <w:tc>
          <w:tcPr/>
          <w:p>
            <w:pPr>
              <w:pStyle w:val="Compact"/>
            </w:pPr>
            <w:r>
              <w:t xml:space="preserve">Randomised human challenge, 2018; PMID 29324233; DOI 10.1016/j.chom.2017.12.010</w:t>
            </w:r>
          </w:p>
        </w:tc>
        <w:tc>
          <w:tcPr/>
          <w:p>
            <w:pPr>
              <w:pStyle w:val="Compact"/>
            </w:pPr>
            <w:r>
              <w:t xml:space="preserve">Innate cells can acquire persistent epigenetic/functional reprogramming.</w:t>
            </w:r>
            <w:r>
              <w:t xml:space="preserve"> </w:t>
            </w:r>
            <w:hyperlink r:id="rId17">
              <w:r>
                <w:rPr>
                  <w:rStyle w:val="Hyperlink"/>
                </w:rPr>
                <w:t xml:space="preserve">[10]</w:t>
              </w:r>
            </w:hyperlink>
          </w:p>
        </w:tc>
      </w:tr>
      <w:tr>
        <w:tc>
          <w:tcPr/>
          <w:p>
            <w:pPr>
              <w:pStyle w:val="Compact"/>
            </w:pPr>
            <w:r>
              <w:t xml:space="preserve">Gut-barrier testing</w:t>
            </w:r>
          </w:p>
        </w:tc>
        <w:tc>
          <w:tcPr/>
          <w:p>
            <w:pPr>
              <w:pStyle w:val="Compact"/>
            </w:pPr>
            <w:r>
              <w:t xml:space="preserve">Analytical human study, 2018; PMID 29459849</w:t>
            </w:r>
          </w:p>
        </w:tc>
        <w:tc>
          <w:tcPr/>
          <w:p>
            <w:pPr>
              <w:pStyle w:val="Compact"/>
            </w:pPr>
            <w:r>
              <w:t xml:space="preserve">A widely used commercial “zonulin” assay did not actually measure pre-haptoglobin-2/zonulin.</w:t>
            </w:r>
            <w:r>
              <w:t xml:space="preserve"> </w:t>
            </w:r>
            <w:hyperlink r:id="rId18">
              <w:r>
                <w:rPr>
                  <w:rStyle w:val="Hyperlink"/>
                </w:rPr>
                <w:t xml:space="preserve">[11]</w:t>
              </w:r>
            </w:hyperlink>
          </w:p>
        </w:tc>
      </w:tr>
      <w:tr>
        <w:tc>
          <w:tcPr/>
          <w:p>
            <w:pPr>
              <w:pStyle w:val="Compact"/>
            </w:pPr>
            <w:r>
              <w:t xml:space="preserve">Periodontal source</w:t>
            </w:r>
          </w:p>
        </w:tc>
        <w:tc>
          <w:tcPr/>
          <w:p>
            <w:pPr>
              <w:pStyle w:val="Compact"/>
            </w:pPr>
            <w:r>
              <w:t xml:space="preserve">RCT, 2007; PMID 17329698; DOI 10.1056/NEJMoa063186</w:t>
            </w:r>
          </w:p>
        </w:tc>
        <w:tc>
          <w:tcPr/>
          <w:p>
            <w:pPr>
              <w:pStyle w:val="Compact"/>
            </w:pPr>
            <w:r>
              <w:t xml:space="preserve">Treating severe periodontitis altered systemic inflammation/endothelial function, although subsequent trials found inconsistent CRP effects.</w:t>
            </w:r>
            <w:r>
              <w:t xml:space="preserve"> </w:t>
            </w:r>
            <w:hyperlink r:id="rId19">
              <w:r>
                <w:rPr>
                  <w:rStyle w:val="Hyperlink"/>
                </w:rPr>
                <w:t xml:space="preserve">[12]</w:t>
              </w:r>
            </w:hyperlink>
          </w:p>
        </w:tc>
      </w:tr>
      <w:tr>
        <w:tc>
          <w:tcPr/>
          <w:p>
            <w:pPr>
              <w:pStyle w:val="Compact"/>
            </w:pPr>
            <w:r>
              <w:t xml:space="preserve">Sleep/OSA</w:t>
            </w:r>
          </w:p>
        </w:tc>
        <w:tc>
          <w:tcPr/>
          <w:p>
            <w:pPr>
              <w:pStyle w:val="Compact"/>
            </w:pPr>
            <w:r>
              <w:t xml:space="preserve">Sleep-restriction experiments and OSA RCTs</w:t>
            </w:r>
          </w:p>
        </w:tc>
        <w:tc>
          <w:tcPr/>
          <w:p>
            <w:pPr>
              <w:pStyle w:val="Compact"/>
            </w:pPr>
            <w:r>
              <w:t xml:space="preserve">Sleep loss can induce inflammatory signalling, but biomarker responses to CPAP are inconsistent.</w:t>
            </w:r>
            <w:r>
              <w:t xml:space="preserve"> </w:t>
            </w:r>
            <w:hyperlink r:id="rId20">
              <w:r>
                <w:rPr>
                  <w:rStyle w:val="Hyperlink"/>
                </w:rPr>
                <w:t xml:space="preserve">[13]</w:t>
              </w:r>
            </w:hyperlink>
          </w:p>
        </w:tc>
      </w:tr>
    </w:tbl>
    <w:p>
      <w:pPr>
        <w:pStyle w:val="BodyText"/>
      </w:pPr>
      <w:r>
        <w:t xml:space="preserve">The overarching conclusion is therefore not that every elevated inflammatory marker should trigger an enormous diagnostic work-up. It is almost the opposite:</w:t>
      </w:r>
      <w:r>
        <w:t xml:space="preserve"> </w:t>
      </w:r>
      <w:r>
        <w:rPr>
          <w:b/>
          <w:bCs/>
        </w:rPr>
        <w:t xml:space="preserve">because the markers are nonspecific, indiscriminate testing generates noise.</w:t>
      </w:r>
      <w:r>
        <w:t xml:space="preserve"> </w:t>
      </w:r>
      <w:r>
        <w:t xml:space="preserve">The rational strategy is iterative Bayesian localisation: verify the signal, establish its temporal phenotype, look for high-probability sources, use localising biomarkers and examination findings where available, and escalate selectively when persistence, magnitude, accompanying abnormalities or systemic symptoms justify doing so. Clinical infectious-disease guidance provides the same lesson in narrower contexts: CRP or procalcitonin can assist interpretation and serial monitoring, but neither replaces the clinical diagnosis or source investigation.</w:t>
      </w:r>
      <w:r>
        <w:t xml:space="preserve"> </w:t>
      </w:r>
      <w:hyperlink r:id="rId21">
        <w:r>
          <w:rPr>
            <w:rStyle w:val="Hyperlink"/>
          </w:rPr>
          <w:t xml:space="preserve">[14]</w:t>
        </w:r>
      </w:hyperlink>
    </w:p>
    <w:bookmarkEnd w:id="22"/>
    <w:bookmarkStart w:id="34" w:name="X87bf1df4eff7787ce525304becb541c6bf1f445"/>
    <w:p>
      <w:pPr>
        <w:pStyle w:val="Heading2"/>
      </w:pPr>
      <w:r>
        <w:t xml:space="preserve">Biology, source map, classes, persistence and resolution</w:t>
      </w:r>
    </w:p>
    <w:p>
      <w:pPr>
        <w:pStyle w:val="FirstParagraph"/>
      </w:pPr>
      <w:r>
        <w:rPr>
          <w:b/>
          <w:bCs/>
        </w:rPr>
        <w:t xml:space="preserve">Part I — The biology of inflammation.</w:t>
      </w:r>
      <w:r>
        <w:t xml:space="preserve"> </w:t>
      </w:r>
      <w:r>
        <w:t xml:space="preserve">Inflammation is not one molecular pathway. It is a coordinated tissue programme intended to detect threat, contain or eliminate it, clear damaged material and restore function. It involves immune cells, structural cells, vascular and metabolic systems simultaneously. The observable blood response is downstream of these tissue events and may greatly underrepresent—or occasionally amplify—the underlying local process. Human studies of adipose tissue, intestinal inflammation and experimentally induced peripheral inflammation illustrate how biologically very different tissue states can generate markedly different relationships between local and circulating signals.</w:t>
      </w:r>
      <w:r>
        <w:t xml:space="preserve"> </w:t>
      </w:r>
      <w:hyperlink r:id="rId13">
        <w:r>
          <w:rPr>
            <w:rStyle w:val="Hyperlink"/>
          </w:rPr>
          <w:t xml:space="preserve">[15]</w:t>
        </w:r>
      </w:hyperlink>
    </w:p>
    <w:p>
      <w:pPr>
        <w:pStyle w:val="BodyText"/>
      </w:pPr>
      <w:r>
        <w:t xml:space="preserve">At the cellular level,</w:t>
      </w:r>
      <w:r>
        <w:t xml:space="preserve"> </w:t>
      </w:r>
      <w:r>
        <w:rPr>
          <w:b/>
          <w:bCs/>
        </w:rPr>
        <w:t xml:space="preserve">neutrophils</w:t>
      </w:r>
      <w:r>
        <w:t xml:space="preserve"> </w:t>
      </w:r>
      <w:r>
        <w:t xml:space="preserve">provide rapid phagocytosis, oxidant generation, protease release and extracellular traps;</w:t>
      </w:r>
      <w:r>
        <w:t xml:space="preserve"> </w:t>
      </w:r>
      <w:r>
        <w:rPr>
          <w:b/>
          <w:bCs/>
        </w:rPr>
        <w:t xml:space="preserve">monocytes/macrophages</w:t>
      </w:r>
      <w:r>
        <w:t xml:space="preserve"> </w:t>
      </w:r>
      <w:r>
        <w:t xml:space="preserve">ingest microbes and cellular debris, produce cytokines, present antigen and later perform efferocytosis and tissue repair;</w:t>
      </w:r>
      <w:r>
        <w:t xml:space="preserve"> </w:t>
      </w:r>
      <w:r>
        <w:rPr>
          <w:b/>
          <w:bCs/>
        </w:rPr>
        <w:t xml:space="preserve">dendritic cells</w:t>
      </w:r>
      <w:r>
        <w:t xml:space="preserve"> </w:t>
      </w:r>
      <w:r>
        <w:t xml:space="preserve">integrate innate sensing with antigen presentation and T-cell priming; and</w:t>
      </w:r>
      <w:r>
        <w:t xml:space="preserve"> </w:t>
      </w:r>
      <w:r>
        <w:rPr>
          <w:b/>
          <w:bCs/>
        </w:rPr>
        <w:t xml:space="preserve">mast cells, eosinophils and basophils</w:t>
      </w:r>
      <w:r>
        <w:t xml:space="preserve"> </w:t>
      </w:r>
      <w:r>
        <w:t xml:space="preserve">are especially important in barrier defence, IgE/type-2 immunity, helminth responses, histamine release and eosinophilic tissue injury. Adaptive</w:t>
      </w:r>
      <w:r>
        <w:t xml:space="preserve"> </w:t>
      </w:r>
      <w:r>
        <w:rPr>
          <w:b/>
          <w:bCs/>
        </w:rPr>
        <w:t xml:space="preserve">CD4 T cells</w:t>
      </w:r>
      <w:r>
        <w:t xml:space="preserve"> </w:t>
      </w:r>
      <w:r>
        <w:t xml:space="preserve">can organise IFN-γ-dominant, IL-17-dominant or regulatory programmes;</w:t>
      </w:r>
      <w:r>
        <w:t xml:space="preserve"> </w:t>
      </w:r>
      <w:r>
        <w:rPr>
          <w:b/>
          <w:bCs/>
        </w:rPr>
        <w:t xml:space="preserve">CD8 cells</w:t>
      </w:r>
      <w:r>
        <w:t xml:space="preserve"> </w:t>
      </w:r>
      <w:r>
        <w:t xml:space="preserve">kill antigen-bearing cells;</w:t>
      </w:r>
      <w:r>
        <w:t xml:space="preserve"> </w:t>
      </w:r>
      <w:r>
        <w:rPr>
          <w:b/>
          <w:bCs/>
        </w:rPr>
        <w:t xml:space="preserve">B cells</w:t>
      </w:r>
      <w:r>
        <w:t xml:space="preserve"> </w:t>
      </w:r>
      <w:r>
        <w:t xml:space="preserve">produce antibodies and participate in antigen presentation and immune-complex biology;</w:t>
      </w:r>
      <w:r>
        <w:t xml:space="preserve"> </w:t>
      </w:r>
      <w:r>
        <w:rPr>
          <w:b/>
          <w:bCs/>
        </w:rPr>
        <w:t xml:space="preserve">NK cells</w:t>
      </w:r>
      <w:r>
        <w:t xml:space="preserve"> </w:t>
      </w:r>
      <w:r>
        <w:t xml:space="preserve">kill stressed or infected cells and generate IFN-γ; and</w:t>
      </w:r>
      <w:r>
        <w:t xml:space="preserve"> </w:t>
      </w:r>
      <w:r>
        <w:rPr>
          <w:b/>
          <w:bCs/>
        </w:rPr>
        <w:t xml:space="preserve">innate lymphoid cells</w:t>
      </w:r>
      <w:r>
        <w:t xml:space="preserve"> </w:t>
      </w:r>
      <w:r>
        <w:t xml:space="preserve">rapidly implement tissue-specific type-1, type-2 and type-3 cytokine programmes before conventional adaptive responses mature. These functions overlap extensively rather than representing discrete “inflammatory cell types.” The persistence of innate activation can itself be altered epigenetically: a randomised human BCG challenge study demonstrated genome-wide monocyte reprogramming and altered subsequent cytokine responses, providing direct human evidence for trained innate immunity.</w:t>
      </w:r>
      <w:r>
        <w:t xml:space="preserve"> </w:t>
      </w:r>
      <w:hyperlink r:id="rId17">
        <w:r>
          <w:rPr>
            <w:rStyle w:val="Hyperlink"/>
          </w:rPr>
          <w:t xml:space="preserve">[10]</w:t>
        </w:r>
      </w:hyperlink>
    </w:p>
    <w:p>
      <w:pPr>
        <w:pStyle w:val="BodyText"/>
      </w:pPr>
      <w:r>
        <w:t xml:space="preserve">Several ostensibly “non-immune” cells are integral to inflammation.</w:t>
      </w:r>
      <w:r>
        <w:t xml:space="preserve"> </w:t>
      </w:r>
      <w:r>
        <w:rPr>
          <w:b/>
          <w:bCs/>
        </w:rPr>
        <w:t xml:space="preserve">Platelets</w:t>
      </w:r>
      <w:r>
        <w:t xml:space="preserve"> </w:t>
      </w:r>
      <w:r>
        <w:t xml:space="preserve">participate in leukocyte recruitment, immunothrombosis and vascular signalling in addition to haemostasis.</w:t>
      </w:r>
      <w:r>
        <w:t xml:space="preserve"> </w:t>
      </w:r>
      <w:r>
        <w:rPr>
          <w:b/>
          <w:bCs/>
        </w:rPr>
        <w:t xml:space="preserve">Endothelial cells</w:t>
      </w:r>
      <w:r>
        <w:t xml:space="preserve"> </w:t>
      </w:r>
      <w:r>
        <w:t xml:space="preserve">regulate permeability, leukocyte adhesion, coagulation and vascular tone.</w:t>
      </w:r>
      <w:r>
        <w:t xml:space="preserve"> </w:t>
      </w:r>
      <w:r>
        <w:rPr>
          <w:b/>
          <w:bCs/>
        </w:rPr>
        <w:t xml:space="preserve">Fibroblasts</w:t>
      </w:r>
      <w:r>
        <w:t xml:space="preserve"> </w:t>
      </w:r>
      <w:r>
        <w:t xml:space="preserve">can become persistent cytokine/chemokine-producing stromal cells and drive fibrosis.</w:t>
      </w:r>
      <w:r>
        <w:t xml:space="preserve"> </w:t>
      </w:r>
      <w:r>
        <w:rPr>
          <w:b/>
          <w:bCs/>
        </w:rPr>
        <w:t xml:space="preserve">Adipocytes</w:t>
      </w:r>
      <w:r>
        <w:t xml:space="preserve"> </w:t>
      </w:r>
      <w:r>
        <w:t xml:space="preserve">signal through leptin, adiponectin, lipids and cytokines and recruit macrophages during hypertrophic adipose expansion. Tissue-resident macrophage populations—including hepatic Kupffer cells, alveolar macrophages and CNS microglia—operate within organ-specific metabolic environments, which helps explain why “inflammation” in adipose tissue, brain and lung is not biologically interchangeable. Human adipose and CNS imaging studies illustrate these compartmental differences.</w:t>
      </w:r>
      <w:r>
        <w:t xml:space="preserve"> </w:t>
      </w:r>
      <w:hyperlink r:id="rId13">
        <w:r>
          <w:rPr>
            <w:rStyle w:val="Hyperlink"/>
          </w:rPr>
          <w:t xml:space="preserve">[16]</w:t>
        </w:r>
      </w:hyperlink>
    </w:p>
    <w:p>
      <w:pPr>
        <w:pStyle w:val="BodyText"/>
      </w:pPr>
      <w:r>
        <w:t xml:space="preserve">At the molecular level, calling molecules merely “pro-inflammatory” conceals their actual functions.</w:t>
      </w:r>
      <w:r>
        <w:t xml:space="preserve"> </w:t>
      </w:r>
      <w:r>
        <w:rPr>
          <w:b/>
          <w:bCs/>
        </w:rPr>
        <w:t xml:space="preserve">TNF-α</w:t>
      </w:r>
      <w:r>
        <w:t xml:space="preserve"> </w:t>
      </w:r>
      <w:r>
        <w:t xml:space="preserve">activates endothelium, alters vascular permeability, induces cytokines and chemokines, influences cell survival/death and contributes to systemic sickness and metabolic signalling.</w:t>
      </w:r>
      <w:r>
        <w:t xml:space="preserve"> </w:t>
      </w:r>
      <w:r>
        <w:rPr>
          <w:b/>
          <w:bCs/>
        </w:rPr>
        <w:t xml:space="preserve">IL-1β</w:t>
      </w:r>
      <w:r>
        <w:t xml:space="preserve"> </w:t>
      </w:r>
      <w:r>
        <w:t xml:space="preserve">is generated after inflammasome-dependent processing and contributes strongly to fever, endothelial activation and leukocyte recruitment.</w:t>
      </w:r>
      <w:r>
        <w:t xml:space="preserve"> </w:t>
      </w:r>
      <w:r>
        <w:rPr>
          <w:b/>
          <w:bCs/>
        </w:rPr>
        <w:t xml:space="preserve">IL-6</w:t>
      </w:r>
      <w:r>
        <w:t xml:space="preserve"> </w:t>
      </w:r>
      <w:r>
        <w:t xml:space="preserve">acts on hepatocytes to generate CRP, SAA, fibrinogen and hepcidin programmes, while also having cell-type- and context-dependent roles in lymphocyte biology and metabolism.</w:t>
      </w:r>
      <w:r>
        <w:t xml:space="preserve"> </w:t>
      </w:r>
      <w:r>
        <w:rPr>
          <w:b/>
          <w:bCs/>
        </w:rPr>
        <w:t xml:space="preserve">CXCL8/IL-8</w:t>
      </w:r>
      <w:r>
        <w:t xml:space="preserve"> </w:t>
      </w:r>
      <w:r>
        <w:t xml:space="preserve">attracts and activates neutrophils.</w:t>
      </w:r>
      <w:r>
        <w:t xml:space="preserve"> </w:t>
      </w:r>
      <w:r>
        <w:rPr>
          <w:b/>
          <w:bCs/>
        </w:rPr>
        <w:t xml:space="preserve">IL-17</w:t>
      </w:r>
      <w:r>
        <w:t xml:space="preserve"> </w:t>
      </w:r>
      <w:r>
        <w:t xml:space="preserve">drives epithelial/stromal chemokine production and neutrophil-rich host defence.</w:t>
      </w:r>
      <w:r>
        <w:t xml:space="preserve"> </w:t>
      </w:r>
      <w:r>
        <w:rPr>
          <w:b/>
          <w:bCs/>
        </w:rPr>
        <w:t xml:space="preserve">IL-23</w:t>
      </w:r>
      <w:r>
        <w:t xml:space="preserve"> </w:t>
      </w:r>
      <w:r>
        <w:t xml:space="preserve">sustains IL-17-producing lymphocyte programmes.</w:t>
      </w:r>
      <w:r>
        <w:t xml:space="preserve"> </w:t>
      </w:r>
      <w:r>
        <w:rPr>
          <w:b/>
          <w:bCs/>
        </w:rPr>
        <w:t xml:space="preserve">IL-18</w:t>
      </w:r>
      <w:r>
        <w:t xml:space="preserve">, especially with IL-12, can strongly stimulate IFN-γ. Type-I interferons induce antiviral programmes; IFN-γ activates macrophage and cell-mediated immunity. The paradoxical suppression of CRP production by IFN-α provides one explanation for relatively low CRP despite substantial immune activation in some type-I-interferon-dominant states such as systemic lupus erythematosus.</w:t>
      </w:r>
      <w:r>
        <w:t xml:space="preserve"> </w:t>
      </w:r>
      <w:hyperlink r:id="rId23">
        <w:r>
          <w:rPr>
            <w:rStyle w:val="Hyperlink"/>
          </w:rPr>
          <w:t xml:space="preserve">[17]</w:t>
        </w:r>
      </w:hyperlink>
    </w:p>
    <w:p>
      <w:pPr>
        <w:pStyle w:val="BodyText"/>
      </w:pPr>
      <w:r>
        <w:rPr>
          <w:b/>
          <w:bCs/>
        </w:rPr>
        <w:t xml:space="preserve">Chemokines</w:t>
      </w:r>
      <w:r>
        <w:t xml:space="preserve"> </w:t>
      </w:r>
      <w:r>
        <w:t xml:space="preserve">primarily encode cellular traffic;</w:t>
      </w:r>
      <w:r>
        <w:t xml:space="preserve"> </w:t>
      </w:r>
      <w:r>
        <w:rPr>
          <w:b/>
          <w:bCs/>
        </w:rPr>
        <w:t xml:space="preserve">prostaglandins</w:t>
      </w:r>
      <w:r>
        <w:t xml:space="preserve"> </w:t>
      </w:r>
      <w:r>
        <w:t xml:space="preserve">contribute to fever, pain and vascular changes;</w:t>
      </w:r>
      <w:r>
        <w:t xml:space="preserve"> </w:t>
      </w:r>
      <w:r>
        <w:rPr>
          <w:b/>
          <w:bCs/>
        </w:rPr>
        <w:t xml:space="preserve">leukotrienes</w:t>
      </w:r>
      <w:r>
        <w:t xml:space="preserve"> </w:t>
      </w:r>
      <w:r>
        <w:t xml:space="preserve">participate in leukocyte recruitment and bronchial biology;</w:t>
      </w:r>
      <w:r>
        <w:t xml:space="preserve"> </w:t>
      </w:r>
      <w:r>
        <w:rPr>
          <w:b/>
          <w:bCs/>
        </w:rPr>
        <w:t xml:space="preserve">histamine</w:t>
      </w:r>
      <w:r>
        <w:t xml:space="preserve"> </w:t>
      </w:r>
      <w:r>
        <w:t xml:space="preserve">rapidly increases permeability and contributes to itch, oedema and bronchoconstriction;</w:t>
      </w:r>
      <w:r>
        <w:t xml:space="preserve"> </w:t>
      </w:r>
      <w:r>
        <w:rPr>
          <w:b/>
          <w:bCs/>
        </w:rPr>
        <w:t xml:space="preserve">bradykinin</w:t>
      </w:r>
      <w:r>
        <w:t xml:space="preserve"> </w:t>
      </w:r>
      <w:r>
        <w:t xml:space="preserve">mediates pain, vasodilation and permeability;</w:t>
      </w:r>
      <w:r>
        <w:t xml:space="preserve"> </w:t>
      </w:r>
      <w:r>
        <w:rPr>
          <w:b/>
          <w:bCs/>
        </w:rPr>
        <w:t xml:space="preserve">complement</w:t>
      </w:r>
      <w:r>
        <w:t xml:space="preserve"> </w:t>
      </w:r>
      <w:r>
        <w:t xml:space="preserve">supplies opsonisation, anaphylatoxins and membrane attack;</w:t>
      </w:r>
      <w:r>
        <w:t xml:space="preserve"> </w:t>
      </w:r>
      <w:r>
        <w:rPr>
          <w:b/>
          <w:bCs/>
        </w:rPr>
        <w:t xml:space="preserve">reactive oxygen species</w:t>
      </w:r>
      <w:r>
        <w:t xml:space="preserve"> </w:t>
      </w:r>
      <w:r>
        <w:t xml:space="preserve">and</w:t>
      </w:r>
      <w:r>
        <w:t xml:space="preserve"> </w:t>
      </w:r>
      <w:r>
        <w:rPr>
          <w:b/>
          <w:bCs/>
        </w:rPr>
        <w:t xml:space="preserve">nitric oxide</w:t>
      </w:r>
      <w:r>
        <w:t xml:space="preserve"> </w:t>
      </w:r>
      <w:r>
        <w:t xml:space="preserve">can kill microbes and transmit signals but can also damage host tissue when excessive. Acute-phase proteins represent a systemic hepatic reallocation of physiology toward host defence, coagulation and iron sequestration rather than being interchangeable “inflammation chemicals.” Experimental human infection demonstrates coordinated CRP, ferritin/hepcidin and iron redistribution rather than a single-marker response.</w:t>
      </w:r>
      <w:r>
        <w:t xml:space="preserve"> </w:t>
      </w:r>
      <w:hyperlink r:id="rId24">
        <w:r>
          <w:rPr>
            <w:rStyle w:val="Hyperlink"/>
          </w:rPr>
          <w:t xml:space="preserve">[18]</w:t>
        </w:r>
      </w:hyperlink>
    </w:p>
    <w:p>
      <w:pPr>
        <w:pStyle w:val="BodyText"/>
      </w:pPr>
      <w:r>
        <w:t xml:space="preserve">The tissue matters. A joint can contain an intensely cytokine-rich inflamed synovium while blood markers remain modest. Active intestinal mucosal disease may be much better reflected by faecal calprotectin than by CRP; in a prospective IBD cohort, faecal calprotectin had substantially better accuracy for endoscopic ulcerative colitis activity than CRP. The liver is simultaneously a potential inflammatory organ and the factory for many systemic acute-phase markers. Periodontal tissue can sustain a relatively small but chronically active biofilm-associated inflammatory niche. Muscle can release IL-6 during metabolically healthy exercise. CNS “neuroinflammation” principally concerns microglial, astrocytic, vascular and infiltrating immune processes behind specialised barriers; it should not be diagnosed from a peripheral CRP or IL-6 result. An experimental IFN-α challenge increased circulating IL-6 and CRP dramatically without a corresponding robust change in TSPO-PET evidence of microglial activation, illustrating the compartment problem.</w:t>
      </w:r>
      <w:r>
        <w:t xml:space="preserve"> </w:t>
      </w:r>
      <w:hyperlink r:id="rId25">
        <w:r>
          <w:rPr>
            <w:rStyle w:val="Hyperlink"/>
          </w:rPr>
          <w:t xml:space="preserve">[19]</w:t>
        </w:r>
      </w:hyperlink>
    </w:p>
    <w:p>
      <w:pPr>
        <w:pStyle w:val="BodyText"/>
      </w:pPr>
      <w:r>
        <w:rPr>
          <w:b/>
          <w:bCs/>
        </w:rPr>
        <w:t xml:space="preserve">Part III — Major biological classes of inflammation.</w:t>
      </w:r>
      <w:r>
        <w:t xml:space="preserve"> </w:t>
      </w:r>
      <w:r>
        <w:t xml:space="preserve">A clinically useful taxonomy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Initiating logic</w:t>
            </w:r>
          </w:p>
        </w:tc>
        <w:tc>
          <w:tcPr/>
          <w:p>
            <w:pPr>
              <w:pStyle w:val="Compact"/>
            </w:pPr>
            <w:r>
              <w:t xml:space="preserve">Characteristic biology</w:t>
            </w:r>
          </w:p>
        </w:tc>
      </w:tr>
      <w:tr>
        <w:tc>
          <w:tcPr/>
          <w:p>
            <w:pPr>
              <w:pStyle w:val="Compact"/>
            </w:pPr>
            <w:r>
              <w:rPr>
                <w:b/>
                <w:bCs/>
              </w:rPr>
              <w:t xml:space="preserve">Infectious</w:t>
            </w:r>
          </w:p>
        </w:tc>
        <w:tc>
          <w:tcPr/>
          <w:p>
            <w:pPr>
              <w:pStyle w:val="Compact"/>
            </w:pPr>
            <w:r>
              <w:t xml:space="preserve">Microbial PAMPs</w:t>
            </w:r>
          </w:p>
        </w:tc>
        <w:tc>
          <w:tcPr/>
          <w:p>
            <w:pPr>
              <w:pStyle w:val="Compact"/>
            </w:pPr>
            <w:r>
              <w:t xml:space="preserve">PRR sensing, complement, innate activation, then pathogen-specific adaptive immunity</w:t>
            </w:r>
          </w:p>
        </w:tc>
      </w:tr>
      <w:tr>
        <w:tc>
          <w:tcPr/>
          <w:p>
            <w:pPr>
              <w:pStyle w:val="Compact"/>
            </w:pPr>
            <w:r>
              <w:rPr>
                <w:b/>
                <w:bCs/>
              </w:rPr>
              <w:t xml:space="preserve">Sterile tissue injury</w:t>
            </w:r>
          </w:p>
        </w:tc>
        <w:tc>
          <w:tcPr/>
          <w:p>
            <w:pPr>
              <w:pStyle w:val="Compact"/>
            </w:pPr>
            <w:r>
              <w:t xml:space="preserve">Necrosis, trauma, ischaemia, surgery, crystals</w:t>
            </w:r>
          </w:p>
        </w:tc>
        <w:tc>
          <w:tcPr/>
          <w:p>
            <w:pPr>
              <w:pStyle w:val="Compact"/>
            </w:pPr>
            <w:r>
              <w:t xml:space="preserve">DAMP sensing, complement/inflammasomes, neutrophils/macrophages without an infectious pathogen</w:t>
            </w:r>
          </w:p>
        </w:tc>
      </w:tr>
      <w:tr>
        <w:tc>
          <w:tcPr/>
          <w:p>
            <w:pPr>
              <w:pStyle w:val="Compact"/>
            </w:pPr>
            <w:r>
              <w:rPr>
                <w:b/>
                <w:bCs/>
              </w:rPr>
              <w:t xml:space="preserve">Autoimmune</w:t>
            </w:r>
          </w:p>
        </w:tc>
        <w:tc>
          <w:tcPr/>
          <w:p>
            <w:pPr>
              <w:pStyle w:val="Compact"/>
            </w:pPr>
            <w:r>
              <w:t xml:space="preserve">Adaptive immunity recognises self-antigens</w:t>
            </w:r>
          </w:p>
        </w:tc>
        <w:tc>
          <w:tcPr/>
          <w:p>
            <w:pPr>
              <w:pStyle w:val="Compact"/>
            </w:pPr>
            <w:r>
              <w:t xml:space="preserve">Autoreactive T cells, autoantibodies, immune complexes and secondary innate activation</w:t>
            </w:r>
          </w:p>
        </w:tc>
      </w:tr>
      <w:tr>
        <w:tc>
          <w:tcPr/>
          <w:p>
            <w:pPr>
              <w:pStyle w:val="Compact"/>
            </w:pPr>
            <w:r>
              <w:rPr>
                <w:b/>
                <w:bCs/>
              </w:rPr>
              <w:t xml:space="preserve">Autoinflammatory</w:t>
            </w:r>
          </w:p>
        </w:tc>
        <w:tc>
          <w:tcPr/>
          <w:p>
            <w:pPr>
              <w:pStyle w:val="Compact"/>
            </w:pPr>
            <w:r>
              <w:t xml:space="preserve">Dysregulated innate pathways</w:t>
            </w:r>
          </w:p>
        </w:tc>
        <w:tc>
          <w:tcPr/>
          <w:p>
            <w:pPr>
              <w:pStyle w:val="Compact"/>
            </w:pPr>
            <w:r>
              <w:t xml:space="preserve">Inflammasome/IL-1 and related innate circuits, sometimes due to monogenic variants</w:t>
            </w:r>
          </w:p>
        </w:tc>
      </w:tr>
      <w:tr>
        <w:tc>
          <w:tcPr/>
          <w:p>
            <w:pPr>
              <w:pStyle w:val="Compact"/>
            </w:pPr>
            <w:r>
              <w:rPr>
                <w:b/>
                <w:bCs/>
              </w:rPr>
              <w:t xml:space="preserve">Metabolic</w:t>
            </w:r>
          </w:p>
        </w:tc>
        <w:tc>
          <w:tcPr/>
          <w:p>
            <w:pPr>
              <w:pStyle w:val="Compact"/>
            </w:pPr>
            <w:r>
              <w:t xml:space="preserve">Nutrient/energy surplus, adipocyte stress, ectopic lipid</w:t>
            </w:r>
          </w:p>
        </w:tc>
        <w:tc>
          <w:tcPr/>
          <w:p>
            <w:pPr>
              <w:pStyle w:val="Compact"/>
            </w:pPr>
            <w:r>
              <w:t xml:space="preserve">Macrophage-rich immunometabolic signalling, IL-1/TNF/IL-6, insulin resistance</w:t>
            </w:r>
          </w:p>
        </w:tc>
      </w:tr>
      <w:tr>
        <w:tc>
          <w:tcPr/>
          <w:p>
            <w:pPr>
              <w:pStyle w:val="Compact"/>
            </w:pPr>
            <w:r>
              <w:rPr>
                <w:b/>
                <w:bCs/>
              </w:rPr>
              <w:t xml:space="preserve">Mucosal</w:t>
            </w:r>
          </w:p>
        </w:tc>
        <w:tc>
          <w:tcPr/>
          <w:p>
            <w:pPr>
              <w:pStyle w:val="Compact"/>
            </w:pPr>
            <w:r>
              <w:t xml:space="preserve">Barrier injury, microbes and antigen at epithelial interfaces</w:t>
            </w:r>
          </w:p>
        </w:tc>
        <w:tc>
          <w:tcPr/>
          <w:p>
            <w:pPr>
              <w:pStyle w:val="Compact"/>
            </w:pPr>
            <w:r>
              <w:t xml:space="preserve">Epithelial, innate and adaptive immune programmes; particularly relevant in IBD</w:t>
            </w:r>
          </w:p>
        </w:tc>
      </w:tr>
      <w:tr>
        <w:tc>
          <w:tcPr/>
          <w:p>
            <w:pPr>
              <w:pStyle w:val="Compact"/>
            </w:pPr>
            <w:r>
              <w:rPr>
                <w:b/>
                <w:bCs/>
              </w:rPr>
              <w:t xml:space="preserve">Allergic/type-2</w:t>
            </w:r>
          </w:p>
        </w:tc>
        <w:tc>
          <w:tcPr/>
          <w:p>
            <w:pPr>
              <w:pStyle w:val="Compact"/>
            </w:pPr>
            <w:r>
              <w:t xml:space="preserve">Allergens, IgE or epithelial type-2 signals</w:t>
            </w:r>
          </w:p>
        </w:tc>
        <w:tc>
          <w:tcPr/>
          <w:p>
            <w:pPr>
              <w:pStyle w:val="Compact"/>
            </w:pPr>
            <w:r>
              <w:t xml:space="preserve">Mast cells, eosinophils, basophils, IL-4/IL-5/IL-13; CRP can be normal</w:t>
            </w:r>
          </w:p>
        </w:tc>
      </w:tr>
      <w:tr>
        <w:tc>
          <w:tcPr/>
          <w:p>
            <w:pPr>
              <w:pStyle w:val="Compact"/>
            </w:pPr>
            <w:r>
              <w:rPr>
                <w:b/>
                <w:bCs/>
              </w:rPr>
              <w:t xml:space="preserve">Vascular</w:t>
            </w:r>
          </w:p>
        </w:tc>
        <w:tc>
          <w:tcPr/>
          <w:p>
            <w:pPr>
              <w:pStyle w:val="Compact"/>
            </w:pPr>
            <w:r>
              <w:t xml:space="preserve">Modified lipoproteins, endothelial injury and plaque biology</w:t>
            </w:r>
          </w:p>
        </w:tc>
        <w:tc>
          <w:tcPr/>
          <w:p>
            <w:pPr>
              <w:pStyle w:val="Compact"/>
            </w:pPr>
            <w:r>
              <w:t xml:space="preserve">Monocyte recruitment, macrophages, inflammasomes, thrombosis; causality supported by anti-inflammatory CV trials</w:t>
            </w:r>
          </w:p>
        </w:tc>
      </w:tr>
      <w:tr>
        <w:tc>
          <w:tcPr/>
          <w:p>
            <w:pPr>
              <w:pStyle w:val="Compact"/>
            </w:pPr>
            <w:r>
              <w:rPr>
                <w:b/>
                <w:bCs/>
              </w:rPr>
              <w:t xml:space="preserve">Malignancy-associated</w:t>
            </w:r>
          </w:p>
        </w:tc>
        <w:tc>
          <w:tcPr/>
          <w:p>
            <w:pPr>
              <w:pStyle w:val="Compact"/>
            </w:pPr>
            <w:r>
              <w:t xml:space="preserve">Tumour-cell death, immune recognition, tumour cytokines, obstruction/infection</w:t>
            </w:r>
          </w:p>
        </w:tc>
        <w:tc>
          <w:tcPr/>
          <w:p>
            <w:pPr>
              <w:pStyle w:val="Compact"/>
            </w:pPr>
            <w:r>
              <w:t xml:space="preserve">Variable local/systemic cytokine and acute-phase response</w:t>
            </w:r>
          </w:p>
        </w:tc>
      </w:tr>
      <w:tr>
        <w:tc>
          <w:tcPr/>
          <w:p>
            <w:pPr>
              <w:pStyle w:val="Compact"/>
            </w:pPr>
            <w:r>
              <w:rPr>
                <w:b/>
                <w:bCs/>
              </w:rPr>
              <w:t xml:space="preserve">Neuroinflammatory</w:t>
            </w:r>
          </w:p>
        </w:tc>
        <w:tc>
          <w:tcPr/>
          <w:p>
            <w:pPr>
              <w:pStyle w:val="Compact"/>
            </w:pPr>
            <w:r>
              <w:t xml:space="preserve">CNS-specific immune activation</w:t>
            </w:r>
          </w:p>
        </w:tc>
        <w:tc>
          <w:tcPr/>
          <w:p>
            <w:pPr>
              <w:pStyle w:val="Compact"/>
            </w:pPr>
            <w:r>
              <w:t xml:space="preserve">Microglia/astrocytes, BBB and infiltrating cells; peripheral blood is an indirect window</w:t>
            </w:r>
          </w:p>
        </w:tc>
      </w:tr>
    </w:tbl>
    <w:p>
      <w:pPr>
        <w:pStyle w:val="BodyText"/>
      </w:pPr>
      <w:r>
        <w:t xml:space="preserve">Crystal-triggered gout is an especially clear example of sterile inflammation: monosodium urate crystals can activate NLRP3-caspase-1 biology and IL-1β without infection. Conversely, monogenic NLRP3 disorders demonstrate that a highly inflammatory phenotype can arise from dysregulated innate sensing without either infection or conventional autoantibodies.</w:t>
      </w:r>
      <w:r>
        <w:t xml:space="preserve"> </w:t>
      </w:r>
      <w:hyperlink r:id="rId26">
        <w:r>
          <w:rPr>
            <w:rStyle w:val="Hyperlink"/>
          </w:rPr>
          <w:t xml:space="preserve">[20]</w:t>
        </w:r>
      </w:hyperlink>
    </w:p>
    <w:p>
      <w:pPr>
        <w:pStyle w:val="BodyText"/>
      </w:pPr>
      <w:r>
        <w:rPr>
          <w:b/>
          <w:bCs/>
        </w:rPr>
        <w:t xml:space="preserve">Part XI — Autoimmune versus autoinflammatory inflammation.</w:t>
      </w:r>
      <w:r>
        <w:t xml:space="preserve"> </w:t>
      </w:r>
      <w:r>
        <w:t xml:space="preserve">Autoimmunity is fundamentally an</w:t>
      </w:r>
      <w:r>
        <w:t xml:space="preserve"> </w:t>
      </w:r>
      <w:r>
        <w:rPr>
          <w:b/>
          <w:bCs/>
        </w:rPr>
        <w:t xml:space="preserve">adaptive immune targeting problem</w:t>
      </w:r>
      <w:r>
        <w:t xml:space="preserve">—self-reactive antibodies or lymphocytes expand against host antigens. Autoinflammatory disease is more fundamentally an</w:t>
      </w:r>
      <w:r>
        <w:t xml:space="preserve"> </w:t>
      </w:r>
      <w:r>
        <w:rPr>
          <w:b/>
          <w:bCs/>
        </w:rPr>
        <w:t xml:space="preserve">innate inflammatory regulation problem</w:t>
      </w:r>
      <w:r>
        <w:t xml:space="preserve">, exemplified by cryopyrin-associated periodic syndromes driven by NLRP3 variants and their marked responsiveness to IL-1 blockade. In practice the categories overlap; innate activation facilitates antigen presentation and tissue damage, while adaptive immune complexes activate complement and Fc receptors. Therefore, a positive ANA does not establish that elevated CRP is autoimmune, and normal autoantibodies do not exclude autoinflammatory disease.</w:t>
      </w:r>
      <w:r>
        <w:t xml:space="preserve"> </w:t>
      </w:r>
      <w:hyperlink r:id="rId27">
        <w:r>
          <w:rPr>
            <w:rStyle w:val="Hyperlink"/>
          </w:rPr>
          <w:t xml:space="preserve">[21]</w:t>
        </w:r>
      </w:hyperlink>
    </w:p>
    <w:p>
      <w:pPr>
        <w:pStyle w:val="BodyText"/>
      </w:pPr>
      <w:r>
        <w:rPr>
          <w:b/>
          <w:bCs/>
        </w:rPr>
        <w:t xml:space="preserve">Part V — The inflammation source map.</w:t>
      </w:r>
      <w:r>
        <w:t xml:space="preserve"> </w:t>
      </w:r>
      <w:r>
        <w:t xml:space="preserve">Almost every inflammatory signal can be located somewhere along the following causal chain:</w:t>
      </w:r>
    </w:p>
    <w:p>
      <w:pPr>
        <w:pStyle w:val="BodyText"/>
      </w:pPr>
      <w:r>
        <w:rPr>
          <w:b/>
          <w:bCs/>
        </w:rPr>
        <w:t xml:space="preserve">Initiating stimulus</w:t>
      </w:r>
      <w:r>
        <w:br/>
      </w:r>
      <w:r>
        <w:t xml:space="preserve">PAMP / DAMP / allergen / immune complex / self-antigen / crystal / metabolic stress / tumour signal</w:t>
      </w:r>
      <w:r>
        <w:br/>
      </w:r>
      <w:r>
        <w:t xml:space="preserve">↓</w:t>
      </w:r>
      <w:r>
        <w:br/>
      </w:r>
      <w:r>
        <w:rPr>
          <w:b/>
          <w:bCs/>
        </w:rPr>
        <w:t xml:space="preserve">Tissue sensing</w:t>
      </w:r>
      <w:r>
        <w:br/>
      </w:r>
      <w:r>
        <w:t xml:space="preserve">TLRs and other PRRs / NOD-like receptors / NLRP3 / RIG-I-like RNA sensors / cGAS-STING DNA sensing / complement / Fc receptors / antigen presentation</w:t>
      </w:r>
      <w:r>
        <w:br/>
      </w:r>
      <w:r>
        <w:t xml:space="preserve">↓</w:t>
      </w:r>
      <w:r>
        <w:br/>
      </w:r>
      <w:r>
        <w:rPr>
          <w:b/>
          <w:bCs/>
        </w:rPr>
        <w:t xml:space="preserve">Intracellular programme</w:t>
      </w:r>
      <w:r>
        <w:br/>
      </w:r>
      <w:r>
        <w:t xml:space="preserve">NF-κB, AP-1, IRFs, inflammasomes, stress signalling</w:t>
      </w:r>
      <w:r>
        <w:br/>
      </w:r>
      <w:r>
        <w:t xml:space="preserve">↓</w:t>
      </w:r>
      <w:r>
        <w:br/>
      </w:r>
      <w:r>
        <w:rPr>
          <w:b/>
          <w:bCs/>
        </w:rPr>
        <w:t xml:space="preserve">Mediator production</w:t>
      </w:r>
      <w:r>
        <w:br/>
      </w:r>
      <w:r>
        <w:t xml:space="preserve">TNF, IL-1β, IL-6, interferons, chemokines, prostaglandins, leukotrienes, ROS, NO</w:t>
      </w:r>
      <w:r>
        <w:br/>
      </w:r>
      <w:r>
        <w:t xml:space="preserve">↓</w:t>
      </w:r>
      <w:r>
        <w:br/>
      </w:r>
      <w:r>
        <w:rPr>
          <w:b/>
          <w:bCs/>
        </w:rPr>
        <w:t xml:space="preserve">Local tissue response</w:t>
      </w:r>
      <w:r>
        <w:br/>
      </w:r>
      <w:r>
        <w:t xml:space="preserve">vasodilation + permeability + leukocyte recruitment + antimicrobial activity + tissue injury/repair</w:t>
      </w:r>
      <w:r>
        <w:br/>
      </w:r>
      <w:r>
        <w:t xml:space="preserve">↓</w:t>
      </w:r>
      <w:r>
        <w:br/>
      </w:r>
      <w:r>
        <w:rPr>
          <w:b/>
          <w:bCs/>
        </w:rPr>
        <w:t xml:space="preserve">Systemic spillover</w:t>
      </w:r>
      <w:r>
        <w:br/>
      </w:r>
      <w:r>
        <w:t xml:space="preserve">circulating cytokines, activated leukocytes, endothelial and neuroendocrine signals</w:t>
      </w:r>
      <w:r>
        <w:br/>
      </w:r>
      <w:r>
        <w:t xml:space="preserve">↓</w:t>
      </w:r>
      <w:r>
        <w:br/>
      </w:r>
      <w:r>
        <w:rPr>
          <w:b/>
          <w:bCs/>
        </w:rPr>
        <w:t xml:space="preserve">Liver acute-phase response</w:t>
      </w:r>
      <w:r>
        <w:br/>
      </w:r>
      <w:r>
        <w:t xml:space="preserve">CRP + SAA + fibrinogen + hepcidin and accompanying albumin/iron changes</w:t>
      </w:r>
      <w:r>
        <w:br/>
      </w:r>
      <w:r>
        <w:t xml:space="preserve">↓</w:t>
      </w:r>
      <w:r>
        <w:br/>
      </w:r>
      <w:r>
        <w:rPr>
          <w:b/>
          <w:bCs/>
        </w:rPr>
        <w:t xml:space="preserve">Blood biomarkers</w:t>
      </w:r>
      <w:r>
        <w:br/>
      </w:r>
      <w:r>
        <w:t xml:space="preserve">↓</w:t>
      </w:r>
      <w:r>
        <w:br/>
      </w:r>
      <w:r>
        <w:rPr>
          <w:b/>
          <w:bCs/>
        </w:rPr>
        <w:t xml:space="preserve">Resolution</w:t>
      </w:r>
      <w:r>
        <w:t xml:space="preserve"> </w:t>
      </w:r>
      <w:r>
        <w:t xml:space="preserve">or</w:t>
      </w:r>
      <w:r>
        <w:t xml:space="preserve"> </w:t>
      </w:r>
      <w:r>
        <w:rPr>
          <w:b/>
          <w:bCs/>
        </w:rPr>
        <w:t xml:space="preserve">continued feed-forward inflammation</w:t>
      </w:r>
    </w:p>
    <w:p>
      <w:pPr>
        <w:pStyle w:val="BodyText"/>
      </w:pPr>
      <w:r>
        <w:t xml:space="preserve">Cytosolic DNA sensing through cGAS-STING and inflammasome pathways illustrate why sterile tissue damage can imitate infection at the cytokine level: endogenous material appears in an inappropriate cellular compartment and activates pathways that evolved for danger recognition. Trained innate immunity further means that the magnitude of a later inflammatory response can depend on the immune system’s preceding exposures rather than only the current stimulus.</w:t>
      </w:r>
      <w:r>
        <w:t xml:space="preserve"> </w:t>
      </w:r>
      <w:hyperlink r:id="rId28">
        <w:r>
          <w:rPr>
            <w:rStyle w:val="Hyperlink"/>
          </w:rPr>
          <w:t xml:space="preserve">[22]</w:t>
        </w:r>
      </w:hyperlink>
    </w:p>
    <w:p>
      <w:pPr>
        <w:pStyle w:val="BodyText"/>
      </w:pPr>
      <w:r>
        <w:t xml:space="preserve">This convergence explains one of the most important diagnostic principles in the entire subject:</w:t>
      </w:r>
      <w:r>
        <w:t xml:space="preserve"> </w:t>
      </w:r>
      <w:r>
        <w:rPr>
          <w:b/>
          <w:bCs/>
        </w:rPr>
        <w:t xml:space="preserve">the further downstream a marker sits, the less anatomical information it usually carries.</w:t>
      </w:r>
      <w:r>
        <w:t xml:space="preserve"> </w:t>
      </w:r>
      <w:r>
        <w:t xml:space="preserve">CRP is highly useful for detecting and following an acute-phase response precisely because many upstream signals converge on it; that same convergence is what makes CRP poor at identifying the source.</w:t>
      </w:r>
      <w:r>
        <w:t xml:space="preserve"> </w:t>
      </w:r>
      <w:hyperlink r:id="rId10">
        <w:r>
          <w:rPr>
            <w:rStyle w:val="Hyperlink"/>
          </w:rPr>
          <w:t xml:space="preserve">[5]</w:t>
        </w:r>
      </w:hyperlink>
    </w:p>
    <w:p>
      <w:pPr>
        <w:pStyle w:val="BodyText"/>
      </w:pPr>
      <w:r>
        <w:rPr>
          <w:b/>
          <w:bCs/>
        </w:rPr>
        <w:t xml:space="preserve">Part V — Why inflammation becomes chronic.</w:t>
      </w:r>
      <w:r>
        <w:t xml:space="preserve"> </w:t>
      </w:r>
      <w:r>
        <w:t xml:space="preserve">Persistence can arise through several qualitatively different mechanisms: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Persistence mechanism</w:t>
            </w:r>
          </w:p>
        </w:tc>
        <w:tc>
          <w:tcPr/>
          <w:p>
            <w:pPr>
              <w:pStyle w:val="Compact"/>
            </w:pPr>
            <w:r>
              <w:t xml:space="preserve">Biological loop</w:t>
            </w:r>
          </w:p>
        </w:tc>
        <w:tc>
          <w:tcPr/>
          <w:p>
            <w:pPr>
              <w:pStyle w:val="Compact"/>
            </w:pPr>
            <w:r>
              <w:t xml:space="preserve">Human evidence</w:t>
            </w:r>
          </w:p>
        </w:tc>
      </w:tr>
      <w:tr>
        <w:tc>
          <w:tcPr/>
          <w:p>
            <w:pPr>
              <w:pStyle w:val="Compact"/>
            </w:pPr>
            <w:r>
              <w:t xml:space="preserve">Persistent pathogen/antigen</w:t>
            </w:r>
          </w:p>
        </w:tc>
        <w:tc>
          <w:tcPr/>
          <w:p>
            <w:pPr>
              <w:pStyle w:val="Compact"/>
            </w:pPr>
            <w:r>
              <w:t xml:space="preserve">stimulus never disappears → continuing innate/adaptive activation</w:t>
            </w:r>
          </w:p>
        </w:tc>
        <w:tc>
          <w:tcPr/>
          <w:p>
            <w:pPr>
              <w:pStyle w:val="Compact"/>
            </w:pPr>
            <w:r>
              <w:rPr>
                <w:b/>
                <w:bCs/>
              </w:rPr>
              <w:t xml:space="preserve">A, causal</w:t>
            </w:r>
            <w:r>
              <w:t xml:space="preserve"> </w:t>
            </w:r>
            <w:r>
              <w:t xml:space="preserve">in chronic infections/inflammatory disease</w:t>
            </w:r>
          </w:p>
        </w:tc>
      </w:tr>
      <w:tr>
        <w:tc>
          <w:tcPr/>
          <w:p>
            <w:pPr>
              <w:pStyle w:val="Compact"/>
            </w:pPr>
            <w:r>
              <w:t xml:space="preserve">Autoimmunity</w:t>
            </w:r>
          </w:p>
        </w:tc>
        <w:tc>
          <w:tcPr/>
          <w:p>
            <w:pPr>
              <w:pStyle w:val="Compact"/>
            </w:pPr>
            <w:r>
              <w:t xml:space="preserve">tissue damage → antigen exposure → T/B-cell responses → further damage</w:t>
            </w:r>
          </w:p>
        </w:tc>
        <w:tc>
          <w:tcPr/>
          <w:p>
            <w:pPr>
              <w:pStyle w:val="Compact"/>
            </w:pPr>
            <w:r>
              <w:rPr>
                <w:b/>
                <w:bCs/>
              </w:rPr>
              <w:t xml:space="preserve">A/B, causal</w:t>
            </w:r>
            <w:r>
              <w:t xml:space="preserve"> </w:t>
            </w:r>
            <w:r>
              <w:t xml:space="preserve">disease-specific</w:t>
            </w:r>
          </w:p>
        </w:tc>
      </w:tr>
      <w:tr>
        <w:tc>
          <w:tcPr/>
          <w:p>
            <w:pPr>
              <w:pStyle w:val="Compact"/>
            </w:pPr>
            <w:r>
              <w:t xml:space="preserve">Recurrent DAMP production</w:t>
            </w:r>
          </w:p>
        </w:tc>
        <w:tc>
          <w:tcPr/>
          <w:p>
            <w:pPr>
              <w:pStyle w:val="Compact"/>
            </w:pPr>
            <w:r>
              <w:t xml:space="preserve">damage → DAMPs → innate activation → additional damage</w:t>
            </w:r>
          </w:p>
        </w:tc>
        <w:tc>
          <w:tcPr/>
          <w:p>
            <w:pPr>
              <w:pStyle w:val="Compact"/>
            </w:pPr>
            <w:r>
              <w:rPr>
                <w:b/>
                <w:bCs/>
              </w:rPr>
              <w:t xml:space="preserve">B, likely causal</w:t>
            </w:r>
          </w:p>
        </w:tc>
      </w:tr>
      <w:tr>
        <w:tc>
          <w:tcPr/>
          <w:p>
            <w:pPr>
              <w:pStyle w:val="Compact"/>
            </w:pPr>
            <w:r>
              <w:t xml:space="preserve">Metabolic feed-forward signalling</w:t>
            </w:r>
          </w:p>
        </w:tc>
        <w:tc>
          <w:tcPr/>
          <w:p>
            <w:pPr>
              <w:pStyle w:val="Compact"/>
            </w:pPr>
            <w:r>
              <w:t xml:space="preserve">adipocyte/lipid stress → macrophages/cytokines → insulin resistance → further metabolic stress</w:t>
            </w:r>
          </w:p>
        </w:tc>
        <w:tc>
          <w:tcPr/>
          <w:p>
            <w:pPr>
              <w:pStyle w:val="Compact"/>
            </w:pPr>
            <w:r>
              <w:rPr>
                <w:b/>
                <w:bCs/>
              </w:rPr>
              <w:t xml:space="preserve">A/B, likely causal</w:t>
            </w:r>
            <w:r>
              <w:t xml:space="preserve"> </w:t>
            </w:r>
            <w:hyperlink r:id="rId13">
              <w:r>
                <w:rPr>
                  <w:rStyle w:val="Hyperlink"/>
                </w:rPr>
                <w:t xml:space="preserve">[23]</w:t>
              </w:r>
            </w:hyperlink>
          </w:p>
        </w:tc>
      </w:tr>
      <w:tr>
        <w:tc>
          <w:tcPr/>
          <w:p>
            <w:pPr>
              <w:pStyle w:val="Compact"/>
            </w:pPr>
            <w:r>
              <w:t xml:space="preserve">Trained innate immunity</w:t>
            </w:r>
          </w:p>
        </w:tc>
        <w:tc>
          <w:tcPr/>
          <w:p>
            <w:pPr>
              <w:pStyle w:val="Compact"/>
            </w:pPr>
            <w:r>
              <w:t xml:space="preserve">epigenetic/metabolic reprogramming → exaggerated subsequent innate responses</w:t>
            </w:r>
          </w:p>
        </w:tc>
        <w:tc>
          <w:tcPr/>
          <w:p>
            <w:pPr>
              <w:pStyle w:val="Compact"/>
            </w:pPr>
            <w:r>
              <w:rPr>
                <w:b/>
                <w:bCs/>
              </w:rPr>
              <w:t xml:space="preserve">B for existence; C for generic chronic-CRP causation</w:t>
            </w:r>
            <w:r>
              <w:t xml:space="preserve"> </w:t>
            </w:r>
            <w:hyperlink r:id="rId17">
              <w:r>
                <w:rPr>
                  <w:rStyle w:val="Hyperlink"/>
                </w:rPr>
                <w:t xml:space="preserve">[10]</w:t>
              </w:r>
            </w:hyperlink>
          </w:p>
        </w:tc>
      </w:tr>
      <w:tr>
        <w:tc>
          <w:tcPr/>
          <w:p>
            <w:pPr>
              <w:pStyle w:val="Compact"/>
            </w:pPr>
            <w:r>
              <w:t xml:space="preserve">Persistent inflammasome activation</w:t>
            </w:r>
          </w:p>
        </w:tc>
        <w:tc>
          <w:tcPr/>
          <w:p>
            <w:pPr>
              <w:pStyle w:val="Compact"/>
            </w:pPr>
            <w:r>
              <w:t xml:space="preserve">crystals/metabolic/DAMP signals → IL-1 family output</w:t>
            </w:r>
          </w:p>
        </w:tc>
        <w:tc>
          <w:tcPr/>
          <w:p>
            <w:pPr>
              <w:pStyle w:val="Compact"/>
            </w:pPr>
            <w:r>
              <w:rPr>
                <w:b/>
                <w:bCs/>
              </w:rPr>
              <w:t xml:space="preserve">A in specific diseases; C/D when generalised broadly</w:t>
            </w:r>
            <w:r>
              <w:t xml:space="preserve"> </w:t>
            </w:r>
            <w:hyperlink r:id="rId26">
              <w:r>
                <w:rPr>
                  <w:rStyle w:val="Hyperlink"/>
                </w:rPr>
                <w:t xml:space="preserve">[24]</w:t>
              </w:r>
            </w:hyperlink>
          </w:p>
        </w:tc>
      </w:tr>
      <w:tr>
        <w:tc>
          <w:tcPr/>
          <w:p>
            <w:pPr>
              <w:pStyle w:val="Compact"/>
            </w:pPr>
            <w:r>
              <w:t xml:space="preserve">Cellular senescence/SASP</w:t>
            </w:r>
          </w:p>
        </w:tc>
        <w:tc>
          <w:tcPr/>
          <w:p>
            <w:pPr>
              <w:pStyle w:val="Compact"/>
            </w:pPr>
            <w:r>
              <w:t xml:space="preserve">senescent cells release IL-6/IL-1-family/chemokine signals → local tissue dysfunction</w:t>
            </w:r>
          </w:p>
        </w:tc>
        <w:tc>
          <w:tcPr/>
          <w:p>
            <w:pPr>
              <w:pStyle w:val="Compact"/>
            </w:pPr>
            <w:r>
              <w:rPr>
                <w:b/>
                <w:bCs/>
              </w:rPr>
              <w:t xml:space="preserve">C/D clinically</w:t>
            </w:r>
            <w:r>
              <w:t xml:space="preserve">; a very small human senolytic trial altered senescence/SASP markers but does not establish routine treatment.</w:t>
            </w:r>
            <w:r>
              <w:t xml:space="preserve"> </w:t>
            </w:r>
            <w:hyperlink r:id="rId29">
              <w:r>
                <w:rPr>
                  <w:rStyle w:val="Hyperlink"/>
                </w:rPr>
                <w:t xml:space="preserve">[25]</w:t>
              </w:r>
            </w:hyperlink>
          </w:p>
        </w:tc>
      </w:tr>
      <w:tr>
        <w:tc>
          <w:tcPr/>
          <w:p>
            <w:pPr>
              <w:pStyle w:val="Compact"/>
            </w:pPr>
            <w:r>
              <w:t xml:space="preserve">Impaired efferocytosis</w:t>
            </w:r>
          </w:p>
        </w:tc>
        <w:tc>
          <w:tcPr/>
          <w:p>
            <w:pPr>
              <w:pStyle w:val="Compact"/>
            </w:pPr>
            <w:r>
              <w:t xml:space="preserve">uncleared apoptotic cells → secondary necrosis → DAMPs → further inflammation</w:t>
            </w:r>
          </w:p>
        </w:tc>
        <w:tc>
          <w:tcPr/>
          <w:p>
            <w:pPr>
              <w:pStyle w:val="Compact"/>
            </w:pPr>
            <w:r>
              <w:rPr>
                <w:b/>
                <w:bCs/>
              </w:rPr>
              <w:t xml:space="preserve">B in diseases such as atherosclerosis; clinical testing immature</w:t>
            </w:r>
            <w:r>
              <w:t xml:space="preserve"> </w:t>
            </w:r>
            <w:hyperlink r:id="rId30">
              <w:r>
                <w:rPr>
                  <w:rStyle w:val="Hyperlink"/>
                </w:rPr>
                <w:t xml:space="preserve">[26]</w:t>
              </w:r>
            </w:hyperlink>
          </w:p>
        </w:tc>
      </w:tr>
      <w:tr>
        <w:tc>
          <w:tcPr/>
          <w:p>
            <w:pPr>
              <w:pStyle w:val="Compact"/>
            </w:pPr>
            <w:r>
              <w:t xml:space="preserve">Barrier–inflammation loop</w:t>
            </w:r>
          </w:p>
        </w:tc>
        <w:tc>
          <w:tcPr/>
          <w:p>
            <w:pPr>
              <w:pStyle w:val="Compact"/>
            </w:pPr>
            <w:r>
              <w:t xml:space="preserve">epithelial injury → microbial/antigen exposure → mucosal inflammation → further barrier injury</w:t>
            </w:r>
          </w:p>
        </w:tc>
        <w:tc>
          <w:tcPr/>
          <w:p>
            <w:pPr>
              <w:pStyle w:val="Compact"/>
            </w:pPr>
            <w:r>
              <w:rPr>
                <w:b/>
                <w:bCs/>
              </w:rPr>
              <w:t xml:space="preserve">A/B in established IBD; C/D for generic wellness “leaky gut”</w:t>
            </w:r>
            <w:r>
              <w:t xml:space="preserve"> </w:t>
            </w:r>
            <w:hyperlink r:id="rId31">
              <w:r>
                <w:rPr>
                  <w:rStyle w:val="Hyperlink"/>
                </w:rPr>
                <w:t xml:space="preserve">[27]</w:t>
              </w:r>
            </w:hyperlink>
          </w:p>
        </w:tc>
      </w:tr>
      <w:tr>
        <w:tc>
          <w:tcPr/>
          <w:p>
            <w:pPr>
              <w:pStyle w:val="Compact"/>
            </w:pPr>
            <w:r>
              <w:t xml:space="preserve">Defective resolution</w:t>
            </w:r>
          </w:p>
        </w:tc>
        <w:tc>
          <w:tcPr/>
          <w:p>
            <w:pPr>
              <w:pStyle w:val="Compact"/>
            </w:pPr>
            <w:r>
              <w:t xml:space="preserve">inflammation initiates normally but clearance/repair programme is incomplete</w:t>
            </w:r>
          </w:p>
        </w:tc>
        <w:tc>
          <w:tcPr/>
          <w:p>
            <w:pPr>
              <w:pStyle w:val="Compact"/>
            </w:pPr>
            <w:r>
              <w:rPr>
                <w:b/>
                <w:bCs/>
              </w:rPr>
              <w:t xml:space="preserve">B mechanistically; C for routine human diagnostics</w:t>
            </w:r>
          </w:p>
        </w:tc>
      </w:tr>
    </w:tbl>
    <w:p>
      <w:pPr>
        <w:pStyle w:val="BodyText"/>
      </w:pPr>
      <w:r>
        <w:rPr>
          <w:b/>
          <w:bCs/>
        </w:rPr>
        <w:t xml:space="preserve">Part VI — Resolution is active biology, not merely absence of stimulation.</w:t>
      </w:r>
      <w:r>
        <w:t xml:space="preserve"> </w:t>
      </w:r>
      <w:r>
        <w:t xml:space="preserve">Neutrophils undergo apoptosis; macrophages remove them by efferocytosis rather than allowing secondary necrosis; macrophage transcription and metabolism shift toward repair; regulatory T cells, IL-10 and TGF-β constrain damaging responses; lymphatics remove fluid, antigens and cells; and lipid-mediator networks including lipoxins, resolvins, protectins and maresins can restrain recruitment and facilitate clearance and repair. Human experimental work has identified specialised pro-resolving mediator programmes during self-resolving inflammation, and omega-3 interventions can modify circulating lipid-mediator profiles. But this field contains an important translational gap: evidence that SPM biology exists in humans is considerably stronger than evidence that consumer supplements or measured plasma SPM concentrations can diagnose or reliably correct “failed resolution” in a particular patient.</w:t>
      </w:r>
      <w:r>
        <w:t xml:space="preserve"> </w:t>
      </w:r>
      <w:hyperlink r:id="rId32">
        <w:r>
          <w:rPr>
            <w:rStyle w:val="Hyperlink"/>
          </w:rPr>
          <w:t xml:space="preserve">[28]</w:t>
        </w:r>
      </w:hyperlink>
    </w:p>
    <w:p>
      <w:pPr>
        <w:pStyle w:val="BodyText"/>
      </w:pPr>
      <w:r>
        <w:t xml:space="preserve">Efferocytosis illustrates why failed resolution can become self-sustaining. Successful ingestion of apoptotic cells is generally non-destructive and promotes a repair phenotype; impaired clearance allows cellular contents to escape, generating new DAMPs and enlarging necrotic zones. This mechanism has substantial evidence in atherosclerotic plaques, although there is currently no standard outpatient blood test that quantifies a patient’s global “efferocytosis capacity.”</w:t>
      </w:r>
      <w:r>
        <w:t xml:space="preserve"> </w:t>
      </w:r>
      <w:hyperlink r:id="rId30">
        <w:r>
          <w:rPr>
            <w:rStyle w:val="Hyperlink"/>
          </w:rPr>
          <w:t xml:space="preserve">[29]</w:t>
        </w:r>
      </w:hyperlink>
    </w:p>
    <w:p>
      <w:pPr>
        <w:pStyle w:val="BodyText"/>
      </w:pPr>
      <w:r>
        <w:t xml:space="preserve">The vagal/cholinergic anti-inflammatory pathway is another plausible resolution-regulatory system, but translational evidence deserves restraint. Small human neuromodulation studies have reported cytokine changes, while other sham-controlled studies have found absent or even opposite inflammatory effects. Non-invasive vagal stimulation therefore should not presently be interpreted as a validated generic treatment for unexplained systemic inflammation.</w:t>
      </w:r>
      <w:r>
        <w:t xml:space="preserve"> </w:t>
      </w:r>
      <w:hyperlink r:id="rId33">
        <w:r>
          <w:rPr>
            <w:rStyle w:val="Hyperlink"/>
          </w:rPr>
          <w:t xml:space="preserve">[30]</w:t>
        </w:r>
      </w:hyperlink>
    </w:p>
    <w:bookmarkEnd w:id="34"/>
    <w:bookmarkStart w:id="46" w:name="Xa2ab8c7321ce5d6e9cae9da71169b85fb030ee5"/>
    <w:p>
      <w:pPr>
        <w:pStyle w:val="Heading2"/>
      </w:pPr>
      <w:r>
        <w:t xml:space="preserve">Biomarkers, measurement limitations and pattern interpretation</w:t>
      </w:r>
    </w:p>
    <w:p>
      <w:pPr>
        <w:pStyle w:val="FirstParagraph"/>
      </w:pPr>
      <w:r>
        <w:rPr>
          <w:b/>
          <w:bCs/>
        </w:rPr>
        <w:t xml:space="preserve">Part II — How CRP, TNF-α, IL-6 and other biomarkers are generated; Part XIII — Biomarker interpretation and limitations; Part XVI — Mechanistic biomarker map.</w:t>
      </w:r>
    </w:p>
    <w:p>
      <w:pPr>
        <w:pStyle w:val="BodyText"/>
      </w:pPr>
      <w:r>
        <w:t xml:space="preserve">The critical distinction is between</w:t>
      </w:r>
      <w:r>
        <w:t xml:space="preserve"> </w:t>
      </w:r>
      <w:r>
        <w:rPr>
          <w:b/>
          <w:bCs/>
        </w:rPr>
        <w:t xml:space="preserve">a molecule participating in the inflammatory response</w:t>
      </w:r>
      <w:r>
        <w:t xml:space="preserve"> </w:t>
      </w:r>
      <w:r>
        <w:t xml:space="preserve">and</w:t>
      </w:r>
      <w:r>
        <w:t xml:space="preserve"> </w:t>
      </w:r>
      <w:r>
        <w:rPr>
          <w:b/>
          <w:bCs/>
        </w:rPr>
        <w:t xml:space="preserve">a molecule reliably useful as a clinical biomarker</w:t>
      </w:r>
      <w:r>
        <w:t xml:space="preserve">. IL-1β can be mechanistically central while barely detectable in peripheral serum. Conversely, ESR can be clinically informative without itself being an inflammatory mediator. CRP occupies a useful intermediate position because it is biologically responsive, chemically stable enough to measure reproducibly and downstream enough to integrate multiple inflammatory signals.</w:t>
      </w:r>
      <w:r>
        <w:t xml:space="preserve"> </w:t>
      </w:r>
      <w:hyperlink r:id="rId23">
        <w:r>
          <w:rPr>
            <w:rStyle w:val="Hyperlink"/>
          </w:rPr>
          <w:t xml:space="preserve">[31]</w:t>
        </w:r>
      </w:hyperlink>
    </w:p>
    <w:bookmarkStart w:id="45" w:name="mechanistic-biomarker-map"/>
    <w:p>
      <w:pPr>
        <w:pStyle w:val="Heading3"/>
      </w:pPr>
      <w:r>
        <w:t xml:space="preserve">Mechanistic biomarker map</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Biomarker</w:t>
            </w:r>
          </w:p>
        </w:tc>
        <w:tc>
          <w:tcPr/>
          <w:p>
            <w:pPr>
              <w:pStyle w:val="Compact"/>
            </w:pPr>
            <w:r>
              <w:t xml:space="preserve">Primary source / upstream trigger</w:t>
            </w:r>
          </w:p>
        </w:tc>
        <w:tc>
          <w:tcPr/>
          <w:p>
            <w:pPr>
              <w:pStyle w:val="Compact"/>
            </w:pPr>
            <w:r>
              <w:t xml:space="preserve">Biological role</w:t>
            </w:r>
          </w:p>
        </w:tc>
        <w:tc>
          <w:tcPr/>
          <w:p>
            <w:pPr>
              <w:pStyle w:val="Compact"/>
            </w:pPr>
            <w:r>
              <w:t xml:space="preserve">Dynamics</w:t>
            </w:r>
          </w:p>
        </w:tc>
        <w:tc>
          <w:tcPr/>
          <w:p>
            <w:pPr>
              <w:pStyle w:val="Compact"/>
            </w:pPr>
            <w:r>
              <w:t xml:space="preserve">Major reasons for elevation</w:t>
            </w:r>
          </w:p>
        </w:tc>
        <w:tc>
          <w:tcPr/>
          <w:p>
            <w:pPr>
              <w:pStyle w:val="Compact"/>
            </w:pPr>
            <w:r>
              <w:t xml:space="preserve">Clinical usefulness</w:t>
            </w:r>
          </w:p>
        </w:tc>
        <w:tc>
          <w:tcPr/>
          <w:p>
            <w:pPr>
              <w:pStyle w:val="Compact"/>
            </w:pPr>
            <w:r>
              <w:t xml:space="preserve">Major limitations</w:t>
            </w:r>
          </w:p>
        </w:tc>
      </w:tr>
      <w:tr>
        <w:tc>
          <w:tcPr/>
          <w:p>
            <w:pPr>
              <w:pStyle w:val="Compact"/>
            </w:pPr>
            <w:r>
              <w:rPr>
                <w:b/>
                <w:bCs/>
              </w:rPr>
              <w:t xml:space="preserve">CRP</w:t>
            </w:r>
          </w:p>
        </w:tc>
        <w:tc>
          <w:tcPr/>
          <w:p>
            <w:pPr>
              <w:pStyle w:val="Compact"/>
            </w:pPr>
            <w:r>
              <w:t xml:space="preserve">Hepatocytes; mainly IL-6 with IL-1-related amplification</w:t>
            </w:r>
          </w:p>
        </w:tc>
        <w:tc>
          <w:tcPr/>
          <w:p>
            <w:pPr>
              <w:pStyle w:val="Compact"/>
            </w:pPr>
            <w:r>
              <w:t xml:space="preserve">Pentraxin involved in innate recognition/complement interactions; clinically mainly a reporter</w:t>
            </w:r>
          </w:p>
        </w:tc>
        <w:tc>
          <w:tcPr/>
          <w:p>
            <w:pPr>
              <w:pStyle w:val="Compact"/>
            </w:pPr>
            <w:r>
              <w:t xml:space="preserve">Rises after inflammatory signalling; plasma half-life ~19 h; falls predictably when synthesis stops</w:t>
            </w:r>
          </w:p>
        </w:tc>
        <w:tc>
          <w:tcPr/>
          <w:p>
            <w:pPr>
              <w:pStyle w:val="Compact"/>
            </w:pPr>
            <w:r>
              <w:t xml:space="preserve">Infection, sterile injury, autoimmune/inflammatory disease, malignancy, obesity/metabolic inflammation, surgery/trauma</w:t>
            </w:r>
          </w:p>
        </w:tc>
        <w:tc>
          <w:tcPr/>
          <w:p>
            <w:pPr>
              <w:pStyle w:val="Compact"/>
            </w:pPr>
            <w:r>
              <w:t xml:space="preserve">Robust general acute-phase marker; excellent for serial trend in appropriate disease</w:t>
            </w:r>
          </w:p>
        </w:tc>
        <w:tc>
          <w:tcPr/>
          <w:p>
            <w:pPr>
              <w:pStyle w:val="Compact"/>
            </w:pPr>
            <w:r>
              <w:t xml:space="preserve">Cannot identify source or distinguish infection from sterile/autoimmune inflammation by itself.</w:t>
            </w:r>
            <w:r>
              <w:t xml:space="preserve"> </w:t>
            </w:r>
            <w:hyperlink r:id="rId10">
              <w:r>
                <w:rPr>
                  <w:rStyle w:val="Hyperlink"/>
                </w:rPr>
                <w:t xml:space="preserve">[1]</w:t>
              </w:r>
            </w:hyperlink>
          </w:p>
        </w:tc>
      </w:tr>
      <w:tr>
        <w:tc>
          <w:tcPr/>
          <w:p>
            <w:pPr>
              <w:pStyle w:val="Compact"/>
            </w:pPr>
            <w:r>
              <w:rPr>
                <w:b/>
                <w:bCs/>
              </w:rPr>
              <w:t xml:space="preserve">hsCRP</w:t>
            </w:r>
          </w:p>
        </w:tc>
        <w:tc>
          <w:tcPr/>
          <w:p>
            <w:pPr>
              <w:pStyle w:val="Compact"/>
            </w:pPr>
            <w:r>
              <w:t xml:space="preserve">Same CRP molecule; more analytically sensitive assay</w:t>
            </w:r>
          </w:p>
        </w:tc>
        <w:tc>
          <w:tcPr/>
          <w:p>
            <w:pPr>
              <w:pStyle w:val="Compact"/>
            </w:pPr>
            <w:r>
              <w:t xml:space="preserve">Same biology as CRP</w:t>
            </w:r>
          </w:p>
        </w:tc>
        <w:tc>
          <w:tcPr/>
          <w:p>
            <w:pPr>
              <w:pStyle w:val="Compact"/>
            </w:pPr>
            <w:r>
              <w:t xml:space="preserve">Same biological kinetics</w:t>
            </w:r>
          </w:p>
        </w:tc>
        <w:tc>
          <w:tcPr/>
          <w:p>
            <w:pPr>
              <w:pStyle w:val="Compact"/>
            </w:pPr>
            <w:r>
              <w:t xml:space="preserve">Low-grade inflammatory states and all ordinary causes of CRP elevation</w:t>
            </w:r>
          </w:p>
        </w:tc>
        <w:tc>
          <w:tcPr/>
          <w:p>
            <w:pPr>
              <w:pStyle w:val="Compact"/>
            </w:pPr>
            <w:r>
              <w:t xml:space="preserve">Cardiovascular risk refinement and low-range longitudinal measurement</w:t>
            </w:r>
          </w:p>
        </w:tc>
        <w:tc>
          <w:tcPr/>
          <w:p>
            <w:pPr>
              <w:pStyle w:val="Compact"/>
            </w:pPr>
            <w:r>
              <w:t xml:space="preserve">“High sensitivity” does</w:t>
            </w:r>
            <w:r>
              <w:t xml:space="preserve"> </w:t>
            </w:r>
            <w:r>
              <w:rPr>
                <w:b/>
                <w:bCs/>
              </w:rPr>
              <w:t xml:space="preserve">not</w:t>
            </w:r>
            <w:r>
              <w:t xml:space="preserve"> </w:t>
            </w:r>
            <w:r>
              <w:t xml:space="preserve">make it anatomically or etiologically specific; acute inflammation can invalidate CV-risk interpretation.</w:t>
            </w:r>
            <w:r>
              <w:t xml:space="preserve"> </w:t>
            </w:r>
            <w:hyperlink r:id="rId11">
              <w:r>
                <w:rPr>
                  <w:rStyle w:val="Hyperlink"/>
                </w:rPr>
                <w:t xml:space="preserve">[2]</w:t>
              </w:r>
            </w:hyperlink>
          </w:p>
        </w:tc>
      </w:tr>
      <w:tr>
        <w:tc>
          <w:tcPr/>
          <w:p>
            <w:pPr>
              <w:pStyle w:val="Compact"/>
            </w:pPr>
            <w:r>
              <w:rPr>
                <w:b/>
                <w:bCs/>
              </w:rPr>
              <w:t xml:space="preserve">ESR</w:t>
            </w:r>
          </w:p>
        </w:tc>
        <w:tc>
          <w:tcPr/>
          <w:p>
            <w:pPr>
              <w:pStyle w:val="Compact"/>
            </w:pPr>
            <w:r>
              <w:t xml:space="preserve">Not secreted; physical sedimentation behaviour driven largely by plasma proteins such as fibrinogen/immunoglobulins and red-cell properties</w:t>
            </w:r>
          </w:p>
        </w:tc>
        <w:tc>
          <w:tcPr/>
          <w:p>
            <w:pPr>
              <w:pStyle w:val="Compact"/>
            </w:pPr>
            <w:r>
              <w:t xml:space="preserve">None as a mediator</w:t>
            </w:r>
          </w:p>
        </w:tc>
        <w:tc>
          <w:tcPr/>
          <w:p>
            <w:pPr>
              <w:pStyle w:val="Compact"/>
            </w:pPr>
            <w:r>
              <w:t xml:space="preserve">Usually changes more slowly than CRP</w:t>
            </w:r>
          </w:p>
        </w:tc>
        <w:tc>
          <w:tcPr/>
          <w:p>
            <w:pPr>
              <w:pStyle w:val="Compact"/>
            </w:pPr>
            <w:r>
              <w:t xml:space="preserve">Inflammation, hypergammaglobulinaemia, paraproteinaemia and many other states</w:t>
            </w:r>
          </w:p>
        </w:tc>
        <w:tc>
          <w:tcPr/>
          <w:p>
            <w:pPr>
              <w:pStyle w:val="Compact"/>
            </w:pPr>
            <w:r>
              <w:t xml:space="preserve">Complementary long-timescale inflammatory context</w:t>
            </w:r>
          </w:p>
        </w:tc>
        <w:tc>
          <w:tcPr/>
          <w:p>
            <w:pPr>
              <w:pStyle w:val="Compact"/>
            </w:pPr>
            <w:r>
              <w:t xml:space="preserve">Strongly affected by anaemia, renal disease, pregnancy/age and RBC characteristics; very poor localisation/specificity.</w:t>
            </w:r>
            <w:r>
              <w:t xml:space="preserve"> </w:t>
            </w:r>
            <w:hyperlink r:id="rId35">
              <w:r>
                <w:rPr>
                  <w:rStyle w:val="Hyperlink"/>
                </w:rPr>
                <w:t xml:space="preserve">[32]</w:t>
              </w:r>
            </w:hyperlink>
          </w:p>
        </w:tc>
      </w:tr>
      <w:tr>
        <w:tc>
          <w:tcPr/>
          <w:p>
            <w:pPr>
              <w:pStyle w:val="Compact"/>
            </w:pPr>
            <w:r>
              <w:rPr>
                <w:b/>
                <w:bCs/>
              </w:rPr>
              <w:t xml:space="preserve">IL-6</w:t>
            </w:r>
          </w:p>
        </w:tc>
        <w:tc>
          <w:tcPr/>
          <w:p>
            <w:pPr>
              <w:pStyle w:val="Compact"/>
            </w:pPr>
            <w:r>
              <w:t xml:space="preserve">Macrophages, stromal/endothelial cells, adipose tissues, muscle and others; PAMP/DAMP/cytokine signals</w:t>
            </w:r>
          </w:p>
        </w:tc>
        <w:tc>
          <w:tcPr/>
          <w:p>
            <w:pPr>
              <w:pStyle w:val="Compact"/>
            </w:pPr>
            <w:r>
              <w:t xml:space="preserve">Acute-phase induction, hepcidin, lymphocyte and metabolic signalling</w:t>
            </w:r>
          </w:p>
        </w:tc>
        <w:tc>
          <w:tcPr/>
          <w:p>
            <w:pPr>
              <w:pStyle w:val="Compact"/>
            </w:pPr>
            <w:r>
              <w:t xml:space="preserve">Rapid, pulsatile, circadian; much faster than CRP</w:t>
            </w:r>
          </w:p>
        </w:tc>
        <w:tc>
          <w:tcPr/>
          <w:p>
            <w:pPr>
              <w:pStyle w:val="Compact"/>
            </w:pPr>
            <w:r>
              <w:t xml:space="preserve">Infection, inflammatory disease, obesity, injury, cancer, exercise</w:t>
            </w:r>
          </w:p>
        </w:tc>
        <w:tc>
          <w:tcPr/>
          <w:p>
            <w:pPr>
              <w:pStyle w:val="Compact"/>
            </w:pPr>
            <w:r>
              <w:t xml:space="preserve">Mechanistically informative in defined diseases/research</w:t>
            </w:r>
          </w:p>
        </w:tc>
        <w:tc>
          <w:tcPr/>
          <w:p>
            <w:pPr>
              <w:pStyle w:val="Compact"/>
            </w:pPr>
            <w:r>
              <w:t xml:space="preserve">Blood does not reliably reflect tissue signalling; strong biological/pre-analytical variability; exercise elevation may be physiological.</w:t>
            </w:r>
            <w:r>
              <w:t xml:space="preserve"> </w:t>
            </w:r>
            <w:hyperlink r:id="rId15">
              <w:r>
                <w:rPr>
                  <w:rStyle w:val="Hyperlink"/>
                </w:rPr>
                <w:t xml:space="preserve">[33]</w:t>
              </w:r>
            </w:hyperlink>
          </w:p>
        </w:tc>
      </w:tr>
      <w:tr>
        <w:tc>
          <w:tcPr/>
          <w:p>
            <w:pPr>
              <w:pStyle w:val="Compact"/>
            </w:pPr>
            <w:r>
              <w:rPr>
                <w:b/>
                <w:bCs/>
              </w:rPr>
              <w:t xml:space="preserve">TNF-α</w:t>
            </w:r>
          </w:p>
        </w:tc>
        <w:tc>
          <w:tcPr/>
          <w:p>
            <w:pPr>
              <w:pStyle w:val="Compact"/>
            </w:pPr>
            <w:r>
              <w:t xml:space="preserve">Mainly activated monocyte/macrophage lineage plus lymphocytes and other tissues</w:t>
            </w:r>
          </w:p>
        </w:tc>
        <w:tc>
          <w:tcPr/>
          <w:p>
            <w:pPr>
              <w:pStyle w:val="Compact"/>
            </w:pPr>
            <w:r>
              <w:t xml:space="preserve">Endothelial activation, cytokine amplification, metabolic/cell-death signalling</w:t>
            </w:r>
          </w:p>
        </w:tc>
        <w:tc>
          <w:tcPr/>
          <w:p>
            <w:pPr>
              <w:pStyle w:val="Compact"/>
            </w:pPr>
            <w:r>
              <w:t xml:space="preserve">Very rapid/local; circulating concentration can be low and unstable</w:t>
            </w:r>
          </w:p>
        </w:tc>
        <w:tc>
          <w:tcPr/>
          <w:p>
            <w:pPr>
              <w:pStyle w:val="Compact"/>
            </w:pPr>
            <w:r>
              <w:t xml:space="preserve">Severe infection, autoimmune/inflammatory disease, metabolic and other immune activation</w:t>
            </w:r>
          </w:p>
        </w:tc>
        <w:tc>
          <w:tcPr/>
          <w:p>
            <w:pPr>
              <w:pStyle w:val="Compact"/>
            </w:pPr>
            <w:r>
              <w:t xml:space="preserve">Critical therapeutic pathway in specific diseases</w:t>
            </w:r>
          </w:p>
        </w:tc>
        <w:tc>
          <w:tcPr/>
          <w:p>
            <w:pPr>
              <w:pStyle w:val="Compact"/>
            </w:pPr>
            <w:r>
              <w:t xml:space="preserve">A single serum measurement has weak generic diagnostic specificity and depends heavily on assay/context.</w:t>
            </w:r>
            <w:r>
              <w:t xml:space="preserve"> </w:t>
            </w:r>
            <w:hyperlink r:id="rId36">
              <w:r>
                <w:rPr>
                  <w:rStyle w:val="Hyperlink"/>
                </w:rPr>
                <w:t xml:space="preserve">[34]</w:t>
              </w:r>
            </w:hyperlink>
          </w:p>
        </w:tc>
      </w:tr>
      <w:tr>
        <w:tc>
          <w:tcPr/>
          <w:p>
            <w:pPr>
              <w:pStyle w:val="Compact"/>
            </w:pPr>
            <w:r>
              <w:rPr>
                <w:b/>
                <w:bCs/>
              </w:rPr>
              <w:t xml:space="preserve">IL-1β</w:t>
            </w:r>
          </w:p>
        </w:tc>
        <w:tc>
          <w:tcPr/>
          <w:p>
            <w:pPr>
              <w:pStyle w:val="Compact"/>
            </w:pPr>
            <w:r>
              <w:t xml:space="preserve">Myeloid and other cells after priming + inflammasome/caspase-1 processing</w:t>
            </w:r>
          </w:p>
        </w:tc>
        <w:tc>
          <w:tcPr/>
          <w:p>
            <w:pPr>
              <w:pStyle w:val="Compact"/>
            </w:pPr>
            <w:r>
              <w:t xml:space="preserve">Fever, endothelial activation, leukocyte recruitment</w:t>
            </w:r>
          </w:p>
        </w:tc>
        <w:tc>
          <w:tcPr/>
          <w:p>
            <w:pPr>
              <w:pStyle w:val="Compact"/>
            </w:pPr>
            <w:r>
              <w:t xml:space="preserve">Predominantly local/short-lived</w:t>
            </w:r>
          </w:p>
        </w:tc>
        <w:tc>
          <w:tcPr/>
          <w:p>
            <w:pPr>
              <w:pStyle w:val="Compact"/>
            </w:pPr>
            <w:r>
              <w:t xml:space="preserve">Inflammasome diseases, infection, gout/crystal disease and other innate activation</w:t>
            </w:r>
          </w:p>
        </w:tc>
        <w:tc>
          <w:tcPr/>
          <w:p>
            <w:pPr>
              <w:pStyle w:val="Compact"/>
            </w:pPr>
            <w:r>
              <w:t xml:space="preserve">Extremely important mechanistically; specialised applications</w:t>
            </w:r>
          </w:p>
        </w:tc>
        <w:tc>
          <w:tcPr/>
          <w:p>
            <w:pPr>
              <w:pStyle w:val="Compact"/>
            </w:pPr>
            <w:r>
              <w:t xml:space="preserve">Often near/below routine serum detection; a normal value does not exclude IL-1 activity.</w:t>
            </w:r>
            <w:r>
              <w:t xml:space="preserve"> </w:t>
            </w:r>
            <w:hyperlink r:id="rId26">
              <w:r>
                <w:rPr>
                  <w:rStyle w:val="Hyperlink"/>
                </w:rPr>
                <w:t xml:space="preserve">[35]</w:t>
              </w:r>
            </w:hyperlink>
          </w:p>
        </w:tc>
      </w:tr>
      <w:tr>
        <w:tc>
          <w:tcPr/>
          <w:p>
            <w:pPr>
              <w:pStyle w:val="Compact"/>
            </w:pPr>
            <w:r>
              <w:rPr>
                <w:b/>
                <w:bCs/>
              </w:rPr>
              <w:t xml:space="preserve">Ferritin</w:t>
            </w:r>
          </w:p>
        </w:tc>
        <w:tc>
          <w:tcPr/>
          <w:p>
            <w:pPr>
              <w:pStyle w:val="Compact"/>
            </w:pPr>
            <w:r>
              <w:t xml:space="preserve">Intracellular iron-storage protein; liver/macrophage release/synthesis influenced by inflammation and tissue injury</w:t>
            </w:r>
          </w:p>
        </w:tc>
        <w:tc>
          <w:tcPr/>
          <w:p>
            <w:pPr>
              <w:pStyle w:val="Compact"/>
            </w:pPr>
            <w:r>
              <w:t xml:space="preserve">Iron storage/sequestration</w:t>
            </w:r>
          </w:p>
        </w:tc>
        <w:tc>
          <w:tcPr/>
          <w:p>
            <w:pPr>
              <w:pStyle w:val="Compact"/>
            </w:pPr>
            <w:r>
              <w:t xml:space="preserve">Slower and more complex than CRP</w:t>
            </w:r>
          </w:p>
        </w:tc>
        <w:tc>
          <w:tcPr/>
          <w:p>
            <w:pPr>
              <w:pStyle w:val="Compact"/>
            </w:pPr>
            <w:r>
              <w:t xml:space="preserve">Inflammation/infection, liver disease, metabolic disease, iron overload, cellular injury; disproportionately high values in some hyperinflammatory syndromes</w:t>
            </w:r>
          </w:p>
        </w:tc>
        <w:tc>
          <w:tcPr/>
          <w:p>
            <w:pPr>
              <w:pStyle w:val="Compact"/>
            </w:pPr>
            <w:r>
              <w:t xml:space="preserve">Integrates iron and inflammatory context; useful with iron studies/CBC/liver markers</w:t>
            </w:r>
          </w:p>
        </w:tc>
        <w:tc>
          <w:tcPr/>
          <w:p>
            <w:pPr>
              <w:pStyle w:val="Compact"/>
            </w:pPr>
            <w:r>
              <w:t xml:space="preserve">Cannot separate iron overload from inflammation or liver release alone. Experimental infection produces ferritin/hepcidin rise with serum iron fall.</w:t>
            </w:r>
            <w:r>
              <w:t xml:space="preserve"> </w:t>
            </w:r>
            <w:hyperlink r:id="rId24">
              <w:r>
                <w:rPr>
                  <w:rStyle w:val="Hyperlink"/>
                </w:rPr>
                <w:t xml:space="preserve">[36]</w:t>
              </w:r>
            </w:hyperlink>
          </w:p>
        </w:tc>
      </w:tr>
      <w:tr>
        <w:tc>
          <w:tcPr/>
          <w:p>
            <w:pPr>
              <w:pStyle w:val="Compact"/>
            </w:pPr>
            <w:r>
              <w:rPr>
                <w:b/>
                <w:bCs/>
              </w:rPr>
              <w:t xml:space="preserve">Fibrinogen</w:t>
            </w:r>
          </w:p>
        </w:tc>
        <w:tc>
          <w:tcPr/>
          <w:p>
            <w:pPr>
              <w:pStyle w:val="Compact"/>
            </w:pPr>
            <w:r>
              <w:t xml:space="preserve">Hepatic acute-phase synthesis; IL-6-related signalling</w:t>
            </w:r>
          </w:p>
        </w:tc>
        <w:tc>
          <w:tcPr/>
          <w:p>
            <w:pPr>
              <w:pStyle w:val="Compact"/>
            </w:pPr>
            <w:r>
              <w:t xml:space="preserve">Clot substrate; affects viscosity/ESR</w:t>
            </w:r>
          </w:p>
        </w:tc>
        <w:tc>
          <w:tcPr/>
          <w:p>
            <w:pPr>
              <w:pStyle w:val="Compact"/>
            </w:pPr>
            <w:r>
              <w:t xml:space="preserve">Slower than many cytokines</w:t>
            </w:r>
          </w:p>
        </w:tc>
        <w:tc>
          <w:tcPr/>
          <w:p>
            <w:pPr>
              <w:pStyle w:val="Compact"/>
            </w:pPr>
            <w:r>
              <w:t xml:space="preserve">Inflammation, pregnancy, smoking and vascular/metabolic states</w:t>
            </w:r>
          </w:p>
        </w:tc>
        <w:tc>
          <w:tcPr/>
          <w:p>
            <w:pPr>
              <w:pStyle w:val="Compact"/>
            </w:pPr>
            <w:r>
              <w:t xml:space="preserve">Links inflammation/coagulation; helps explain ESR</w:t>
            </w:r>
          </w:p>
        </w:tc>
        <w:tc>
          <w:tcPr/>
          <w:p>
            <w:pPr>
              <w:pStyle w:val="Compact"/>
            </w:pPr>
            <w:r>
              <w:t xml:space="preserve">Nonspecific; also reflects haemostatic physiology.</w:t>
            </w:r>
            <w:r>
              <w:t xml:space="preserve"> </w:t>
            </w:r>
            <w:hyperlink r:id="rId35">
              <w:r>
                <w:rPr>
                  <w:rStyle w:val="Hyperlink"/>
                </w:rPr>
                <w:t xml:space="preserve">[37]</w:t>
              </w:r>
            </w:hyperlink>
          </w:p>
        </w:tc>
      </w:tr>
      <w:tr>
        <w:tc>
          <w:tcPr/>
          <w:p>
            <w:pPr>
              <w:pStyle w:val="Compact"/>
            </w:pPr>
            <w:r>
              <w:rPr>
                <w:b/>
                <w:bCs/>
              </w:rPr>
              <w:t xml:space="preserve">Serum amyloid A</w:t>
            </w:r>
          </w:p>
        </w:tc>
        <w:tc>
          <w:tcPr/>
          <w:p>
            <w:pPr>
              <w:pStyle w:val="Compact"/>
            </w:pPr>
            <w:r>
              <w:t xml:space="preserve">Predominantly liver during acute-phase response</w:t>
            </w:r>
          </w:p>
        </w:tc>
        <w:tc>
          <w:tcPr/>
          <w:p>
            <w:pPr>
              <w:pStyle w:val="Compact"/>
            </w:pPr>
            <w:r>
              <w:t xml:space="preserve">Lipoprotein/innate immune biology; prolonged extreme elevation can contribute to AA amyloidosis</w:t>
            </w:r>
          </w:p>
        </w:tc>
        <w:tc>
          <w:tcPr/>
          <w:p>
            <w:pPr>
              <w:pStyle w:val="Compact"/>
            </w:pPr>
            <w:r>
              <w:t xml:space="preserve">Can rise rapidly and profoundly</w:t>
            </w:r>
          </w:p>
        </w:tc>
        <w:tc>
          <w:tcPr/>
          <w:p>
            <w:pPr>
              <w:pStyle w:val="Compact"/>
            </w:pPr>
            <w:r>
              <w:t xml:space="preserve">Infection, inflammatory disease, trauma</w:t>
            </w:r>
          </w:p>
        </w:tc>
        <w:tc>
          <w:tcPr/>
          <w:p>
            <w:pPr>
              <w:pStyle w:val="Compact"/>
            </w:pPr>
            <w:r>
              <w:t xml:space="preserve">Very sensitive acute-phase marker in selected settings</w:t>
            </w:r>
          </w:p>
        </w:tc>
        <w:tc>
          <w:tcPr/>
          <w:p>
            <w:pPr>
              <w:pStyle w:val="Compact"/>
            </w:pPr>
            <w:r>
              <w:t xml:space="preserve">Less standardised/routinely useful than CRP for generic investigation.</w:t>
            </w:r>
            <w:r>
              <w:t xml:space="preserve"> </w:t>
            </w:r>
            <w:hyperlink r:id="rId37">
              <w:r>
                <w:rPr>
                  <w:rStyle w:val="Hyperlink"/>
                </w:rPr>
                <w:t xml:space="preserve">[38]</w:t>
              </w:r>
            </w:hyperlink>
          </w:p>
        </w:tc>
      </w:tr>
      <w:tr>
        <w:tc>
          <w:tcPr/>
          <w:p>
            <w:pPr>
              <w:pStyle w:val="Compact"/>
            </w:pPr>
            <w:r>
              <w:rPr>
                <w:b/>
                <w:bCs/>
              </w:rPr>
              <w:t xml:space="preserve">WBC count / neutrophils</w:t>
            </w:r>
          </w:p>
        </w:tc>
        <w:tc>
          <w:tcPr/>
          <w:p>
            <w:pPr>
              <w:pStyle w:val="Compact"/>
            </w:pPr>
            <w:r>
              <w:t xml:space="preserve">Bone marrow output plus demargination/redistribution</w:t>
            </w:r>
          </w:p>
        </w:tc>
        <w:tc>
          <w:tcPr/>
          <w:p>
            <w:pPr>
              <w:pStyle w:val="Compact"/>
            </w:pPr>
            <w:r>
              <w:t xml:space="preserve">Effector-cell abundance</w:t>
            </w:r>
          </w:p>
        </w:tc>
        <w:tc>
          <w:tcPr/>
          <w:p>
            <w:pPr>
              <w:pStyle w:val="Compact"/>
            </w:pPr>
            <w:r>
              <w:t xml:space="preserve">Hours to days</w:t>
            </w:r>
          </w:p>
        </w:tc>
        <w:tc>
          <w:tcPr/>
          <w:p>
            <w:pPr>
              <w:pStyle w:val="Compact"/>
            </w:pPr>
            <w:r>
              <w:t xml:space="preserve">Infection, tissue injury, stress, corticosteroids, smoking, marrow disorders</w:t>
            </w:r>
          </w:p>
        </w:tc>
        <w:tc>
          <w:tcPr/>
          <w:p>
            <w:pPr>
              <w:pStyle w:val="Compact"/>
            </w:pPr>
            <w:r>
              <w:t xml:space="preserve">High information when combined with differential and clinical context</w:t>
            </w:r>
          </w:p>
        </w:tc>
        <w:tc>
          <w:tcPr/>
          <w:p>
            <w:pPr>
              <w:pStyle w:val="Compact"/>
            </w:pPr>
            <w:r>
              <w:t xml:space="preserve">Neutrophilia is not equivalent to bacterial infection</w:t>
            </w:r>
          </w:p>
        </w:tc>
      </w:tr>
      <w:tr>
        <w:tc>
          <w:tcPr/>
          <w:p>
            <w:pPr>
              <w:pStyle w:val="Compact"/>
            </w:pPr>
            <w:r>
              <w:rPr>
                <w:b/>
                <w:bCs/>
              </w:rPr>
              <w:t xml:space="preserve">NLR</w:t>
            </w:r>
          </w:p>
        </w:tc>
        <w:tc>
          <w:tcPr/>
          <w:p>
            <w:pPr>
              <w:pStyle w:val="Compact"/>
            </w:pPr>
            <w:r>
              <w:t xml:space="preserve">Ratio of neutrophils to lymphocytes</w:t>
            </w:r>
          </w:p>
        </w:tc>
        <w:tc>
          <w:tcPr/>
          <w:p>
            <w:pPr>
              <w:pStyle w:val="Compact"/>
            </w:pPr>
            <w:r>
              <w:t xml:space="preserve">No single biological pathway</w:t>
            </w:r>
          </w:p>
        </w:tc>
        <w:tc>
          <w:tcPr/>
          <w:p>
            <w:pPr>
              <w:pStyle w:val="Compact"/>
            </w:pPr>
            <w:r>
              <w:t xml:space="preserve">Rapidly variable</w:t>
            </w:r>
          </w:p>
        </w:tc>
        <w:tc>
          <w:tcPr/>
          <w:p>
            <w:pPr>
              <w:pStyle w:val="Compact"/>
            </w:pPr>
            <w:r>
              <w:t xml:space="preserve">Infection, stress, corticosteroids, malignancy, metabolic/inflammatory disease</w:t>
            </w:r>
          </w:p>
        </w:tc>
        <w:tc>
          <w:tcPr/>
          <w:p>
            <w:pPr>
              <w:pStyle w:val="Compact"/>
            </w:pPr>
            <w:r>
              <w:t xml:space="preserve">Prognostic association in many diseases</w:t>
            </w:r>
          </w:p>
        </w:tc>
        <w:tc>
          <w:tcPr/>
          <w:p>
            <w:pPr>
              <w:pStyle w:val="Compact"/>
            </w:pPr>
            <w:r>
              <w:t xml:space="preserve">Broadly nonspecific; ratio magnifies changes in either numerator or denominator</w:t>
            </w:r>
          </w:p>
        </w:tc>
      </w:tr>
      <w:tr>
        <w:tc>
          <w:tcPr/>
          <w:p>
            <w:pPr>
              <w:pStyle w:val="Compact"/>
            </w:pPr>
            <w:r>
              <w:rPr>
                <w:b/>
                <w:bCs/>
              </w:rPr>
              <w:t xml:space="preserve">Platelets</w:t>
            </w:r>
          </w:p>
        </w:tc>
        <w:tc>
          <w:tcPr/>
          <w:p>
            <w:pPr>
              <w:pStyle w:val="Compact"/>
            </w:pPr>
            <w:r>
              <w:t xml:space="preserve">Megakaryocyte production, influenced by thrombopoietin/IL-6 pathways</w:t>
            </w:r>
          </w:p>
        </w:tc>
        <w:tc>
          <w:tcPr/>
          <w:p>
            <w:pPr>
              <w:pStyle w:val="Compact"/>
            </w:pPr>
            <w:r>
              <w:t xml:space="preserve">Haemostasis plus inflammatory signalling</w:t>
            </w:r>
          </w:p>
        </w:tc>
        <w:tc>
          <w:tcPr/>
          <w:p>
            <w:pPr>
              <w:pStyle w:val="Compact"/>
            </w:pPr>
            <w:r>
              <w:t xml:space="preserve">Days</w:t>
            </w:r>
          </w:p>
        </w:tc>
        <w:tc>
          <w:tcPr/>
          <w:p>
            <w:pPr>
              <w:pStyle w:val="Compact"/>
            </w:pPr>
            <w:r>
              <w:t xml:space="preserve">Reactive inflammation/iron deficiency; conversely may fall in severe sepsis or macrophage-activation states</w:t>
            </w:r>
          </w:p>
        </w:tc>
        <w:tc>
          <w:tcPr/>
          <w:p>
            <w:pPr>
              <w:pStyle w:val="Compact"/>
            </w:pPr>
            <w:r>
              <w:t xml:space="preserve">CBC pattern can materially alter differential</w:t>
            </w:r>
          </w:p>
        </w:tc>
        <w:tc>
          <w:tcPr/>
          <w:p>
            <w:pPr>
              <w:pStyle w:val="Compact"/>
            </w:pPr>
            <w:r>
              <w:t xml:space="preserve">Direction depends on mechanism and disease stage.</w:t>
            </w:r>
            <w:r>
              <w:t xml:space="preserve"> </w:t>
            </w:r>
            <w:hyperlink r:id="rId38">
              <w:r>
                <w:rPr>
                  <w:rStyle w:val="Hyperlink"/>
                </w:rPr>
                <w:t xml:space="preserve">[39]</w:t>
              </w:r>
            </w:hyperlink>
          </w:p>
        </w:tc>
      </w:tr>
      <w:tr>
        <w:tc>
          <w:tcPr/>
          <w:p>
            <w:pPr>
              <w:pStyle w:val="Compact"/>
            </w:pPr>
            <w:r>
              <w:rPr>
                <w:b/>
                <w:bCs/>
              </w:rPr>
              <w:t xml:space="preserve">Albumin</w:t>
            </w:r>
          </w:p>
        </w:tc>
        <w:tc>
          <w:tcPr/>
          <w:p>
            <w:pPr>
              <w:pStyle w:val="Compact"/>
            </w:pPr>
            <w:r>
              <w:t xml:space="preserve">Liver; a negative acute-phase reactant</w:t>
            </w:r>
          </w:p>
        </w:tc>
        <w:tc>
          <w:tcPr/>
          <w:p>
            <w:pPr>
              <w:pStyle w:val="Compact"/>
            </w:pPr>
            <w:r>
              <w:t xml:space="preserve">Oncotic pressure/carrier protein</w:t>
            </w:r>
          </w:p>
        </w:tc>
        <w:tc>
          <w:tcPr/>
          <w:p>
            <w:pPr>
              <w:pStyle w:val="Compact"/>
            </w:pPr>
            <w:r>
              <w:t xml:space="preserve">Slow; long biological half-life</w:t>
            </w:r>
          </w:p>
        </w:tc>
        <w:tc>
          <w:tcPr/>
          <w:p>
            <w:pPr>
              <w:pStyle w:val="Compact"/>
            </w:pPr>
            <w:r>
              <w:t xml:space="preserve">Falls in prolonged inflammation but also liver failure, renal/GI protein loss, malnutrition and dilution</w:t>
            </w:r>
          </w:p>
        </w:tc>
        <w:tc>
          <w:tcPr/>
          <w:p>
            <w:pPr>
              <w:pStyle w:val="Compact"/>
            </w:pPr>
            <w:r>
              <w:t xml:space="preserve">Useful systemic context when interpreted with CMP and clinical state</w:t>
            </w:r>
          </w:p>
        </w:tc>
        <w:tc>
          <w:tcPr/>
          <w:p>
            <w:pPr>
              <w:pStyle w:val="Compact"/>
            </w:pPr>
            <w:r>
              <w:t xml:space="preserve">Poor marker of short-term inflammation</w:t>
            </w:r>
          </w:p>
        </w:tc>
      </w:tr>
      <w:tr>
        <w:tc>
          <w:tcPr/>
          <w:p>
            <w:pPr>
              <w:pStyle w:val="Compact"/>
            </w:pPr>
            <w:r>
              <w:rPr>
                <w:b/>
                <w:bCs/>
              </w:rPr>
              <w:t xml:space="preserve">Procalcitonin</w:t>
            </w:r>
          </w:p>
        </w:tc>
        <w:tc>
          <w:tcPr/>
          <w:p>
            <w:pPr>
              <w:pStyle w:val="Compact"/>
            </w:pPr>
            <w:r>
              <w:t xml:space="preserve">Multiple tissues during systemic inflammatory signalling, especially bacterial infection</w:t>
            </w:r>
          </w:p>
        </w:tc>
        <w:tc>
          <w:tcPr/>
          <w:p>
            <w:pPr>
              <w:pStyle w:val="Compact"/>
            </w:pPr>
            <w:r>
              <w:t xml:space="preserve">Prohormone-derived peptide; biomarker rather than major inflammatory driver</w:t>
            </w:r>
          </w:p>
        </w:tc>
        <w:tc>
          <w:tcPr/>
          <w:p>
            <w:pPr>
              <w:pStyle w:val="Compact"/>
            </w:pPr>
            <w:r>
              <w:t xml:space="preserve">Rises relatively rapidly; in human cytokine challenge PCT responded earlier than CRP/SAA</w:t>
            </w:r>
          </w:p>
        </w:tc>
        <w:tc>
          <w:tcPr/>
          <w:p>
            <w:pPr>
              <w:pStyle w:val="Compact"/>
            </w:pPr>
            <w:r>
              <w:t xml:space="preserve">Bacterial infection/sepsis; also severe tissue injury and some noninfectious states</w:t>
            </w:r>
          </w:p>
        </w:tc>
        <w:tc>
          <w:tcPr/>
          <w:p>
            <w:pPr>
              <w:pStyle w:val="Compact"/>
            </w:pPr>
            <w:r>
              <w:t xml:space="preserve">Useful</w:t>
            </w:r>
            <w:r>
              <w:t xml:space="preserve"> </w:t>
            </w:r>
            <w:r>
              <w:rPr>
                <w:i/>
                <w:iCs/>
              </w:rPr>
              <w:t xml:space="preserve">in selected infectious-disease algorithms</w:t>
            </w:r>
            <w:r>
              <w:t xml:space="preserve">, especially serial decisions</w:t>
            </w:r>
          </w:p>
        </w:tc>
        <w:tc>
          <w:tcPr/>
          <w:p>
            <w:pPr>
              <w:pStyle w:val="Compact"/>
            </w:pPr>
            <w:r>
              <w:t xml:space="preserve">Imperfect bacterial specificity; should never override a convincing clinical infection syndrome.</w:t>
            </w:r>
            <w:r>
              <w:t xml:space="preserve"> </w:t>
            </w:r>
            <w:hyperlink r:id="rId39">
              <w:r>
                <w:rPr>
                  <w:rStyle w:val="Hyperlink"/>
                </w:rPr>
                <w:t xml:space="preserve">[40]</w:t>
              </w:r>
            </w:hyperlink>
          </w:p>
        </w:tc>
      </w:tr>
      <w:tr>
        <w:tc>
          <w:tcPr/>
          <w:p>
            <w:pPr>
              <w:pStyle w:val="Compact"/>
            </w:pPr>
            <w:r>
              <w:rPr>
                <w:b/>
                <w:bCs/>
              </w:rPr>
              <w:t xml:space="preserve">Complement C3/C4, CH50/AH50 and activation products</w:t>
            </w:r>
          </w:p>
        </w:tc>
        <w:tc>
          <w:tcPr/>
          <w:p>
            <w:pPr>
              <w:pStyle w:val="Compact"/>
            </w:pPr>
            <w:r>
              <w:t xml:space="preserve">Liver plus tissue synthesis; complement cascade</w:t>
            </w:r>
          </w:p>
        </w:tc>
        <w:tc>
          <w:tcPr/>
          <w:p>
            <w:pPr>
              <w:pStyle w:val="Compact"/>
            </w:pPr>
            <w:r>
              <w:t xml:space="preserve">Opsonisation, anaphylatoxins, membrane attack</w:t>
            </w:r>
          </w:p>
        </w:tc>
        <w:tc>
          <w:tcPr/>
          <w:p>
            <w:pPr>
              <w:pStyle w:val="Compact"/>
            </w:pPr>
            <w:r>
              <w:t xml:space="preserve">Pathway-dependent</w:t>
            </w:r>
          </w:p>
        </w:tc>
        <w:tc>
          <w:tcPr/>
          <w:p>
            <w:pPr>
              <w:pStyle w:val="Compact"/>
            </w:pPr>
            <w:r>
              <w:t xml:space="preserve">Activation in infection/immune-complex disease; C3/C4 can fall from consumption or sometimes rise as acute-phase proteins</w:t>
            </w:r>
          </w:p>
        </w:tc>
        <w:tc>
          <w:tcPr/>
          <w:p>
            <w:pPr>
              <w:pStyle w:val="Compact"/>
            </w:pPr>
            <w:r>
              <w:t xml:space="preserve">High value when a specific complement-mediated hypothesis exists</w:t>
            </w:r>
          </w:p>
        </w:tc>
        <w:tc>
          <w:tcPr/>
          <w:p>
            <w:pPr>
              <w:pStyle w:val="Compact"/>
            </w:pPr>
            <w:r>
              <w:t xml:space="preserve">A “normal” C3/C4 does not mean no inflammation; level ≠ activation rate</w:t>
            </w:r>
          </w:p>
        </w:tc>
      </w:tr>
      <w:tr>
        <w:tc>
          <w:tcPr/>
          <w:p>
            <w:pPr>
              <w:pStyle w:val="Compact"/>
            </w:pPr>
            <w:r>
              <w:rPr>
                <w:b/>
                <w:bCs/>
              </w:rPr>
              <w:t xml:space="preserve">Homocysteine</w:t>
            </w:r>
          </w:p>
        </w:tc>
        <w:tc>
          <w:tcPr/>
          <w:p>
            <w:pPr>
              <w:pStyle w:val="Compact"/>
            </w:pPr>
            <w:r>
              <w:t xml:space="preserve">Methionine metabolism; influenced by renal function, folate/B12/B6, genetics and endocrine states</w:t>
            </w:r>
          </w:p>
        </w:tc>
        <w:tc>
          <w:tcPr/>
          <w:p>
            <w:pPr>
              <w:pStyle w:val="Compact"/>
            </w:pPr>
            <w:r>
              <w:t xml:space="preserve">Metabolic/vascular molecule</w:t>
            </w:r>
          </w:p>
        </w:tc>
        <w:tc>
          <w:tcPr/>
          <w:p>
            <w:pPr>
              <w:pStyle w:val="Compact"/>
            </w:pPr>
            <w:r>
              <w:t xml:space="preserve">Not an acute-phase profile</w:t>
            </w:r>
          </w:p>
        </w:tc>
        <w:tc>
          <w:tcPr/>
          <w:p>
            <w:pPr>
              <w:pStyle w:val="Compact"/>
            </w:pPr>
            <w:r>
              <w:t xml:space="preserve">Nutrient deficiencies, CKD, genetic/metabolic factors</w:t>
            </w:r>
          </w:p>
        </w:tc>
        <w:tc>
          <w:tcPr/>
          <w:p>
            <w:pPr>
              <w:pStyle w:val="Compact"/>
            </w:pPr>
            <w:r>
              <w:t xml:space="preserve">Useful in selected metabolic/haematological questions</w:t>
            </w:r>
          </w:p>
        </w:tc>
        <w:tc>
          <w:tcPr/>
          <w:p>
            <w:pPr>
              <w:pStyle w:val="Compact"/>
            </w:pPr>
            <w:r>
              <w:rPr>
                <w:b/>
                <w:bCs/>
              </w:rPr>
              <w:t xml:space="preserve">Not a general inflammatory biomarker</w:t>
            </w:r>
            <w:r>
              <w:t xml:space="preserve"> </w:t>
            </w:r>
            <w:r>
              <w:t xml:space="preserve">and should not be used to localise inflammatory disease</w:t>
            </w:r>
          </w:p>
        </w:tc>
      </w:tr>
    </w:tbl>
    <w:p>
      <w:pPr>
        <w:pStyle w:val="BodyText"/>
      </w:pPr>
      <w:r>
        <w:t xml:space="preserve">A few practical consequences follow.</w:t>
      </w:r>
    </w:p>
    <w:p>
      <w:pPr>
        <w:pStyle w:val="BodyText"/>
      </w:pPr>
      <w:r>
        <w:rPr>
          <w:b/>
          <w:bCs/>
        </w:rPr>
        <w:t xml:space="preserve">CRP versus hsCRP.</w:t>
      </w:r>
      <w:r>
        <w:t xml:space="preserve"> </w:t>
      </w:r>
      <w:r>
        <w:t xml:space="preserve">They measure the same protein. hsCRP assays are simply sufficiently precise at lower concentrations to help stratify cardiovascular risk. They do not reveal subtler</w:t>
      </w:r>
      <w:r>
        <w:t xml:space="preserve"> </w:t>
      </w:r>
      <w:r>
        <w:rPr>
          <w:i/>
          <w:iCs/>
        </w:rPr>
        <w:t xml:space="preserve">causes</w:t>
      </w:r>
      <w:r>
        <w:t xml:space="preserve">. AHA material updated in March 2026 explicitly describes hsCRP as a signal/marker rather than the cause of inflammation and notes the value of confirming persistent elevation before interpreting it in cardiovascular risk assessment.</w:t>
      </w:r>
      <w:r>
        <w:t xml:space="preserve"> </w:t>
      </w:r>
      <w:hyperlink r:id="rId11">
        <w:r>
          <w:rPr>
            <w:rStyle w:val="Hyperlink"/>
          </w:rPr>
          <w:t xml:space="preserve">[41]</w:t>
        </w:r>
      </w:hyperlink>
    </w:p>
    <w:p>
      <w:pPr>
        <w:pStyle w:val="BodyText"/>
      </w:pPr>
      <w:r>
        <w:rPr>
          <w:b/>
          <w:bCs/>
        </w:rPr>
        <w:t xml:space="preserve">CRP versus cytokines.</w:t>
      </w:r>
      <w:r>
        <w:t xml:space="preserve"> </w:t>
      </w:r>
      <w:r>
        <w:t xml:space="preserve">CRP is downstream but comparatively stable. IL-6 and TNF are upstream and potentially closer to mechanism, but greater mechanistic proximity does not automatically make them better clinical diagnostic markers: the price is shorter-lived, compartmentalised, circadian and pre-analytically sensitive signals. A 24-hour high-frequency sampling study demonstrated rhythmic IL-6 variation in healthy humans, while controlled sample-handling work found that tube type and delays before processing can materially alter measured cytokine concentrations.</w:t>
      </w:r>
      <w:r>
        <w:t xml:space="preserve"> </w:t>
      </w:r>
      <w:hyperlink r:id="rId40">
        <w:r>
          <w:rPr>
            <w:rStyle w:val="Hyperlink"/>
          </w:rPr>
          <w:t xml:space="preserve">[42]</w:t>
        </w:r>
      </w:hyperlink>
    </w:p>
    <w:p>
      <w:pPr>
        <w:pStyle w:val="BodyText"/>
      </w:pPr>
      <w:r>
        <w:rPr>
          <w:b/>
          <w:bCs/>
        </w:rPr>
        <w:t xml:space="preserve">Ferritin.</w:t>
      </w:r>
      <w:r>
        <w:t xml:space="preserve"> </w:t>
      </w:r>
      <w:r>
        <w:t xml:space="preserve">High ferritin is not synonymous with “very high inflammation.” Ferritin simultaneously reflects iron storage, acute-phase biology, hepatocellular release and macrophage physiology. In an experimental human viral infection, ferritin and hepcidin increased while serum iron and transferrin saturation fell, demonstrating the classic inflammation-driven iron-sequestration programme. In adult-onset Still disease/macrophage activation cohorts, disproportionate ferritin accompanied by abnormalities such as cytopenias, transaminases, triglycerides and fibrinogen can become diagnostically important—but ferritin alone remains inadequate.</w:t>
      </w:r>
      <w:r>
        <w:t xml:space="preserve"> </w:t>
      </w:r>
      <w:hyperlink r:id="rId24">
        <w:r>
          <w:rPr>
            <w:rStyle w:val="Hyperlink"/>
          </w:rPr>
          <w:t xml:space="preserve">[43]</w:t>
        </w:r>
      </w:hyperlink>
    </w:p>
    <w:p>
      <w:pPr>
        <w:pStyle w:val="BodyText"/>
      </w:pPr>
      <w:r>
        <w:rPr>
          <w:b/>
          <w:bCs/>
        </w:rPr>
        <w:t xml:space="preserve">ESR.</w:t>
      </w:r>
      <w:r>
        <w:t xml:space="preserve"> </w:t>
      </w:r>
      <w:r>
        <w:t xml:space="preserve">ESR is even further removed from inflammatory signalling than CRP. It integrates plasma-protein and red-cell effects, which is why ESR can remain elevated after CRP declines and why anaemia, renal disease or immunoglobulin abnormalities can raise it independently. An elevated ESR with normal CRP can therefore point away from a brisk IL-6-driven acute-phase process and toward slower inflammatory disease or non-inflammatory ESR determinants; monoclonal gammopathy is one clinically important example.</w:t>
      </w:r>
      <w:r>
        <w:t xml:space="preserve"> </w:t>
      </w:r>
      <w:hyperlink r:id="rId35">
        <w:r>
          <w:rPr>
            <w:rStyle w:val="Hyperlink"/>
          </w:rPr>
          <w:t xml:space="preserve">[32]</w:t>
        </w:r>
      </w:hyperlink>
    </w:p>
    <w:p>
      <w:pPr>
        <w:pStyle w:val="BodyText"/>
      </w:pPr>
      <w:r>
        <w:rPr>
          <w:b/>
          <w:bCs/>
        </w:rPr>
        <w:t xml:space="preserve">Part X within biomarker interpretation — Cytokine testing.</w:t>
      </w:r>
      <w:r>
        <w:t xml:space="preserve"> </w:t>
      </w:r>
      <w:r>
        <w:t xml:space="preserve">Direct TNF-α, IL-6 and broader multiplex cytokine panels are attractive because they appear to measure “the actual inflammation”. In generic outpatient investigation, however, they often produce less information than CRP/CBC plus good localisation. The reasons are biological and analytical: cytokines can be secreted transiently; concentrations differ between serum and plasma; platelets and blood cells can alter concentrations after collection; delays in processing change some analytes; circadian rhythms are substantial; different platforms have different calibrations and lower limits of detection; and soluble receptors/binding proteins can dissociate measured concentration from bioactivity.</w:t>
      </w:r>
      <w:r>
        <w:t xml:space="preserve"> </w:t>
      </w:r>
      <w:hyperlink r:id="rId41">
        <w:r>
          <w:rPr>
            <w:rStyle w:val="Hyperlink"/>
          </w:rPr>
          <w:t xml:space="preserve">[44]</w:t>
        </w:r>
      </w:hyperlink>
    </w:p>
    <w:p>
      <w:pPr>
        <w:pStyle w:val="BodyText"/>
      </w:pPr>
      <w:r>
        <w:t xml:space="preserve">There is therefore no validated generic interpretation in which, for example, “TNF-α above the commercial laboratory reference interval” identifies adipose, gut or autoimmune inflammation. Reference intervals are assay-specific population descriptors, not mechanistically validated decision boundaries. Consumer cytokine panels add another statistical problem: measuring many fluctuating analytes virtually guarantees occasional out-of-range values even in healthy people. Without a pre-specified clinical hypothesis and validated decision threshold, additional measurements can</w:t>
      </w:r>
      <w:r>
        <w:t xml:space="preserve"> </w:t>
      </w:r>
      <w:r>
        <w:rPr>
          <w:b/>
          <w:bCs/>
        </w:rPr>
        <w:t xml:space="preserve">increase uncertainty rather than reduce it</w:t>
      </w:r>
      <w:r>
        <w:t xml:space="preserve">. FDA information on direct-to-consumer testing similarly warns that test availability does not in itself establish that every marketed assay has independently demonstrated clinical validity or usefulness.</w:t>
      </w:r>
      <w:r>
        <w:t xml:space="preserve"> </w:t>
      </w:r>
      <w:hyperlink r:id="rId42">
        <w:r>
          <w:rPr>
            <w:rStyle w:val="Hyperlink"/>
          </w:rPr>
          <w:t xml:space="preserve">[45]</w:t>
        </w:r>
      </w:hyperlink>
    </w:p>
    <w:p>
      <w:pPr>
        <w:pStyle w:val="BodyText"/>
      </w:pPr>
      <w:r>
        <w:rPr>
          <w:b/>
          <w:bCs/>
        </w:rPr>
        <w:t xml:space="preserve">Part XIV — Biomarker-pattern decision trees.</w:t>
      </w:r>
      <w:r>
        <w:t xml:space="preserve"> </w:t>
      </w:r>
      <w:r>
        <w:t xml:space="preserve">Combinations alter probabilities, but none of the following patterns is diagnostic: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What it makes more plausible</w:t>
            </w:r>
          </w:p>
        </w:tc>
        <w:tc>
          <w:tcPr/>
          <w:p>
            <w:pPr>
              <w:pStyle w:val="Compact"/>
            </w:pPr>
            <w:r>
              <w:t xml:space="preserve">Important alternatives / next question</w:t>
            </w:r>
          </w:p>
        </w:tc>
      </w:tr>
      <w:tr>
        <w:tc>
          <w:tcPr/>
          <w:p>
            <w:pPr>
              <w:pStyle w:val="Compact"/>
            </w:pPr>
            <w:r>
              <w:rPr>
                <w:b/>
                <w:bCs/>
              </w:rPr>
              <w:t xml:space="preserve">CRP ↑ + ESR ↑</w:t>
            </w:r>
          </w:p>
        </w:tc>
        <w:tc>
          <w:tcPr/>
          <w:p>
            <w:pPr>
              <w:pStyle w:val="Compact"/>
            </w:pPr>
            <w:r>
              <w:t xml:space="preserve">Concordant systemic acute-phase response; infection, inflammatory disease, tissue injury, malignancy all remain possible</w:t>
            </w:r>
          </w:p>
        </w:tc>
        <w:tc>
          <w:tcPr/>
          <w:p>
            <w:pPr>
              <w:pStyle w:val="Compact"/>
            </w:pPr>
            <w:r>
              <w:rPr>
                <w:i/>
                <w:iCs/>
              </w:rPr>
              <w:t xml:space="preserve">Where is the process localising, and is it transient or persistent?</w:t>
            </w:r>
          </w:p>
        </w:tc>
      </w:tr>
      <w:tr>
        <w:tc>
          <w:tcPr/>
          <w:p>
            <w:pPr>
              <w:pStyle w:val="Compact"/>
            </w:pPr>
            <w:r>
              <w:rPr>
                <w:b/>
                <w:bCs/>
              </w:rPr>
              <w:t xml:space="preserve">CRP ↑ + ESR normal</w:t>
            </w:r>
          </w:p>
        </w:tc>
        <w:tc>
          <w:tcPr/>
          <w:p>
            <w:pPr>
              <w:pStyle w:val="Compact"/>
            </w:pPr>
            <w:r>
              <w:t xml:space="preserve">Early/rapid inflammatory response, low-grade metabolic inflammation or a process too recent for ESR</w:t>
            </w:r>
          </w:p>
        </w:tc>
        <w:tc>
          <w:tcPr/>
          <w:p>
            <w:pPr>
              <w:pStyle w:val="Compact"/>
            </w:pPr>
            <w:r>
              <w:t xml:space="preserve">ESR may remain normal because of RBC factors.</w:t>
            </w:r>
            <w:r>
              <w:t xml:space="preserve"> </w:t>
            </w:r>
            <w:r>
              <w:rPr>
                <w:i/>
                <w:iCs/>
              </w:rPr>
              <w:t xml:space="preserve">Repeat/trend and examine time course.</w:t>
            </w:r>
          </w:p>
        </w:tc>
      </w:tr>
      <w:tr>
        <w:tc>
          <w:tcPr/>
          <w:p>
            <w:pPr>
              <w:pStyle w:val="Compact"/>
            </w:pPr>
            <w:r>
              <w:rPr>
                <w:b/>
                <w:bCs/>
              </w:rPr>
              <w:t xml:space="preserve">ESR ↑ + CRP normal</w:t>
            </w:r>
          </w:p>
        </w:tc>
        <w:tc>
          <w:tcPr/>
          <w:p>
            <w:pPr>
              <w:pStyle w:val="Compact"/>
            </w:pPr>
            <w:r>
              <w:t xml:space="preserve">Slow/chronic inflammatory state, immunoglobulin excess</w:t>
            </w:r>
          </w:p>
        </w:tc>
        <w:tc>
          <w:tcPr/>
          <w:p>
            <w:pPr>
              <w:pStyle w:val="Compact"/>
            </w:pPr>
            <w:r>
              <w:t xml:space="preserve">Anaemia, CKD, age/pregnancy and monoclonal protein become more relevant; SLE can show CRP suppression in type-I-IFN-rich states.</w:t>
            </w:r>
            <w:r>
              <w:t xml:space="preserve"> </w:t>
            </w:r>
            <w:hyperlink r:id="rId43">
              <w:r>
                <w:rPr>
                  <w:rStyle w:val="Hyperlink"/>
                </w:rPr>
                <w:t xml:space="preserve">[46]</w:t>
              </w:r>
            </w:hyperlink>
          </w:p>
        </w:tc>
      </w:tr>
      <w:tr>
        <w:tc>
          <w:tcPr/>
          <w:p>
            <w:pPr>
              <w:pStyle w:val="Compact"/>
            </w:pPr>
            <w:r>
              <w:rPr>
                <w:b/>
                <w:bCs/>
              </w:rPr>
              <w:t xml:space="preserve">CRP ↑ + ferritin ↑</w:t>
            </w:r>
          </w:p>
        </w:tc>
        <w:tc>
          <w:tcPr/>
          <w:p>
            <w:pPr>
              <w:pStyle w:val="Compact"/>
            </w:pPr>
            <w:r>
              <w:t xml:space="preserve">Acute-phase/infection, hepatic injury or metabolic inflammation</w:t>
            </w:r>
          </w:p>
        </w:tc>
        <w:tc>
          <w:tcPr/>
          <w:p>
            <w:pPr>
              <w:pStyle w:val="Compact"/>
            </w:pPr>
            <w:r>
              <w:t xml:space="preserve">Ferritin is nonspecific. Cytopenias + liver injury + triglyceride/fibrinogen abnormalities change the urgency toward hyperinflammatory syndromes.</w:t>
            </w:r>
            <w:r>
              <w:t xml:space="preserve"> </w:t>
            </w:r>
            <w:hyperlink r:id="rId44">
              <w:r>
                <w:rPr>
                  <w:rStyle w:val="Hyperlink"/>
                </w:rPr>
                <w:t xml:space="preserve">[47]</w:t>
              </w:r>
            </w:hyperlink>
          </w:p>
        </w:tc>
      </w:tr>
      <w:tr>
        <w:tc>
          <w:tcPr/>
          <w:p>
            <w:pPr>
              <w:pStyle w:val="Compact"/>
            </w:pPr>
            <w:r>
              <w:rPr>
                <w:b/>
                <w:bCs/>
              </w:rPr>
              <w:t xml:space="preserve">CRP ↑ + neutrophilia</w:t>
            </w:r>
          </w:p>
        </w:tc>
        <w:tc>
          <w:tcPr/>
          <w:p>
            <w:pPr>
              <w:pStyle w:val="Compact"/>
            </w:pPr>
            <w:r>
              <w:t xml:space="preserve">Infection or acute tissue injury becomes more likely</w:t>
            </w:r>
          </w:p>
        </w:tc>
        <w:tc>
          <w:tcPr/>
          <w:p>
            <w:pPr>
              <w:pStyle w:val="Compact"/>
            </w:pPr>
            <w:r>
              <w:t xml:space="preserve">Corticosteroids, physiological stress, smoking and necrosis can also cause neutrophilia</w:t>
            </w:r>
          </w:p>
        </w:tc>
      </w:tr>
      <w:tr>
        <w:tc>
          <w:tcPr/>
          <w:p>
            <w:pPr>
              <w:pStyle w:val="Compact"/>
            </w:pPr>
            <w:r>
              <w:rPr>
                <w:b/>
                <w:bCs/>
              </w:rPr>
              <w:t xml:space="preserve">CRP ↑ + metabolic syndrome/visceral adiposity</w:t>
            </w:r>
          </w:p>
        </w:tc>
        <w:tc>
          <w:tcPr/>
          <w:p>
            <w:pPr>
              <w:pStyle w:val="Compact"/>
            </w:pPr>
            <w:r>
              <w:t xml:space="preserve">Adipose/metabolic inflammation becomes a strong contributor</w:t>
            </w:r>
          </w:p>
        </w:tc>
        <w:tc>
          <w:tcPr/>
          <w:p>
            <w:pPr>
              <w:pStyle w:val="Compact"/>
            </w:pPr>
            <w:r>
              <w:t xml:space="preserve">Do not let obesity “explain away” new fever, focal symptoms, anaemia or progressive CRP.</w:t>
            </w:r>
            <w:r>
              <w:t xml:space="preserve"> </w:t>
            </w:r>
            <w:hyperlink r:id="rId13">
              <w:r>
                <w:rPr>
                  <w:rStyle w:val="Hyperlink"/>
                </w:rPr>
                <w:t xml:space="preserve">[48]</w:t>
              </w:r>
            </w:hyperlink>
          </w:p>
        </w:tc>
      </w:tr>
      <w:tr>
        <w:tc>
          <w:tcPr/>
          <w:p>
            <w:pPr>
              <w:pStyle w:val="Compact"/>
            </w:pPr>
            <w:r>
              <w:rPr>
                <w:b/>
                <w:bCs/>
              </w:rPr>
              <w:t xml:space="preserve">CRP ↑ + faecal calprotectin ↑</w:t>
            </w:r>
          </w:p>
        </w:tc>
        <w:tc>
          <w:tcPr/>
          <w:p>
            <w:pPr>
              <w:pStyle w:val="Compact"/>
            </w:pPr>
            <w:r>
              <w:t xml:space="preserve">Intestinal mucosal inflammation gains probability</w:t>
            </w:r>
          </w:p>
        </w:tc>
        <w:tc>
          <w:tcPr/>
          <w:p>
            <w:pPr>
              <w:pStyle w:val="Compact"/>
            </w:pPr>
            <w:r>
              <w:t xml:space="preserve">IBD and enteric infection still require differentiation; calprotectin localises to intestinal neutrophilic inflammation better than CRP.</w:t>
            </w:r>
            <w:r>
              <w:t xml:space="preserve"> </w:t>
            </w:r>
            <w:hyperlink r:id="rId25">
              <w:r>
                <w:rPr>
                  <w:rStyle w:val="Hyperlink"/>
                </w:rPr>
                <w:t xml:space="preserve">[49]</w:t>
              </w:r>
            </w:hyperlink>
          </w:p>
        </w:tc>
      </w:tr>
      <w:tr>
        <w:tc>
          <w:tcPr/>
          <w:p>
            <w:pPr>
              <w:pStyle w:val="Compact"/>
            </w:pPr>
            <w:r>
              <w:rPr>
                <w:b/>
                <w:bCs/>
              </w:rPr>
              <w:t xml:space="preserve">CRP ↑ + disease-relevant autoimmune findings</w:t>
            </w:r>
          </w:p>
        </w:tc>
        <w:tc>
          <w:tcPr/>
          <w:p>
            <w:pPr>
              <w:pStyle w:val="Compact"/>
            </w:pPr>
            <w:r>
              <w:t xml:space="preserve">Autoimmune inflammatory disease becomes more plausible</w:t>
            </w:r>
          </w:p>
        </w:tc>
        <w:tc>
          <w:tcPr/>
          <w:p>
            <w:pPr>
              <w:pStyle w:val="Compact"/>
            </w:pPr>
            <w:r>
              <w:t xml:space="preserve">Autoantibody positivity without compatible phenotype may be incidental; interpret disease-specific titres/patterns, complement, urinalysis and organ findings together</w:t>
            </w:r>
          </w:p>
        </w:tc>
      </w:tr>
      <w:tr>
        <w:tc>
          <w:tcPr/>
          <w:p>
            <w:pPr>
              <w:pStyle w:val="Compact"/>
            </w:pPr>
            <w:r>
              <w:rPr>
                <w:b/>
                <w:bCs/>
              </w:rPr>
              <w:t xml:space="preserve">IL-6 ↑ + CRP normal</w:t>
            </w:r>
          </w:p>
        </w:tc>
        <w:tc>
          <w:tcPr/>
          <w:p>
            <w:pPr>
              <w:pStyle w:val="Compact"/>
            </w:pPr>
            <w:r>
              <w:t xml:space="preserve">Possible very early signal, circadian/analytical fluctuation or local cytokine production</w:t>
            </w:r>
          </w:p>
        </w:tc>
        <w:tc>
          <w:tcPr/>
          <w:p>
            <w:pPr>
              <w:pStyle w:val="Compact"/>
            </w:pPr>
            <w:r>
              <w:t xml:space="preserve">Liver synthetic dysfunction, IL-6-pathway treatment and assay effects can uncouple the two. Repeating a validated standard marker usually has more value than inferring a rare cytokine syndrome.</w:t>
            </w:r>
            <w:r>
              <w:t xml:space="preserve"> </w:t>
            </w:r>
            <w:hyperlink r:id="rId40">
              <w:r>
                <w:rPr>
                  <w:rStyle w:val="Hyperlink"/>
                </w:rPr>
                <w:t xml:space="preserve">[42]</w:t>
              </w:r>
            </w:hyperlink>
          </w:p>
        </w:tc>
      </w:tr>
      <w:tr>
        <w:tc>
          <w:tcPr/>
          <w:p>
            <w:pPr>
              <w:pStyle w:val="Compact"/>
            </w:pPr>
            <w:r>
              <w:rPr>
                <w:b/>
                <w:bCs/>
              </w:rPr>
              <w:t xml:space="preserve">TNF-α ↑ with normal CRP/ESR/CBC</w:t>
            </w:r>
          </w:p>
        </w:tc>
        <w:tc>
          <w:tcPr/>
          <w:p>
            <w:pPr>
              <w:pStyle w:val="Compact"/>
            </w:pPr>
            <w:r>
              <w:t xml:space="preserve">True local TNF activity is possible</w:t>
            </w:r>
          </w:p>
        </w:tc>
        <w:tc>
          <w:tcPr/>
          <w:p>
            <w:pPr>
              <w:pStyle w:val="Compact"/>
            </w:pPr>
            <w:r>
              <w:t xml:space="preserve">Pre-analytical/assay variation and biological fluctuation are often at least as plausible.</w:t>
            </w:r>
            <w:r>
              <w:t xml:space="preserve"> </w:t>
            </w:r>
            <w:r>
              <w:rPr>
                <w:i/>
                <w:iCs/>
              </w:rPr>
              <w:t xml:space="preserve">What clinical hypothesis would change based on the result?</w:t>
            </w:r>
          </w:p>
        </w:tc>
      </w:tr>
    </w:tbl>
    <w:p>
      <w:pPr>
        <w:pStyle w:val="BodyText"/>
      </w:pPr>
      <w:r>
        <w:t xml:space="preserve">A crucial discordance is</w:t>
      </w:r>
      <w:r>
        <w:t xml:space="preserve"> </w:t>
      </w:r>
      <w:r>
        <w:rPr>
          <w:b/>
          <w:bCs/>
        </w:rPr>
        <w:t xml:space="preserve">substantial local inflammation with normal systemic biomarkers</w:t>
      </w:r>
      <w:r>
        <w:t xml:space="preserve">. IBD studies provide an empirical demonstration: faecal calprotectin can correlate far better with endoscopic disease than systemic CRP. Likewise, peripheral cytokine changes do not map one-to-one onto CNS microglial activity. Blood is therefore an informative but incomplete sampling compartment.</w:t>
      </w:r>
      <w:r>
        <w:t xml:space="preserve"> </w:t>
      </w:r>
      <w:hyperlink r:id="rId25">
        <w:r>
          <w:rPr>
            <w:rStyle w:val="Hyperlink"/>
          </w:rPr>
          <w:t xml:space="preserve">[50]</w:t>
        </w:r>
      </w:hyperlink>
    </w:p>
    <w:p>
      <w:pPr>
        <w:pStyle w:val="BodyText"/>
      </w:pPr>
      <w:r>
        <w:t xml:space="preserve">Population reference intervals also should not be confused with an individual’s biological baseline. Age, body composition, smoking, pregnancy/hormonal state, medications, recent infection, recent vaccination or injury, sleep, exercise and sampling time can alter inflammatory measurements. For low-range longitudinal questions, repeated measurements under similar conditions can therefore carry substantially more information than comparing a single observation with a population cut-off. The 2026 AHA hsCRP material explicitly discusses confirming an elevated measurement before drawing cardiovascular-risk conclusions.</w:t>
      </w:r>
      <w:r>
        <w:t xml:space="preserve"> </w:t>
      </w:r>
      <w:hyperlink r:id="rId11">
        <w:r>
          <w:rPr>
            <w:rStyle w:val="Hyperlink"/>
          </w:rPr>
          <w:t xml:space="preserve">[51]</w:t>
        </w:r>
      </w:hyperlink>
    </w:p>
    <w:bookmarkEnd w:id="45"/>
    <w:bookmarkEnd w:id="46"/>
    <w:bookmarkStart w:id="66" w:name="Xb23e53f3be2601f8b03f5e7c023ec0ee9317337"/>
    <w:p>
      <w:pPr>
        <w:pStyle w:val="Heading2"/>
      </w:pPr>
      <w:r>
        <w:t xml:space="preserve">Upstream drivers, tissue sources and sustaining feedback loops</w:t>
      </w:r>
    </w:p>
    <w:p>
      <w:pPr>
        <w:pStyle w:val="FirstParagraph"/>
      </w:pPr>
      <w:r>
        <w:rPr>
          <w:b/>
          <w:bCs/>
        </w:rPr>
        <w:t xml:space="preserve">Part IV — Major upstream causes of chronic systemic inflammation; Parts VII–XII — metabolic, gut, neuroimmune, infectious, autoimmune, environmental and behavioural mechanisms.</w:t>
      </w:r>
    </w:p>
    <w:bookmarkStart w:id="48" w:name="metabolic-inflammation"/>
    <w:p>
      <w:pPr>
        <w:pStyle w:val="Heading3"/>
      </w:pPr>
      <w:r>
        <w:t xml:space="preserve">Metabolic inflammation</w:t>
      </w:r>
    </w:p>
    <w:p>
      <w:pPr>
        <w:pStyle w:val="FirstParagraph"/>
      </w:pPr>
      <w:r>
        <w:t xml:space="preserve">Visceral adiposity is among the best-supported mechanisms for chronic low-grade inflammatory signalling. As adipocytes enlarge, local hypoxia, lipid flux, cell stress and cell death alter the adipose immune environment; chemokines recruit monocytes, macrophages accumulate, and macrophage/adipocyte cytokine networks include TNF, IL-6 and IL-1-related signalling. In humans, obesity is associated with marked adipose macrophage accumulation, and portal sampling demonstrates that visceral tissues can contribute disproportionately to systemic IL-6.</w:t>
      </w:r>
      <w:r>
        <w:t xml:space="preserve"> </w:t>
      </w:r>
      <w:r>
        <w:rPr>
          <w:b/>
          <w:bCs/>
        </w:rPr>
        <w:t xml:space="preserve">Evidence: A/B; likely causal and bidirectional.</w:t>
      </w:r>
      <w:r>
        <w:t xml:space="preserve"> </w:t>
      </w:r>
      <w:hyperlink r:id="rId13">
        <w:r>
          <w:rPr>
            <w:rStyle w:val="Hyperlink"/>
          </w:rPr>
          <w:t xml:space="preserve">[48]</w:t>
        </w:r>
      </w:hyperlink>
    </w:p>
    <w:p>
      <w:pPr>
        <w:pStyle w:val="BodyText"/>
      </w:pPr>
      <w:r>
        <w:t xml:space="preserve">The relationship with insulin resistance is reciprocal rather than “inflammation causes diabetes” in a simple linear sense:</w:t>
      </w:r>
    </w:p>
    <w:p>
      <w:pPr>
        <w:pStyle w:val="BodyText"/>
      </w:pPr>
      <w:r>
        <w:rPr>
          <w:b/>
          <w:bCs/>
        </w:rPr>
        <w:t xml:space="preserve">visceral adiposity → adipocyte stress/lipotoxicity → macrophage recruitment → TNF/IL-6/IL-1 signalling → impaired insulin action → hyperglycaemia/free-fatty-acid flux → additional cellular stress → more inflammation.</w:t>
      </w:r>
    </w:p>
    <w:p>
      <w:pPr>
        <w:pStyle w:val="BodyText"/>
      </w:pPr>
      <w:r>
        <w:t xml:space="preserve">The causality does not run only one way. Human IL-1-receptor blockade improved glycaemic control and β-cell-related outcomes in type 2 diabetes, supporting a causal inflammatory component, while weight-loss trials show that improving the upstream energy/adiposity state reduces hsCRP irrespective of major differences in macronutrient composition.</w:t>
      </w:r>
      <w:r>
        <w:t xml:space="preserve"> </w:t>
      </w:r>
      <w:hyperlink r:id="rId47">
        <w:r>
          <w:rPr>
            <w:rStyle w:val="Hyperlink"/>
          </w:rPr>
          <w:t xml:space="preserve">[52]</w:t>
        </w:r>
      </w:hyperlink>
    </w:p>
    <w:p>
      <w:pPr>
        <w:pStyle w:val="BodyText"/>
      </w:pPr>
      <w:r>
        <w:t xml:space="preserve">Fatty liver/MASLD can join this loop through hepatic lipid accumulation, lipotoxicity, Kupffer-cell activation and hepatocyte damage. Because the liver also produces CRP and ferritin-related acute-phase responses, metabolic liver disease can generate confusing combinations of inflammatory and liver biomarkers. A high ferritin in this setting therefore should not automatically be labelled iron overload or macrophage-activation disease.</w:t>
      </w:r>
    </w:p>
    <w:p>
      <w:pPr>
        <w:pStyle w:val="BodyText"/>
      </w:pPr>
      <w:r>
        <w:t xml:space="preserve">Leptin and adiponectin are mechanistically relevant rather than interchangeable “inflammatory markers”: leptin links energy stores to immune-cell activation and is commonly elevated with adipose expansion, whereas adiponectin tends to fall with metabolically dysfunctional adiposity and has insulin-sensitising/vascular effects. Their measurement, however, rarely provides more clinical localisation information than waist/body composition, glucose regulation, triglycerides/HDL, liver markers and the overall metabolic phenotype.</w:t>
      </w:r>
    </w:p>
    <w:bookmarkEnd w:id="48"/>
    <w:bookmarkStart w:id="49" w:name="gut-and-mucosal-inflammation"/>
    <w:p>
      <w:pPr>
        <w:pStyle w:val="Heading3"/>
      </w:pPr>
      <w:r>
        <w:t xml:space="preserve">Gut and mucosal inflammation</w:t>
      </w:r>
    </w:p>
    <w:p>
      <w:pPr>
        <w:pStyle w:val="FirstParagraph"/>
      </w:pPr>
      <w:r>
        <w:t xml:space="preserve">The intestinal barrier is a real anatomical system: epithelial cells linked by junctional complexes, mucus, antimicrobial peptides, secretory IgA, immune cells and microbial metabolites collectively regulate what reaches the lamina propria. Barrier dysfunction is demonstrable in diseases such as Crohn’s disease and ulcerative colitis, and modern isotope-sugar permeability testing continues to demonstrate abnormal permeability in at least subsets of patients.</w:t>
      </w:r>
      <w:r>
        <w:t xml:space="preserve"> </w:t>
      </w:r>
      <w:r>
        <w:rPr>
          <w:b/>
          <w:bCs/>
        </w:rPr>
        <w:t xml:space="preserve">Evidence: A/B for disease-specific barrier dysfunction.</w:t>
      </w:r>
      <w:r>
        <w:t xml:space="preserve"> </w:t>
      </w:r>
      <w:hyperlink r:id="rId31">
        <w:r>
          <w:rPr>
            <w:rStyle w:val="Hyperlink"/>
          </w:rPr>
          <w:t xml:space="preserve">[53]</w:t>
        </w:r>
      </w:hyperlink>
    </w:p>
    <w:p>
      <w:pPr>
        <w:pStyle w:val="BodyText"/>
      </w:pPr>
      <w:r>
        <w:t xml:space="preserve">The popular inference that almost any elevated CRP, fatigue or metabolic problem represents a clinically diagnosable syndrome of generic “leaky gut” is far less secure. A particularly important analytical study found that a widely used commercial ELISA marketed as measuring “zonulin” did not reliably measure the proposed pre-haptoglobin-2 molecule at all. This does not invalidate intestinal-barrier biology; it invalidates the leap from real barrier biology to poorly validated commercial testing.</w:t>
      </w:r>
      <w:r>
        <w:t xml:space="preserve"> </w:t>
      </w:r>
      <w:r>
        <w:rPr>
          <w:b/>
          <w:bCs/>
        </w:rPr>
        <w:t xml:space="preserve">Evidence for disease-specific permeability: A/B. Evidence for generic commercial “leaky gut” diagnosis: D/E.</w:t>
      </w:r>
      <w:r>
        <w:t xml:space="preserve"> </w:t>
      </w:r>
      <w:hyperlink r:id="rId18">
        <w:r>
          <w:rPr>
            <w:rStyle w:val="Hyperlink"/>
          </w:rPr>
          <w:t xml:space="preserve">[11]</w:t>
        </w:r>
      </w:hyperlink>
    </w:p>
    <w:p>
      <w:pPr>
        <w:pStyle w:val="BodyText"/>
      </w:pPr>
      <w:r>
        <w:t xml:space="preserve">A plausible gut inflammatory loop is:</w:t>
      </w:r>
    </w:p>
    <w:p>
      <w:pPr>
        <w:pStyle w:val="BodyText"/>
      </w:pPr>
      <w:r>
        <w:rPr>
          <w:b/>
          <w:bCs/>
        </w:rPr>
        <w:t xml:space="preserve">epithelial/barrier injury → increased exposure of mucosal immunity to microbial products and antigens → innate/adaptive activation → cytokines and epithelial damage → further barrier dysfunction.</w:t>
      </w:r>
    </w:p>
    <w:p>
      <w:pPr>
        <w:pStyle w:val="BodyText"/>
      </w:pPr>
      <w:r>
        <w:t xml:space="preserve">This is strongly defensible in established mucosal disease such as IBD. Extrapolating the same loop to otherwise healthy people with isolated CRP elevation is much less certain. Faecal calprotectin has far greater information gain when there are compatible gastrointestinal symptoms because it samples neutrophilic intestinal inflammation more directly; a prospective 267-patient study found substantially better endoscopic accuracy for faecal calprotectin than CRP in ulcerative colitis.</w:t>
      </w:r>
      <w:r>
        <w:t xml:space="preserve"> </w:t>
      </w:r>
      <w:hyperlink r:id="rId25">
        <w:r>
          <w:rPr>
            <w:rStyle w:val="Hyperlink"/>
          </w:rPr>
          <w:t xml:space="preserve">[49]</w:t>
        </w:r>
      </w:hyperlink>
    </w:p>
    <w:p>
      <w:pPr>
        <w:pStyle w:val="BodyText"/>
      </w:pPr>
      <w:r>
        <w:t xml:space="preserve">Microbiome metabolites such as short-chain fatty acids, secondary bile acids and tryptophan metabolites provide genuine molecular communication between microbes, epithelium, metabolism and mucosal immune populations. However, translating microbiome composition into individual diagnosis remains difficult because microbiota vary enormously with diet, geography, medication and host factors, and many associations are bidirectional. Therefore,</w:t>
      </w:r>
      <w:r>
        <w:t xml:space="preserve"> </w:t>
      </w:r>
      <w:r>
        <w:rPr>
          <w:b/>
          <w:bCs/>
        </w:rPr>
        <w:t xml:space="preserve">microbiome mechanisms are biologically credible; commercial stool profiles that claim to identify the cause of systemic inflammation generally exceed validated clinical evidence.</w:t>
      </w:r>
    </w:p>
    <w:p>
      <w:pPr>
        <w:pStyle w:val="BodyText"/>
      </w:pPr>
      <w:r>
        <w:t xml:space="preserve">LPS/endotoxin can activate innate pathways and is an attractive proposed mediator between gut barrier dysfunction and metabolic inflammation. The “metabolic endotoxaemia” concept is plausible and has extensive mechanistic support, but translating small differences in circulating LPS into routine clinical diagnosis remains limited by assay problems, contamination risk, biological variability and incomplete interventional validation.</w:t>
      </w:r>
      <w:r>
        <w:t xml:space="preserve"> </w:t>
      </w:r>
      <w:r>
        <w:rPr>
          <w:b/>
          <w:bCs/>
        </w:rPr>
        <w:t xml:space="preserve">Evidence: B/D for mechanism depending on context; C for routine diagnosis of unexplained CRP.</w:t>
      </w:r>
    </w:p>
    <w:bookmarkEnd w:id="49"/>
    <w:bookmarkStart w:id="50" w:name="chronic-and-occult-infection"/>
    <w:p>
      <w:pPr>
        <w:pStyle w:val="Heading3"/>
      </w:pPr>
      <w:r>
        <w:t xml:space="preserve">Chronic and occult infection</w:t>
      </w:r>
    </w:p>
    <w:p>
      <w:pPr>
        <w:pStyle w:val="FirstParagraph"/>
      </w:pPr>
      <w:r>
        <w:t xml:space="preserve">Persistent infection remains important, but the search should be</w:t>
      </w:r>
      <w:r>
        <w:t xml:space="preserve"> </w:t>
      </w:r>
      <w:r>
        <w:rPr>
          <w:b/>
          <w:bCs/>
        </w:rPr>
        <w:t xml:space="preserve">probability-driven rather than panel-driven</w:t>
      </w:r>
      <w:r>
        <w:t xml:space="preserve">. Prior probability increases with fever or recurrent fever, localising pain, persistent cough, urinary symptoms, diarrhoea, immunosuppression, travel/exposure history, implanted material, abnormal imaging, lymphadenopathy, abnormal liver tests, endocarditis risk, specific sexual/blood exposure risks or epidemiological context. An isolated inflammatory marker is insufficient justification for broad testing for dozens of latent organisms.</w:t>
      </w:r>
    </w:p>
    <w:p>
      <w:pPr>
        <w:pStyle w:val="BodyText"/>
      </w:pPr>
      <w:r>
        <w:t xml:space="preserve">Periodontal disease is a useful model of a small chronic inflammatory source with systemic consequences. In a randomised trial of 120 participants with severe periodontitis, intensive periodontal treatment initially increased CRP/IL-6 and transiently impaired endothelial function—consistent with acute procedural inflammatory exposure—but subsequently improved endothelial function over months. Yet the subsequent PAVE randomised trial found no significant six-month hsCRP benefit in intention-to-treat analysis. This is precisely why evidence synthesis must retain negative studies: periodontal inflammation can be biologically systemic without guaranteeing that every periodontal intervention measurably lowers CRP in every population.</w:t>
      </w:r>
      <w:r>
        <w:t xml:space="preserve"> </w:t>
      </w:r>
      <w:r>
        <w:rPr>
          <w:b/>
          <w:bCs/>
        </w:rPr>
        <w:t xml:space="preserve">Evidence: B, likely causal for local disease; systemic CRP effect heterogeneous.</w:t>
      </w:r>
      <w:r>
        <w:t xml:space="preserve"> </w:t>
      </w:r>
      <w:hyperlink r:id="rId19">
        <w:r>
          <w:rPr>
            <w:rStyle w:val="Hyperlink"/>
          </w:rPr>
          <w:t xml:space="preserve">[12]</w:t>
        </w:r>
      </w:hyperlink>
    </w:p>
    <w:p>
      <w:pPr>
        <w:pStyle w:val="BodyText"/>
      </w:pPr>
      <w:r>
        <w:rPr>
          <w:i/>
          <w:iCs/>
        </w:rPr>
        <w:t xml:space="preserve">Helicobacter pylori</w:t>
      </w:r>
      <w:r>
        <w:t xml:space="preserve"> </w:t>
      </w:r>
      <w:r>
        <w:t xml:space="preserve">is an established cause of chronic gastric mucosal inflammation, but systemic CRP does not identify</w:t>
      </w:r>
      <w:r>
        <w:t xml:space="preserve"> </w:t>
      </w:r>
      <w:r>
        <w:rPr>
          <w:i/>
          <w:iCs/>
        </w:rPr>
        <w:t xml:space="preserve">H. pylori</w:t>
      </w:r>
      <w:r>
        <w:t xml:space="preserve">. Likewise, previous EBV/CMV infection is common, and seropositivity alone is not evidence that viral reactivation is driving inflammation. Targeted testing becomes informative when the phenotype, exposure, organ findings or immune status raises the prior probability. The correct question is not “Could pathogen X cause inflammation?”—almost every pathogen can—but “Does the clinical pattern make active pathogen X plausible enough that testing will meaningfully change management?”</w:t>
      </w:r>
    </w:p>
    <w:bookmarkEnd w:id="50"/>
    <w:bookmarkStart w:id="52" w:name="sleep-and-circadian-biology"/>
    <w:p>
      <w:pPr>
        <w:pStyle w:val="Heading3"/>
      </w:pPr>
      <w:r>
        <w:t xml:space="preserve">Sleep and circadian biology</w:t>
      </w:r>
    </w:p>
    <w:p>
      <w:pPr>
        <w:pStyle w:val="FirstParagraph"/>
      </w:pPr>
      <w:r>
        <w:t xml:space="preserve">Sleep and immunity are bidirectionally coupled. Sleep restriction alters autonomic signalling, endocrine rhythms and leukocyte transcription; IL-6 itself exhibits circadian variation. Controlled prolonged sleep restriction has produced increases in IL-6 and other inflammatory activity in healthy people, providing stronger evidence than simple associations between poor sleep and high CRP.</w:t>
      </w:r>
      <w:r>
        <w:t xml:space="preserve"> </w:t>
      </w:r>
      <w:r>
        <w:rPr>
          <w:b/>
          <w:bCs/>
        </w:rPr>
        <w:t xml:space="preserve">Evidence: B, likely causal for modest inflammatory changes.</w:t>
      </w:r>
      <w:r>
        <w:t xml:space="preserve"> </w:t>
      </w:r>
      <w:hyperlink r:id="rId20">
        <w:r>
          <w:rPr>
            <w:rStyle w:val="Hyperlink"/>
          </w:rPr>
          <w:t xml:space="preserve">[54]</w:t>
        </w:r>
      </w:hyperlink>
    </w:p>
    <w:p>
      <w:pPr>
        <w:pStyle w:val="BodyText"/>
      </w:pPr>
      <w:r>
        <w:t xml:space="preserve">Obstructive sleep apnoea adds intermittent hypoxaemia, sympathetic surges, oxidative stress and sleep fragmentation, but obesity is a powerful overlapping cause of both OSA and inflammation. This creates major confounding. A randomised CPAP trial in patients with OSA and coronary disease did not significantly reduce inflammatory biomarkers, illustrating that treating airway obstruction does not reliably normalise systemic inflammation in all populations. Conversely, the 2024 SURMOUNT-OSA trials in people with obesity and moderate-to-severe OSA found that tirzepatide markedly improved OSA, weight and hsCRP; because weight and several metabolic variables changed simultaneously, that experiment cannot attribute the CRP effect purely to reduced apnoea.</w:t>
      </w:r>
      <w:r>
        <w:t xml:space="preserve"> </w:t>
      </w:r>
      <w:r>
        <w:rPr>
          <w:b/>
          <w:bCs/>
        </w:rPr>
        <w:t xml:space="preserve">OSA→inflammation: B; magnitude independent of obesity: incompletely resolved.</w:t>
      </w:r>
      <w:r>
        <w:t xml:space="preserve"> </w:t>
      </w:r>
      <w:hyperlink r:id="rId51">
        <w:r>
          <w:rPr>
            <w:rStyle w:val="Hyperlink"/>
          </w:rPr>
          <w:t xml:space="preserve">[55]</w:t>
        </w:r>
      </w:hyperlink>
    </w:p>
    <w:bookmarkEnd w:id="52"/>
    <w:bookmarkStart w:id="54" w:name="X1e8d3729aeac1a0a6a8203c2bc0360e4bd7ef80"/>
    <w:p>
      <w:pPr>
        <w:pStyle w:val="Heading3"/>
      </w:pPr>
      <w:r>
        <w:t xml:space="preserve">Psychological stress and neuroimmune signalling</w:t>
      </w:r>
    </w:p>
    <w:p>
      <w:pPr>
        <w:pStyle w:val="FirstParagraph"/>
      </w:pPr>
      <w:r>
        <w:t xml:space="preserve">“Stress causes inflammation” is too imprecise to be useful. A mechanistic formulation is:</w:t>
      </w:r>
    </w:p>
    <w:p>
      <w:pPr>
        <w:pStyle w:val="BodyText"/>
      </w:pPr>
      <w:r>
        <w:rPr>
          <w:b/>
          <w:bCs/>
        </w:rPr>
        <w:t xml:space="preserve">persistent perceived threat → sympathetic/noradrenergic signalling + HPA activation → altered leukocyte trafficking/transcription → in some circumstances reduced glucocorticoid sensitivity → stronger inflammatory response to subsequent immune stimulation.</w:t>
      </w:r>
    </w:p>
    <w:p>
      <w:pPr>
        <w:pStyle w:val="BodyText"/>
      </w:pPr>
      <w:r>
        <w:t xml:space="preserve">A human viral-challenge study connected chronic psychological stress with glucocorticoid-receptor resistance and a greater inflammatory response, providing unusually strong evidence for a plausible pathway. Nevertheless, the size of biomarker effects varies, and sleep, smoking, alcohol, activity, adiposity and socioeconomic exposures can mediate much of the observational association.</w:t>
      </w:r>
      <w:r>
        <w:t xml:space="preserve"> </w:t>
      </w:r>
      <w:r>
        <w:rPr>
          <w:b/>
          <w:bCs/>
        </w:rPr>
        <w:t xml:space="preserve">Evidence: B; likely causal in some contexts, but usually a modifier rather than a specific localisation diagnosis.</w:t>
      </w:r>
      <w:r>
        <w:t xml:space="preserve"> </w:t>
      </w:r>
      <w:hyperlink r:id="rId53">
        <w:r>
          <w:rPr>
            <w:rStyle w:val="Hyperlink"/>
          </w:rPr>
          <w:t xml:space="preserve">[56]</w:t>
        </w:r>
      </w:hyperlink>
    </w:p>
    <w:bookmarkEnd w:id="54"/>
    <w:bookmarkStart w:id="55" w:name="exercise-and-inactivity"/>
    <w:p>
      <w:pPr>
        <w:pStyle w:val="Heading3"/>
      </w:pPr>
      <w:r>
        <w:t xml:space="preserve">Exercise and inactivity</w:t>
      </w:r>
    </w:p>
    <w:p>
      <w:pPr>
        <w:pStyle w:val="FirstParagraph"/>
      </w:pPr>
      <w:r>
        <w:t xml:space="preserve">Acute exercise is an ideal warning against simplistic biomarker interpretation. Contracting skeletal muscle can release substantial IL-6 even in the absence of pathological inflammation. Human studies show exercise-associated muscle IL-6 release and demonstrate that experimental IL-6 exposure can increase IL-1 receptor antagonist and IL-10 and blunt endotoxin-induced TNF responses. Thus,</w:t>
      </w:r>
      <w:r>
        <w:t xml:space="preserve"> </w:t>
      </w:r>
      <w:r>
        <w:rPr>
          <w:b/>
          <w:bCs/>
        </w:rPr>
        <w:t xml:space="preserve">high IL-6 immediately after prolonged exercise is not biologically equivalent to high IL-6 during sepsis or rheumatoid inflammation.</w:t>
      </w:r>
      <w:r>
        <w:t xml:space="preserve"> </w:t>
      </w:r>
      <w:hyperlink r:id="rId12">
        <w:r>
          <w:rPr>
            <w:rStyle w:val="Hyperlink"/>
          </w:rPr>
          <w:t xml:space="preserve">[57]</w:t>
        </w:r>
      </w:hyperlink>
    </w:p>
    <w:p>
      <w:pPr>
        <w:pStyle w:val="BodyText"/>
      </w:pPr>
      <w:r>
        <w:t xml:space="preserve">Strenuous training also causes microscopic muscle damage, transient leukocytosis, CK elevation and sometimes CRP elevation. Chronic appropriately dosed physical activity generally improves insulin sensitivity, visceral adiposity and vascular/metabolic health, thereby reducing important upstream drivers. Extremely high training load without recovery can instead generate recurrent tissue-damage signals. A useful inflammation assessment should therefore record exercise in the preceding several days rather than interpreting a post-event blood sample as baseline physiology.</w:t>
      </w:r>
    </w:p>
    <w:bookmarkEnd w:id="55"/>
    <w:bookmarkStart w:id="60" w:name="diet"/>
    <w:p>
      <w:pPr>
        <w:pStyle w:val="Heading3"/>
      </w:pPr>
      <w:r>
        <w:t xml:space="preserve">Diet</w:t>
      </w:r>
    </w:p>
    <w:p>
      <w:pPr>
        <w:pStyle w:val="FirstParagraph"/>
      </w:pPr>
      <w:r>
        <w:t xml:space="preserve">Foods should not be assigned a binary “inflammatory/anti-inflammatory” label. Dietary effects can operate through at least four distinct routes: energy balance and adiposity; postprandial glucose/lipid excursions; intestinal/microbial substrates; and specific fatty-acid or micronutrient signalling.</w:t>
      </w:r>
    </w:p>
    <w:p>
      <w:pPr>
        <w:pStyle w:val="BodyText"/>
      </w:pPr>
      <w:r>
        <w:t xml:space="preserve">The strongest intervention evidence often points to</w:t>
      </w:r>
      <w:r>
        <w:t xml:space="preserve"> </w:t>
      </w:r>
      <w:r>
        <w:rPr>
          <w:b/>
          <w:bCs/>
        </w:rPr>
        <w:t xml:space="preserve">energy balance and metabolic improvement rather than a magical food property</w:t>
      </w:r>
      <w:r>
        <w:t xml:space="preserve">. In a two-year randomised weight-loss study, hsCRP decreased with weight loss to a similar extent across diets differing in macronutrient composition. This is strong evidence that reducing excess adiposity can remove an upstream inflammatory driver independent of a particular carbohydrate-to-fat ratio.</w:t>
      </w:r>
      <w:r>
        <w:t xml:space="preserve"> </w:t>
      </w:r>
      <w:hyperlink r:id="rId56">
        <w:r>
          <w:rPr>
            <w:rStyle w:val="Hyperlink"/>
          </w:rPr>
          <w:t xml:space="preserve">[58]</w:t>
        </w:r>
      </w:hyperlink>
    </w:p>
    <w:p>
      <w:pPr>
        <w:pStyle w:val="BodyText"/>
      </w:pPr>
      <w:r>
        <w:t xml:space="preserve">Mediterranean-diet interventions within PREDIMED have reported reductions in CRP, IL-6 and endothelial inflammatory markers, so dietary composition can matter beyond weight loss. But Mediterranean dietary patterns simultaneously alter unsaturated fat intake, fibre, polyphenols, micronutrients, meal structure and food displacement, making it unsound to attribute the benefit to a single “anti-inflammatory” ingredient.</w:t>
      </w:r>
      <w:r>
        <w:t xml:space="preserve"> </w:t>
      </w:r>
      <w:hyperlink r:id="rId57">
        <w:r>
          <w:rPr>
            <w:rStyle w:val="Hyperlink"/>
          </w:rPr>
          <w:t xml:space="preserve">[59]</w:t>
        </w:r>
      </w:hyperlink>
    </w:p>
    <w:p>
      <w:pPr>
        <w:pStyle w:val="BodyText"/>
      </w:pPr>
      <w:r>
        <w:t xml:space="preserve">Fibre supplies substrates for microbial fermentation and can change SCFA production and metabolic physiology, but human inflammatory effects are heterogeneous and depend on fibre type, microbiota, metabolic state and comparator diet. Omega-3 fatty acids can alter lipid-mediator/SPM profiles in human RCTs, yet changing a biochemical resolution mediator is not equivalent to demonstrating that an occult inflammatory cause has been removed.</w:t>
      </w:r>
      <w:r>
        <w:t xml:space="preserve"> </w:t>
      </w:r>
      <w:hyperlink r:id="rId58">
        <w:r>
          <w:rPr>
            <w:rStyle w:val="Hyperlink"/>
          </w:rPr>
          <w:t xml:space="preserve">[60]</w:t>
        </w:r>
      </w:hyperlink>
    </w:p>
    <w:p>
      <w:pPr>
        <w:pStyle w:val="BodyText"/>
      </w:pPr>
      <w:r>
        <w:t xml:space="preserve">For ultra-processed foods, observational associations with hsCRP and IL-6 exist, but direct causal evidence for inflammation independent of energy intake, adiposity and dietary displacement is less mature. Thus</w:t>
      </w:r>
      <w:r>
        <w:t xml:space="preserve"> </w:t>
      </w:r>
      <w:r>
        <w:rPr>
          <w:b/>
          <w:bCs/>
        </w:rPr>
        <w:t xml:space="preserve">“UPF intake causes systemic inflammation directly” should be graded below “energy surplus/visceral adiposity contributes causally to inflammatory signalling.”</w:t>
      </w:r>
      <w:r>
        <w:t xml:space="preserve"> </w:t>
      </w:r>
      <w:hyperlink r:id="rId59">
        <w:r>
          <w:rPr>
            <w:rStyle w:val="Hyperlink"/>
          </w:rPr>
          <w:t xml:space="preserve">[61]</w:t>
        </w:r>
      </w:hyperlink>
    </w:p>
    <w:p>
      <w:pPr>
        <w:pStyle w:val="BodyText"/>
      </w:pPr>
      <w:r>
        <w:t xml:space="preserve">Alcohol illustrates the same principle. Heavy use can cause hepatic injury, altered barrier biology and immune dysfunction and is a credible inflammatory source; an isolated claim that moderate alcohol is “anti-inflammatory” is not an evidence-based reason to consume alcohol.</w:t>
      </w:r>
    </w:p>
    <w:bookmarkEnd w:id="60"/>
    <w:bookmarkStart w:id="63" w:name="Xb5c0f198f9861492da574b6a2a9404678ef352d"/>
    <w:p>
      <w:pPr>
        <w:pStyle w:val="Heading3"/>
      </w:pPr>
      <w:r>
        <w:t xml:space="preserve">Smoking, pollution and other environmental exposures</w:t>
      </w:r>
    </w:p>
    <w:p>
      <w:pPr>
        <w:pStyle w:val="FirstParagraph"/>
      </w:pPr>
      <w:r>
        <w:t xml:space="preserve">Smoking has strong causal links to vascular, pulmonary and systemic inflammatory biology. CRP does not always fall immediately after cessation, partly because previous exposure and concurrent weight change matter, but prospective human data support inflammatory improvement over time.</w:t>
      </w:r>
      <w:r>
        <w:t xml:space="preserve"> </w:t>
      </w:r>
      <w:r>
        <w:rPr>
          <w:b/>
          <w:bCs/>
        </w:rPr>
        <w:t xml:space="preserve">Evidence: A/B; causal.</w:t>
      </w:r>
      <w:r>
        <w:t xml:space="preserve"> </w:t>
      </w:r>
      <w:hyperlink r:id="rId61">
        <w:r>
          <w:rPr>
            <w:rStyle w:val="Hyperlink"/>
          </w:rPr>
          <w:t xml:space="preserve">[62]</w:t>
        </w:r>
      </w:hyperlink>
    </w:p>
    <w:p>
      <w:pPr>
        <w:pStyle w:val="BodyText"/>
      </w:pPr>
      <w:r>
        <w:t xml:space="preserve">Ambient particulate exposure is associated with systemic IL-6 and fibrinogen in human studies, and effects can occur without consistent CRP elevation. For example, MESA-related work found associations between ambient pollution and IL-6/fibrinogen patterns, while other cohorts have produced heterogeneous CRP results. The best interpretation is</w:t>
      </w:r>
      <w:r>
        <w:t xml:space="preserve"> </w:t>
      </w:r>
      <w:r>
        <w:rPr>
          <w:b/>
          <w:bCs/>
        </w:rPr>
        <w:t xml:space="preserve">likely causal for cardiopulmonary inflammatory stress at a population level but generally low-specificity as the explanation for a single individual CRP result.</w:t>
      </w:r>
      <w:r>
        <w:t xml:space="preserve"> </w:t>
      </w:r>
      <w:hyperlink r:id="rId62">
        <w:r>
          <w:rPr>
            <w:rStyle w:val="Hyperlink"/>
          </w:rPr>
          <w:t xml:space="preserve">[63]</w:t>
        </w:r>
      </w:hyperlink>
    </w:p>
    <w:p>
      <w:pPr>
        <w:pStyle w:val="BodyText"/>
      </w:pPr>
      <w:r>
        <w:t xml:space="preserve">Generic commercial “toxin” explanations are much weaker. Specific heavy metals and occupational exposures can cause organ toxicity and inflammation when exposure is credible, but indiscriminate heavy-metal/endocrine-disruptor panels in people with isolated CRP abnormalities have low expected diagnostic yield. Exposure history should generate the test hypothesis, not the reverse.</w:t>
      </w:r>
    </w:p>
    <w:bookmarkEnd w:id="63"/>
    <w:bookmarkStart w:id="64" w:name="endocrine-and-hormonal-states"/>
    <w:p>
      <w:pPr>
        <w:pStyle w:val="Heading3"/>
      </w:pPr>
      <w:r>
        <w:t xml:space="preserve">Endocrine and hormonal states</w:t>
      </w:r>
    </w:p>
    <w:p>
      <w:pPr>
        <w:pStyle w:val="FirstParagraph"/>
      </w:pPr>
      <w:r>
        <w:t xml:space="preserve">Insulin is deeply integrated with inflammation through metabolic physiology, whereas thyroid, sex-hormone, cortisol and growth-hormone abnormalities affect immunity more indirectly and heterogeneously. Overt inflammatory thyroid disease, cortisol excess/deficiency or endocrine-organ inflammation can alter systemic markers, but routine attribution of elevated CRP to “hormonal imbalance” without an endocrine phenotype is weak reasoning.</w:t>
      </w:r>
    </w:p>
    <w:p>
      <w:pPr>
        <w:pStyle w:val="BodyText"/>
      </w:pPr>
      <w:r>
        <w:t xml:space="preserve">Menopause illustrates confounding particularly clearly: sex-hormone changes occur simultaneously with changes in visceral-fat distribution, sleep, vascular risk and insulin sensitivity. Some inflammatory biomarker differences therefore reflect the resulting metabolic phenotype rather than a direct estrogen-to-CRP pathway. Hormone replacement should consequently not be conceptualised as generic anti-inflammatory therapy.</w:t>
      </w:r>
    </w:p>
    <w:bookmarkEnd w:id="64"/>
    <w:bookmarkStart w:id="65" w:name="feedback-loops-strength-of-evidence"/>
    <w:p>
      <w:pPr>
        <w:pStyle w:val="Heading3"/>
      </w:pPr>
      <w:r>
        <w:t xml:space="preserve">Feedback loops: strength of 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Feedback loop</w:t>
            </w:r>
          </w:p>
        </w:tc>
        <w:tc>
          <w:tcPr/>
          <w:p>
            <w:pPr>
              <w:pStyle w:val="Compact"/>
            </w:pPr>
            <w:r>
              <w:t xml:space="preserve">Evidence assessment</w:t>
            </w:r>
          </w:p>
        </w:tc>
      </w:tr>
      <w:tr>
        <w:tc>
          <w:tcPr/>
          <w:p>
            <w:pPr>
              <w:pStyle w:val="Compact"/>
            </w:pPr>
            <w:r>
              <w:rPr>
                <w:b/>
                <w:bCs/>
              </w:rPr>
              <w:t xml:space="preserve">Visceral adiposity → adipocyte stress → macrophage recruitment → TNF/IL-6/IL-1 → insulin resistance → additional metabolic stress</w:t>
            </w:r>
          </w:p>
        </w:tc>
        <w:tc>
          <w:tcPr/>
          <w:p>
            <w:pPr>
              <w:pStyle w:val="Compact"/>
            </w:pPr>
            <w:r>
              <w:rPr>
                <w:b/>
                <w:bCs/>
              </w:rPr>
              <w:t xml:space="preserve">A/B; strongly supported</w:t>
            </w:r>
            <w:r>
              <w:t xml:space="preserve">, including human adipose/portal studies and metabolic intervention evidence.</w:t>
            </w:r>
            <w:r>
              <w:t xml:space="preserve"> </w:t>
            </w:r>
            <w:hyperlink r:id="rId13">
              <w:r>
                <w:rPr>
                  <w:rStyle w:val="Hyperlink"/>
                </w:rPr>
                <w:t xml:space="preserve">[23]</w:t>
              </w:r>
            </w:hyperlink>
          </w:p>
        </w:tc>
      </w:tr>
      <w:tr>
        <w:tc>
          <w:tcPr/>
          <w:p>
            <w:pPr>
              <w:pStyle w:val="Compact"/>
            </w:pPr>
            <w:r>
              <w:rPr>
                <w:b/>
                <w:bCs/>
              </w:rPr>
              <w:t xml:space="preserve">Tissue injury → DAMPs → innate activation → more tissue injury</w:t>
            </w:r>
          </w:p>
        </w:tc>
        <w:tc>
          <w:tcPr/>
          <w:p>
            <w:pPr>
              <w:pStyle w:val="Compact"/>
            </w:pPr>
            <w:r>
              <w:rPr>
                <w:b/>
                <w:bCs/>
              </w:rPr>
              <w:t xml:space="preserve">A/B</w:t>
            </w:r>
            <w:r>
              <w:t xml:space="preserve"> </w:t>
            </w:r>
            <w:r>
              <w:t xml:space="preserve">in multiple disease-specific settings</w:t>
            </w:r>
          </w:p>
        </w:tc>
      </w:tr>
      <w:tr>
        <w:tc>
          <w:tcPr/>
          <w:p>
            <w:pPr>
              <w:pStyle w:val="Compact"/>
            </w:pPr>
            <w:r>
              <w:rPr>
                <w:b/>
                <w:bCs/>
              </w:rPr>
              <w:t xml:space="preserve">Established IBD barrier injury → microbial/antigen exposure → mucosal inflammation → further barrier injury</w:t>
            </w:r>
          </w:p>
        </w:tc>
        <w:tc>
          <w:tcPr/>
          <w:p>
            <w:pPr>
              <w:pStyle w:val="Compact"/>
            </w:pPr>
            <w:r>
              <w:rPr>
                <w:b/>
                <w:bCs/>
              </w:rPr>
              <w:t xml:space="preserve">A/B</w:t>
            </w:r>
            <w:r>
              <w:t xml:space="preserve">.</w:t>
            </w:r>
            <w:r>
              <w:t xml:space="preserve"> </w:t>
            </w:r>
            <w:hyperlink r:id="rId31">
              <w:r>
                <w:rPr>
                  <w:rStyle w:val="Hyperlink"/>
                </w:rPr>
                <w:t xml:space="preserve">[27]</w:t>
              </w:r>
            </w:hyperlink>
          </w:p>
        </w:tc>
      </w:tr>
      <w:tr>
        <w:tc>
          <w:tcPr/>
          <w:p>
            <w:pPr>
              <w:pStyle w:val="Compact"/>
            </w:pPr>
            <w:r>
              <w:rPr>
                <w:b/>
                <w:bCs/>
              </w:rPr>
              <w:t xml:space="preserve">Generic wellness “leaky gut” → LPS → all chronic inflammation</w:t>
            </w:r>
          </w:p>
        </w:tc>
        <w:tc>
          <w:tcPr/>
          <w:p>
            <w:pPr>
              <w:pStyle w:val="Compact"/>
            </w:pPr>
            <w:r>
              <w:rPr>
                <w:b/>
                <w:bCs/>
              </w:rPr>
              <w:t xml:space="preserve">C/D</w:t>
            </w:r>
            <w:r>
              <w:t xml:space="preserve">, often overclaimed; commercial zonulin evidence is particularly problematic.</w:t>
            </w:r>
            <w:r>
              <w:t xml:space="preserve"> </w:t>
            </w:r>
            <w:hyperlink r:id="rId18">
              <w:r>
                <w:rPr>
                  <w:rStyle w:val="Hyperlink"/>
                </w:rPr>
                <w:t xml:space="preserve">[11]</w:t>
              </w:r>
            </w:hyperlink>
          </w:p>
        </w:tc>
      </w:tr>
      <w:tr>
        <w:tc>
          <w:tcPr/>
          <w:p>
            <w:pPr>
              <w:pStyle w:val="Compact"/>
            </w:pPr>
            <w:r>
              <w:rPr>
                <w:b/>
                <w:bCs/>
              </w:rPr>
              <w:t xml:space="preserve">Stress → sympathetic activation → sleep disruption → immune alteration → fatigue/pain → more stress</w:t>
            </w:r>
          </w:p>
        </w:tc>
        <w:tc>
          <w:tcPr/>
          <w:p>
            <w:pPr>
              <w:pStyle w:val="Compact"/>
            </w:pPr>
            <w:r>
              <w:rPr>
                <w:b/>
                <w:bCs/>
              </w:rPr>
              <w:t xml:space="preserve">B/C</w:t>
            </w:r>
            <w:r>
              <w:t xml:space="preserve">, plausible and partially human-supported, but heavily confounded.</w:t>
            </w:r>
            <w:r>
              <w:t xml:space="preserve"> </w:t>
            </w:r>
            <w:hyperlink r:id="rId53">
              <w:r>
                <w:rPr>
                  <w:rStyle w:val="Hyperlink"/>
                </w:rPr>
                <w:t xml:space="preserve">[64]</w:t>
              </w:r>
            </w:hyperlink>
          </w:p>
        </w:tc>
      </w:tr>
      <w:tr>
        <w:tc>
          <w:tcPr/>
          <w:p>
            <w:pPr>
              <w:pStyle w:val="Compact"/>
            </w:pPr>
            <w:r>
              <w:rPr>
                <w:b/>
                <w:bCs/>
              </w:rPr>
              <w:t xml:space="preserve">Senescence → SASP → tissue stress → additional senescence</w:t>
            </w:r>
          </w:p>
        </w:tc>
        <w:tc>
          <w:tcPr/>
          <w:p>
            <w:pPr>
              <w:pStyle w:val="Compact"/>
            </w:pPr>
            <w:r>
              <w:rPr>
                <w:b/>
                <w:bCs/>
              </w:rPr>
              <w:t xml:space="preserve">C/D in humans</w:t>
            </w:r>
            <w:r>
              <w:t xml:space="preserve">; therapeutically early.</w:t>
            </w:r>
            <w:r>
              <w:t xml:space="preserve"> </w:t>
            </w:r>
            <w:hyperlink r:id="rId29">
              <w:r>
                <w:rPr>
                  <w:rStyle w:val="Hyperlink"/>
                </w:rPr>
                <w:t xml:space="preserve">[25]</w:t>
              </w:r>
            </w:hyperlink>
          </w:p>
        </w:tc>
      </w:tr>
      <w:tr>
        <w:tc>
          <w:tcPr/>
          <w:p>
            <w:pPr>
              <w:pStyle w:val="Compact"/>
            </w:pPr>
            <w:r>
              <w:rPr>
                <w:b/>
                <w:bCs/>
              </w:rPr>
              <w:t xml:space="preserve">Failed efferocytosis → secondary necrosis → DAMPs → macrophage activation → additional cell death</w:t>
            </w:r>
          </w:p>
        </w:tc>
        <w:tc>
          <w:tcPr/>
          <w:p>
            <w:pPr>
              <w:pStyle w:val="Compact"/>
            </w:pPr>
            <w:r>
              <w:rPr>
                <w:b/>
                <w:bCs/>
              </w:rPr>
              <w:t xml:space="preserve">B</w:t>
            </w:r>
            <w:r>
              <w:t xml:space="preserve">, particularly strong in atherosclerosis.</w:t>
            </w:r>
            <w:r>
              <w:t xml:space="preserve"> </w:t>
            </w:r>
            <w:hyperlink r:id="rId30">
              <w:r>
                <w:rPr>
                  <w:rStyle w:val="Hyperlink"/>
                </w:rPr>
                <w:t xml:space="preserve">[26]</w:t>
              </w:r>
            </w:hyperlink>
          </w:p>
        </w:tc>
      </w:tr>
      <w:tr>
        <w:tc>
          <w:tcPr/>
          <w:p>
            <w:pPr>
              <w:pStyle w:val="Compact"/>
            </w:pPr>
            <w:r>
              <w:rPr>
                <w:b/>
                <w:bCs/>
              </w:rPr>
              <w:t xml:space="preserve">Trained immunity → heightened responses → persistent generic CRP</w:t>
            </w:r>
          </w:p>
        </w:tc>
        <w:tc>
          <w:tcPr/>
          <w:p>
            <w:pPr>
              <w:pStyle w:val="Compact"/>
            </w:pPr>
            <w:r>
              <w:t xml:space="preserve">Existence of training</w:t>
            </w:r>
            <w:r>
              <w:t xml:space="preserve"> </w:t>
            </w:r>
            <w:r>
              <w:rPr>
                <w:b/>
                <w:bCs/>
              </w:rPr>
              <w:t xml:space="preserve">A/B</w:t>
            </w:r>
            <w:r>
              <w:t xml:space="preserve">; importance to unexplained low-grade inflammation</w:t>
            </w:r>
            <w:r>
              <w:t xml:space="preserve"> </w:t>
            </w:r>
            <w:r>
              <w:rPr>
                <w:b/>
                <w:bCs/>
              </w:rPr>
              <w:t xml:space="preserve">C</w:t>
            </w:r>
            <w:r>
              <w:t xml:space="preserve">.</w:t>
            </w:r>
            <w:r>
              <w:t xml:space="preserve"> </w:t>
            </w:r>
            <w:hyperlink r:id="rId17">
              <w:r>
                <w:rPr>
                  <w:rStyle w:val="Hyperlink"/>
                </w:rPr>
                <w:t xml:space="preserve">[10]</w:t>
              </w:r>
            </w:hyperlink>
          </w:p>
        </w:tc>
      </w:tr>
    </w:tbl>
    <w:bookmarkEnd w:id="65"/>
    <w:bookmarkEnd w:id="66"/>
    <w:bookmarkStart w:id="67" w:name="X40307eef27dcc29d55d06df4574386626ef5029"/>
    <w:p>
      <w:pPr>
        <w:pStyle w:val="Heading2"/>
      </w:pPr>
      <w:r>
        <w:t xml:space="preserve">Inflammation differential, localisation and cause-finding matrix</w:t>
      </w:r>
    </w:p>
    <w:p>
      <w:pPr>
        <w:pStyle w:val="FirstParagraph"/>
      </w:pPr>
      <w:r>
        <w:rPr>
          <w:b/>
          <w:bCs/>
        </w:rPr>
        <w:t xml:space="preserve">Part XV — Inflammation differential matrix.</w:t>
      </w:r>
    </w:p>
    <w:p>
      <w:pPr>
        <w:pStyle w:val="BodyText"/>
      </w:pPr>
      <w:r>
        <w:t xml:space="preserve">The “how common” column below is intentionally qualitative. Prevalence depends dramatically on age, setting, symptom pattern and comorbidity; the purpose is to establish priors, not universal rankings.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Potential source</w:t>
            </w:r>
          </w:p>
        </w:tc>
        <w:tc>
          <w:tcPr/>
          <w:p>
            <w:pPr>
              <w:pStyle w:val="Compact"/>
            </w:pPr>
            <w:r>
              <w:t xml:space="preserve">Mechanism</w:t>
            </w:r>
          </w:p>
        </w:tc>
        <w:tc>
          <w:tcPr/>
          <w:p>
            <w:pPr>
              <w:pStyle w:val="Compact"/>
            </w:pPr>
            <w:r>
              <w:t xml:space="preserve">Typical clinical clues</w:t>
            </w:r>
          </w:p>
        </w:tc>
        <w:tc>
          <w:tcPr/>
          <w:p>
            <w:pPr>
              <w:pStyle w:val="Compact"/>
            </w:pPr>
            <w:r>
              <w:t xml:space="preserve">Biomarker pattern</w:t>
            </w:r>
          </w:p>
        </w:tc>
        <w:tc>
          <w:tcPr/>
          <w:p>
            <w:pPr>
              <w:pStyle w:val="Compact"/>
            </w:pPr>
            <w:r>
              <w:t xml:space="preserve">Supporting tests / investigation</w:t>
            </w:r>
          </w:p>
        </w:tc>
        <w:tc>
          <w:tcPr/>
          <w:p>
            <w:pPr>
              <w:pStyle w:val="Compact"/>
            </w:pPr>
            <w:r>
              <w:t xml:space="preserve">Evidence</w:t>
            </w:r>
          </w:p>
        </w:tc>
        <w:tc>
          <w:tcPr/>
          <w:p>
            <w:pPr>
              <w:pStyle w:val="Compact"/>
            </w:pPr>
            <w:r>
              <w:t xml:space="preserve">Frequency prior / caveat</w:t>
            </w:r>
          </w:p>
        </w:tc>
      </w:tr>
      <w:tr>
        <w:tc>
          <w:tcPr/>
          <w:p>
            <w:pPr>
              <w:pStyle w:val="Compact"/>
            </w:pPr>
            <w:r>
              <w:rPr>
                <w:b/>
                <w:bCs/>
              </w:rPr>
              <w:t xml:space="preserve">Acute infection</w:t>
            </w:r>
          </w:p>
        </w:tc>
        <w:tc>
          <w:tcPr/>
          <w:p>
            <w:pPr>
              <w:pStyle w:val="Compact"/>
            </w:pPr>
            <w:r>
              <w:t xml:space="preserve">PAMP/PRR activation → innate cytokines → acute-phase response</w:t>
            </w:r>
          </w:p>
        </w:tc>
        <w:tc>
          <w:tcPr/>
          <w:p>
            <w:pPr>
              <w:pStyle w:val="Compact"/>
            </w:pPr>
            <w:r>
              <w:t xml:space="preserve">Fever, local pain, cough, urinary/GI symptoms, rapid onset</w:t>
            </w:r>
          </w:p>
        </w:tc>
        <w:tc>
          <w:tcPr/>
          <w:p>
            <w:pPr>
              <w:pStyle w:val="Compact"/>
            </w:pPr>
            <w:r>
              <w:t xml:space="preserve">CRP±ESR, neutrophilia; PCT may rise in systemic bacterial disease</w:t>
            </w:r>
          </w:p>
        </w:tc>
        <w:tc>
          <w:tcPr/>
          <w:p>
            <w:pPr>
              <w:pStyle w:val="Compact"/>
            </w:pPr>
            <w:r>
              <w:t xml:space="preserve">History/exam first; cultures/PCR/imaging directed by source</w:t>
            </w:r>
          </w:p>
        </w:tc>
        <w:tc>
          <w:tcPr/>
          <w:p>
            <w:pPr>
              <w:pStyle w:val="Compact"/>
            </w:pPr>
            <w:r>
              <w:rPr>
                <w:b/>
                <w:bCs/>
              </w:rPr>
              <w:t xml:space="preserve">A causal</w:t>
            </w:r>
          </w:p>
        </w:tc>
        <w:tc>
          <w:tcPr/>
          <w:p>
            <w:pPr>
              <w:pStyle w:val="Compact"/>
            </w:pPr>
            <w:r>
              <w:t xml:space="preserve">Common; markers cannot establish bacterial aetiology alone.</w:t>
            </w:r>
            <w:r>
              <w:t xml:space="preserve"> </w:t>
            </w:r>
            <w:hyperlink r:id="rId21">
              <w:r>
                <w:rPr>
                  <w:rStyle w:val="Hyperlink"/>
                </w:rPr>
                <w:t xml:space="preserve">[14]</w:t>
              </w:r>
            </w:hyperlink>
          </w:p>
        </w:tc>
      </w:tr>
      <w:tr>
        <w:tc>
          <w:tcPr/>
          <w:p>
            <w:pPr>
              <w:pStyle w:val="Compact"/>
            </w:pPr>
            <w:r>
              <w:rPr>
                <w:b/>
                <w:bCs/>
              </w:rPr>
              <w:t xml:space="preserve">Chronic infection</w:t>
            </w:r>
          </w:p>
        </w:tc>
        <w:tc>
          <w:tcPr/>
          <w:p>
            <w:pPr>
              <w:pStyle w:val="Compact"/>
            </w:pPr>
            <w:r>
              <w:t xml:space="preserve">Persistent microbial antigen/PAMP exposure</w:t>
            </w:r>
          </w:p>
        </w:tc>
        <w:tc>
          <w:tcPr/>
          <w:p>
            <w:pPr>
              <w:pStyle w:val="Compact"/>
            </w:pPr>
            <w:r>
              <w:t xml:space="preserve">Exposure/risk history, prolonged systemic or organ-specific symptoms</w:t>
            </w:r>
          </w:p>
        </w:tc>
        <w:tc>
          <w:tcPr/>
          <w:p>
            <w:pPr>
              <w:pStyle w:val="Compact"/>
            </w:pPr>
            <w:r>
              <w:t xml:space="preserve">Persistent CRP/ESR ± anaemia/cytopenias</w:t>
            </w:r>
          </w:p>
        </w:tc>
        <w:tc>
          <w:tcPr/>
          <w:p>
            <w:pPr>
              <w:pStyle w:val="Compact"/>
            </w:pPr>
            <w:r>
              <w:t xml:space="preserve">Targeted microbiology, imaging, serology/PCR according to organism hypothesis</w:t>
            </w:r>
          </w:p>
        </w:tc>
        <w:tc>
          <w:tcPr/>
          <w:p>
            <w:pPr>
              <w:pStyle w:val="Compact"/>
            </w:pPr>
            <w:r>
              <w:rPr>
                <w:b/>
                <w:bCs/>
              </w:rPr>
              <w:t xml:space="preserve">A disease-specific</w:t>
            </w:r>
          </w:p>
        </w:tc>
        <w:tc>
          <w:tcPr/>
          <w:p>
            <w:pPr>
              <w:pStyle w:val="Compact"/>
            </w:pPr>
            <w:r>
              <w:t xml:space="preserve">Important but broad “occult infection panels” are low-yield</w:t>
            </w:r>
          </w:p>
        </w:tc>
      </w:tr>
      <w:tr>
        <w:tc>
          <w:tcPr/>
          <w:p>
            <w:pPr>
              <w:pStyle w:val="Compact"/>
            </w:pPr>
            <w:r>
              <w:rPr>
                <w:b/>
                <w:bCs/>
              </w:rPr>
              <w:t xml:space="preserve">Autoimmune disease</w:t>
            </w:r>
          </w:p>
        </w:tc>
        <w:tc>
          <w:tcPr/>
          <w:p>
            <w:pPr>
              <w:pStyle w:val="Compact"/>
            </w:pPr>
            <w:r>
              <w:t xml:space="preserve">Autoreactive T/B cells, autoantibodies, immune complexes</w:t>
            </w:r>
          </w:p>
        </w:tc>
        <w:tc>
          <w:tcPr/>
          <w:p>
            <w:pPr>
              <w:pStyle w:val="Compact"/>
            </w:pPr>
            <w:r>
              <w:t xml:space="preserve">Characteristic joint, skin, renal, pulmonary, neurologic findings</w:t>
            </w:r>
          </w:p>
        </w:tc>
        <w:tc>
          <w:tcPr/>
          <w:p>
            <w:pPr>
              <w:pStyle w:val="Compact"/>
            </w:pPr>
            <w:r>
              <w:t xml:space="preserve">Variable CRP/ESR; complement/cell counts may be informative</w:t>
            </w:r>
          </w:p>
        </w:tc>
        <w:tc>
          <w:tcPr/>
          <w:p>
            <w:pPr>
              <w:pStyle w:val="Compact"/>
            </w:pPr>
            <w:r>
              <w:t xml:space="preserve">Disease-specific antibodies, urinalysis, complement, organ tests guided by phenotype</w:t>
            </w:r>
          </w:p>
        </w:tc>
        <w:tc>
          <w:tcPr/>
          <w:p>
            <w:pPr>
              <w:pStyle w:val="Compact"/>
            </w:pPr>
            <w:r>
              <w:rPr>
                <w:b/>
                <w:bCs/>
              </w:rPr>
              <w:t xml:space="preserve">A disease-specific</w:t>
            </w:r>
          </w:p>
        </w:tc>
        <w:tc>
          <w:tcPr/>
          <w:p>
            <w:pPr>
              <w:pStyle w:val="Compact"/>
            </w:pPr>
            <w:r>
              <w:t xml:space="preserve">Autoantibodies without phenotype are not diagnostic; SLE can show discordantly low CRP.</w:t>
            </w:r>
            <w:r>
              <w:t xml:space="preserve"> </w:t>
            </w:r>
            <w:hyperlink r:id="rId43">
              <w:r>
                <w:rPr>
                  <w:rStyle w:val="Hyperlink"/>
                </w:rPr>
                <w:t xml:space="preserve">[65]</w:t>
              </w:r>
            </w:hyperlink>
          </w:p>
        </w:tc>
      </w:tr>
      <w:tr>
        <w:tc>
          <w:tcPr/>
          <w:p>
            <w:pPr>
              <w:pStyle w:val="Compact"/>
            </w:pPr>
            <w:r>
              <w:rPr>
                <w:b/>
                <w:bCs/>
              </w:rPr>
              <w:t xml:space="preserve">Autoinflammatory disease</w:t>
            </w:r>
          </w:p>
        </w:tc>
        <w:tc>
          <w:tcPr/>
          <w:p>
            <w:pPr>
              <w:pStyle w:val="Compact"/>
            </w:pPr>
            <w:r>
              <w:t xml:space="preserve">Innate/inflammasome/IL-1 dysregulation</w:t>
            </w:r>
          </w:p>
        </w:tc>
        <w:tc>
          <w:tcPr/>
          <w:p>
            <w:pPr>
              <w:pStyle w:val="Compact"/>
            </w:pPr>
            <w:r>
              <w:t xml:space="preserve">Recurrent fever, rash, serositis, arthritis; sometimes childhood/familial pattern</w:t>
            </w:r>
          </w:p>
        </w:tc>
        <w:tc>
          <w:tcPr/>
          <w:p>
            <w:pPr>
              <w:pStyle w:val="Compact"/>
            </w:pPr>
            <w:r>
              <w:t xml:space="preserve">Acute-phase surges during flares</w:t>
            </w:r>
          </w:p>
        </w:tc>
        <w:tc>
          <w:tcPr/>
          <w:p>
            <w:pPr>
              <w:pStyle w:val="Compact"/>
            </w:pPr>
            <w:r>
              <w:t xml:space="preserve">Specialist phenotype, genetics in selected cases</w:t>
            </w:r>
          </w:p>
        </w:tc>
        <w:tc>
          <w:tcPr/>
          <w:p>
            <w:pPr>
              <w:pStyle w:val="Compact"/>
            </w:pPr>
            <w:r>
              <w:rPr>
                <w:b/>
                <w:bCs/>
              </w:rPr>
              <w:t xml:space="preserve">A for monogenic syndromes</w:t>
            </w:r>
          </w:p>
        </w:tc>
        <w:tc>
          <w:tcPr/>
          <w:p>
            <w:pPr>
              <w:pStyle w:val="Compact"/>
            </w:pPr>
            <w:r>
              <w:t xml:space="preserve">Rare; broad cytokine testing is not a substitute.</w:t>
            </w:r>
            <w:r>
              <w:t xml:space="preserve"> </w:t>
            </w:r>
            <w:hyperlink r:id="rId27">
              <w:r>
                <w:rPr>
                  <w:rStyle w:val="Hyperlink"/>
                </w:rPr>
                <w:t xml:space="preserve">[66]</w:t>
              </w:r>
            </w:hyperlink>
          </w:p>
        </w:tc>
      </w:tr>
      <w:tr>
        <w:tc>
          <w:tcPr/>
          <w:p>
            <w:pPr>
              <w:pStyle w:val="Compact"/>
            </w:pPr>
            <w:r>
              <w:rPr>
                <w:b/>
                <w:bCs/>
              </w:rPr>
              <w:t xml:space="preserve">Metabolic dysfunction</w:t>
            </w:r>
          </w:p>
        </w:tc>
        <w:tc>
          <w:tcPr/>
          <w:p>
            <w:pPr>
              <w:pStyle w:val="Compact"/>
            </w:pPr>
            <w:r>
              <w:t xml:space="preserve">Lipotoxicity, insulin resistance and innate activation</w:t>
            </w:r>
          </w:p>
        </w:tc>
        <w:tc>
          <w:tcPr/>
          <w:p>
            <w:pPr>
              <w:pStyle w:val="Compact"/>
            </w:pPr>
            <w:r>
              <w:t xml:space="preserve">Central adiposity, dysglycaemia, hypertriglyceridaemia, MASLD</w:t>
            </w:r>
          </w:p>
        </w:tc>
        <w:tc>
          <w:tcPr/>
          <w:p>
            <w:pPr>
              <w:pStyle w:val="Compact"/>
            </w:pPr>
            <w:r>
              <w:t xml:space="preserve">Often persistent low-grade hsCRP</w:t>
            </w:r>
          </w:p>
        </w:tc>
        <w:tc>
          <w:tcPr/>
          <w:p>
            <w:pPr>
              <w:pStyle w:val="Compact"/>
            </w:pPr>
            <w:r>
              <w:t xml:space="preserve">Waist/body composition, glucose/HbA1c, lipids, BP, liver profile</w:t>
            </w:r>
          </w:p>
        </w:tc>
        <w:tc>
          <w:tcPr/>
          <w:p>
            <w:pPr>
              <w:pStyle w:val="Compact"/>
            </w:pPr>
            <w:r>
              <w:rPr>
                <w:b/>
                <w:bCs/>
              </w:rPr>
              <w:t xml:space="preserve">A/B</w:t>
            </w:r>
          </w:p>
        </w:tc>
        <w:tc>
          <w:tcPr/>
          <w:p>
            <w:pPr>
              <w:pStyle w:val="Compact"/>
            </w:pPr>
            <w:r>
              <w:t xml:space="preserve">Very common; can coexist with serious unrelated disease.</w:t>
            </w:r>
            <w:r>
              <w:t xml:space="preserve"> </w:t>
            </w:r>
            <w:hyperlink r:id="rId13">
              <w:r>
                <w:rPr>
                  <w:rStyle w:val="Hyperlink"/>
                </w:rPr>
                <w:t xml:space="preserve">[67]</w:t>
              </w:r>
            </w:hyperlink>
          </w:p>
        </w:tc>
      </w:tr>
      <w:tr>
        <w:tc>
          <w:tcPr/>
          <w:p>
            <w:pPr>
              <w:pStyle w:val="Compact"/>
            </w:pPr>
            <w:r>
              <w:rPr>
                <w:b/>
                <w:bCs/>
              </w:rPr>
              <w:t xml:space="preserve">Obesity/visceral adiposity</w:t>
            </w:r>
          </w:p>
        </w:tc>
        <w:tc>
          <w:tcPr/>
          <w:p>
            <w:pPr>
              <w:pStyle w:val="Compact"/>
            </w:pPr>
            <w:r>
              <w:t xml:space="preserve">Adipocyte hypertrophy/death → macrophages → cytokines</w:t>
            </w:r>
          </w:p>
        </w:tc>
        <w:tc>
          <w:tcPr/>
          <w:p>
            <w:pPr>
              <w:pStyle w:val="Compact"/>
            </w:pPr>
            <w:r>
              <w:t xml:space="preserve">Elevated waist/visceral fat</w:t>
            </w:r>
          </w:p>
        </w:tc>
        <w:tc>
          <w:tcPr/>
          <w:p>
            <w:pPr>
              <w:pStyle w:val="Compact"/>
            </w:pPr>
            <w:r>
              <w:t xml:space="preserve">hsCRP, IL-6 often mildly elevated</w:t>
            </w:r>
          </w:p>
        </w:tc>
        <w:tc>
          <w:tcPr/>
          <w:p>
            <w:pPr>
              <w:pStyle w:val="Compact"/>
            </w:pPr>
            <w:r>
              <w:t xml:space="preserve">Anthropometry/metabolic assessment usually higher value than adipokine panels</w:t>
            </w:r>
          </w:p>
        </w:tc>
        <w:tc>
          <w:tcPr/>
          <w:p>
            <w:pPr>
              <w:pStyle w:val="Compact"/>
            </w:pPr>
            <w:r>
              <w:rPr>
                <w:b/>
                <w:bCs/>
              </w:rPr>
              <w:t xml:space="preserve">A/B</w:t>
            </w:r>
          </w:p>
        </w:tc>
        <w:tc>
          <w:tcPr/>
          <w:p>
            <w:pPr>
              <w:pStyle w:val="Compact"/>
            </w:pPr>
            <w:r>
              <w:t xml:space="preserve">High-prior contributor in obesity.</w:t>
            </w:r>
            <w:r>
              <w:t xml:space="preserve"> </w:t>
            </w:r>
            <w:hyperlink r:id="rId13">
              <w:r>
                <w:rPr>
                  <w:rStyle w:val="Hyperlink"/>
                </w:rPr>
                <w:t xml:space="preserve">[48]</w:t>
              </w:r>
            </w:hyperlink>
          </w:p>
        </w:tc>
      </w:tr>
      <w:tr>
        <w:tc>
          <w:tcPr/>
          <w:p>
            <w:pPr>
              <w:pStyle w:val="Compact"/>
            </w:pPr>
            <w:r>
              <w:rPr>
                <w:b/>
                <w:bCs/>
              </w:rPr>
              <w:t xml:space="preserve">Periodontal disease</w:t>
            </w:r>
          </w:p>
        </w:tc>
        <w:tc>
          <w:tcPr/>
          <w:p>
            <w:pPr>
              <w:pStyle w:val="Compact"/>
            </w:pPr>
            <w:r>
              <w:t xml:space="preserve">Chronic plaque/biofilm-driven mucosal inflammation</w:t>
            </w:r>
          </w:p>
        </w:tc>
        <w:tc>
          <w:tcPr/>
          <w:p>
            <w:pPr>
              <w:pStyle w:val="Compact"/>
            </w:pPr>
            <w:r>
              <w:t xml:space="preserve">Bleeding gums, pockets, tooth mobility, poor dental status</w:t>
            </w:r>
          </w:p>
        </w:tc>
        <w:tc>
          <w:tcPr/>
          <w:p>
            <w:pPr>
              <w:pStyle w:val="Compact"/>
            </w:pPr>
            <w:r>
              <w:t xml:space="preserve">May elevate CRP/IL-6, but inconsistent</w:t>
            </w:r>
          </w:p>
        </w:tc>
        <w:tc>
          <w:tcPr/>
          <w:p>
            <w:pPr>
              <w:pStyle w:val="Compact"/>
            </w:pPr>
            <w:r>
              <w:t xml:space="preserve">Dental/periodontal examination</w:t>
            </w:r>
          </w:p>
        </w:tc>
        <w:tc>
          <w:tcPr/>
          <w:p>
            <w:pPr>
              <w:pStyle w:val="Compact"/>
            </w:pPr>
            <w:r>
              <w:rPr>
                <w:b/>
                <w:bCs/>
              </w:rPr>
              <w:t xml:space="preserve">B</w:t>
            </w:r>
          </w:p>
        </w:tc>
        <w:tc>
          <w:tcPr/>
          <w:p>
            <w:pPr>
              <w:pStyle w:val="Compact"/>
            </w:pPr>
            <w:r>
              <w:t xml:space="preserve">Common and under-recognised; systemic CRP response to treatment heterogeneous.</w:t>
            </w:r>
            <w:r>
              <w:t xml:space="preserve"> </w:t>
            </w:r>
            <w:hyperlink r:id="rId19">
              <w:r>
                <w:rPr>
                  <w:rStyle w:val="Hyperlink"/>
                </w:rPr>
                <w:t xml:space="preserve">[12]</w:t>
              </w:r>
            </w:hyperlink>
          </w:p>
        </w:tc>
      </w:tr>
      <w:tr>
        <w:tc>
          <w:tcPr/>
          <w:p>
            <w:pPr>
              <w:pStyle w:val="Compact"/>
            </w:pPr>
            <w:r>
              <w:rPr>
                <w:b/>
                <w:bCs/>
              </w:rPr>
              <w:t xml:space="preserve">Sleep apnoea</w:t>
            </w:r>
          </w:p>
        </w:tc>
        <w:tc>
          <w:tcPr/>
          <w:p>
            <w:pPr>
              <w:pStyle w:val="Compact"/>
            </w:pPr>
            <w:r>
              <w:t xml:space="preserve">Intermittent hypoxia + sympathetic/oxidative signalling + fragmentation</w:t>
            </w:r>
          </w:p>
        </w:tc>
        <w:tc>
          <w:tcPr/>
          <w:p>
            <w:pPr>
              <w:pStyle w:val="Compact"/>
            </w:pPr>
            <w:r>
              <w:t xml:space="preserve">Snoring, witnessed apnoea, daytime sleepiness; obesity/hypertension</w:t>
            </w:r>
          </w:p>
        </w:tc>
        <w:tc>
          <w:tcPr/>
          <w:p>
            <w:pPr>
              <w:pStyle w:val="Compact"/>
            </w:pPr>
            <w:r>
              <w:t xml:space="preserve">Low-grade CRP/IL-6 possible</w:t>
            </w:r>
          </w:p>
        </w:tc>
        <w:tc>
          <w:tcPr/>
          <w:p>
            <w:pPr>
              <w:pStyle w:val="Compact"/>
            </w:pPr>
            <w:r>
              <w:t xml:space="preserve">Validated sleep assessment, sleep study when indicated</w:t>
            </w:r>
          </w:p>
        </w:tc>
        <w:tc>
          <w:tcPr/>
          <w:p>
            <w:pPr>
              <w:pStyle w:val="Compact"/>
            </w:pPr>
            <w:r>
              <w:rPr>
                <w:b/>
                <w:bCs/>
              </w:rPr>
              <w:t xml:space="preserve">B</w:t>
            </w:r>
          </w:p>
        </w:tc>
        <w:tc>
          <w:tcPr/>
          <w:p>
            <w:pPr>
              <w:pStyle w:val="Compact"/>
            </w:pPr>
            <w:r>
              <w:t xml:space="preserve">Common in at-risk populations; obesity is major confounder and CPAP does not consistently lower biomarkers.</w:t>
            </w:r>
            <w:r>
              <w:t xml:space="preserve"> </w:t>
            </w:r>
            <w:hyperlink r:id="rId51">
              <w:r>
                <w:rPr>
                  <w:rStyle w:val="Hyperlink"/>
                </w:rPr>
                <w:t xml:space="preserve">[55]</w:t>
              </w:r>
            </w:hyperlink>
          </w:p>
        </w:tc>
      </w:tr>
      <w:tr>
        <w:tc>
          <w:tcPr/>
          <w:p>
            <w:pPr>
              <w:pStyle w:val="Compact"/>
            </w:pPr>
            <w:r>
              <w:rPr>
                <w:b/>
                <w:bCs/>
              </w:rPr>
              <w:t xml:space="preserve">Inflammatory bowel disease</w:t>
            </w:r>
          </w:p>
        </w:tc>
        <w:tc>
          <w:tcPr/>
          <w:p>
            <w:pPr>
              <w:pStyle w:val="Compact"/>
            </w:pPr>
            <w:r>
              <w:t xml:space="preserve">Mucosal barrier/immune dysregulation</w:t>
            </w:r>
          </w:p>
        </w:tc>
        <w:tc>
          <w:tcPr/>
          <w:p>
            <w:pPr>
              <w:pStyle w:val="Compact"/>
            </w:pPr>
            <w:r>
              <w:t xml:space="preserve">Chronic diarrhoea, blood, urgency, pain, weight loss</w:t>
            </w:r>
          </w:p>
        </w:tc>
        <w:tc>
          <w:tcPr/>
          <w:p>
            <w:pPr>
              <w:pStyle w:val="Compact"/>
            </w:pPr>
            <w:r>
              <w:t xml:space="preserve">CRP variable; faecal calprotectin often more localising</w:t>
            </w:r>
          </w:p>
        </w:tc>
        <w:tc>
          <w:tcPr/>
          <w:p>
            <w:pPr>
              <w:pStyle w:val="Compact"/>
            </w:pPr>
            <w:r>
              <w:t xml:space="preserve">Faecal calprotectin → endoscopy/imaging when appropriate</w:t>
            </w:r>
          </w:p>
        </w:tc>
        <w:tc>
          <w:tcPr/>
          <w:p>
            <w:pPr>
              <w:pStyle w:val="Compact"/>
            </w:pPr>
            <w:r>
              <w:rPr>
                <w:b/>
                <w:bCs/>
              </w:rPr>
              <w:t xml:space="preserve">A</w:t>
            </w:r>
          </w:p>
        </w:tc>
        <w:tc>
          <w:tcPr/>
          <w:p>
            <w:pPr>
              <w:pStyle w:val="Compact"/>
            </w:pPr>
            <w:r>
              <w:t xml:space="preserve">CRP can be normal despite active mucosal disease.</w:t>
            </w:r>
            <w:r>
              <w:t xml:space="preserve"> </w:t>
            </w:r>
            <w:hyperlink r:id="rId25">
              <w:r>
                <w:rPr>
                  <w:rStyle w:val="Hyperlink"/>
                </w:rPr>
                <w:t xml:space="preserve">[49]</w:t>
              </w:r>
            </w:hyperlink>
          </w:p>
        </w:tc>
      </w:tr>
      <w:tr>
        <w:tc>
          <w:tcPr/>
          <w:p>
            <w:pPr>
              <w:pStyle w:val="Compact"/>
            </w:pPr>
            <w:r>
              <w:rPr>
                <w:b/>
                <w:bCs/>
              </w:rPr>
              <w:t xml:space="preserve">Chronic respiratory disease</w:t>
            </w:r>
          </w:p>
        </w:tc>
        <w:tc>
          <w:tcPr/>
          <w:p>
            <w:pPr>
              <w:pStyle w:val="Compact"/>
            </w:pPr>
            <w:r>
              <w:t xml:space="preserve">Airway/alveolar inflammation, infection/exacerbation</w:t>
            </w:r>
          </w:p>
        </w:tc>
        <w:tc>
          <w:tcPr/>
          <w:p>
            <w:pPr>
              <w:pStyle w:val="Compact"/>
            </w:pPr>
            <w:r>
              <w:t xml:space="preserve">Cough, dyspnoea, wheeze, sputum</w:t>
            </w:r>
          </w:p>
        </w:tc>
        <w:tc>
          <w:tcPr/>
          <w:p>
            <w:pPr>
              <w:pStyle w:val="Compact"/>
            </w:pPr>
            <w:r>
              <w:t xml:space="preserve">Systemic markers vary</w:t>
            </w:r>
          </w:p>
        </w:tc>
        <w:tc>
          <w:tcPr/>
          <w:p>
            <w:pPr>
              <w:pStyle w:val="Compact"/>
            </w:pPr>
            <w:r>
              <w:t xml:space="preserve">Spirometry, imaging and microbiology depending phenotype</w:t>
            </w:r>
          </w:p>
        </w:tc>
        <w:tc>
          <w:tcPr/>
          <w:p>
            <w:pPr>
              <w:pStyle w:val="Compact"/>
            </w:pPr>
            <w:r>
              <w:rPr>
                <w:b/>
                <w:bCs/>
              </w:rPr>
              <w:t xml:space="preserve">A/B</w:t>
            </w:r>
          </w:p>
        </w:tc>
        <w:tc>
          <w:tcPr/>
          <w:p>
            <w:pPr>
              <w:pStyle w:val="Compact"/>
            </w:pPr>
            <w:r>
              <w:t xml:space="preserve">Local inflammation may generate little CRP</w:t>
            </w:r>
          </w:p>
        </w:tc>
      </w:tr>
      <w:tr>
        <w:tc>
          <w:tcPr/>
          <w:p>
            <w:pPr>
              <w:pStyle w:val="Compact"/>
            </w:pPr>
            <w:r>
              <w:rPr>
                <w:b/>
                <w:bCs/>
              </w:rPr>
              <w:t xml:space="preserve">Tissue injury / surgery / ischaemia</w:t>
            </w:r>
          </w:p>
        </w:tc>
        <w:tc>
          <w:tcPr/>
          <w:p>
            <w:pPr>
              <w:pStyle w:val="Compact"/>
            </w:pPr>
            <w:r>
              <w:t xml:space="preserve">Necrosis/DAMPs → innate activation</w:t>
            </w:r>
          </w:p>
        </w:tc>
        <w:tc>
          <w:tcPr/>
          <w:p>
            <w:pPr>
              <w:pStyle w:val="Compact"/>
            </w:pPr>
            <w:r>
              <w:t xml:space="preserve">Clear temporal event, pain/organ injury</w:t>
            </w:r>
          </w:p>
        </w:tc>
        <w:tc>
          <w:tcPr/>
          <w:p>
            <w:pPr>
              <w:pStyle w:val="Compact"/>
            </w:pPr>
            <w:r>
              <w:t xml:space="preserve">CRP, leukocytosis, CK/troponin/organ markers depending tissue</w:t>
            </w:r>
          </w:p>
        </w:tc>
        <w:tc>
          <w:tcPr/>
          <w:p>
            <w:pPr>
              <w:pStyle w:val="Compact"/>
            </w:pPr>
            <w:r>
              <w:t xml:space="preserve">Event-specific assessment</w:t>
            </w:r>
          </w:p>
        </w:tc>
        <w:tc>
          <w:tcPr/>
          <w:p>
            <w:pPr>
              <w:pStyle w:val="Compact"/>
            </w:pPr>
            <w:r>
              <w:rPr>
                <w:b/>
                <w:bCs/>
              </w:rPr>
              <w:t xml:space="preserve">A causal</w:t>
            </w:r>
          </w:p>
        </w:tc>
        <w:tc>
          <w:tcPr/>
          <w:p>
            <w:pPr>
              <w:pStyle w:val="Compact"/>
            </w:pPr>
            <w:r>
              <w:t xml:space="preserve">Common acute confounder; can mimic infection</w:t>
            </w:r>
          </w:p>
        </w:tc>
      </w:tr>
      <w:tr>
        <w:tc>
          <w:tcPr/>
          <w:p>
            <w:pPr>
              <w:pStyle w:val="Compact"/>
            </w:pPr>
            <w:r>
              <w:rPr>
                <w:b/>
                <w:bCs/>
              </w:rPr>
              <w:t xml:space="preserve">Excessive exercise / muscle injury</w:t>
            </w:r>
          </w:p>
        </w:tc>
        <w:tc>
          <w:tcPr/>
          <w:p>
            <w:pPr>
              <w:pStyle w:val="Compact"/>
            </w:pPr>
            <w:r>
              <w:t xml:space="preserve">Myocyte stress/damage + physiological myokines</w:t>
            </w:r>
          </w:p>
        </w:tc>
        <w:tc>
          <w:tcPr/>
          <w:p>
            <w:pPr>
              <w:pStyle w:val="Compact"/>
            </w:pPr>
            <w:r>
              <w:t xml:space="preserve">Recent endurance/strength event, soreness</w:t>
            </w:r>
          </w:p>
        </w:tc>
        <w:tc>
          <w:tcPr/>
          <w:p>
            <w:pPr>
              <w:pStyle w:val="Compact"/>
            </w:pPr>
            <w:r>
              <w:t xml:space="preserve">IL-6, CK, WBC ± CRP</w:t>
            </w:r>
          </w:p>
        </w:tc>
        <w:tc>
          <w:tcPr/>
          <w:p>
            <w:pPr>
              <w:pStyle w:val="Compact"/>
            </w:pPr>
            <w:r>
              <w:t xml:space="preserve">Timing, CK if clinically relevant, repeat after recovery</w:t>
            </w:r>
          </w:p>
        </w:tc>
        <w:tc>
          <w:tcPr/>
          <w:p>
            <w:pPr>
              <w:pStyle w:val="Compact"/>
            </w:pPr>
            <w:r>
              <w:rPr>
                <w:b/>
                <w:bCs/>
              </w:rPr>
              <w:t xml:space="preserve">A/B</w:t>
            </w:r>
          </w:p>
        </w:tc>
        <w:tc>
          <w:tcPr/>
          <w:p>
            <w:pPr>
              <w:pStyle w:val="Compact"/>
            </w:pPr>
            <w:r>
              <w:t xml:space="preserve">Often missed pre-analytical context; exercise IL-6 ≠ pathological IL-6.</w:t>
            </w:r>
            <w:r>
              <w:t xml:space="preserve"> </w:t>
            </w:r>
            <w:hyperlink r:id="rId12">
              <w:r>
                <w:rPr>
                  <w:rStyle w:val="Hyperlink"/>
                </w:rPr>
                <w:t xml:space="preserve">[68]</w:t>
              </w:r>
            </w:hyperlink>
          </w:p>
        </w:tc>
      </w:tr>
      <w:tr>
        <w:tc>
          <w:tcPr/>
          <w:p>
            <w:pPr>
              <w:pStyle w:val="Compact"/>
            </w:pPr>
            <w:r>
              <w:rPr>
                <w:b/>
                <w:bCs/>
              </w:rPr>
              <w:t xml:space="preserve">Smoking</w:t>
            </w:r>
          </w:p>
        </w:tc>
        <w:tc>
          <w:tcPr/>
          <w:p>
            <w:pPr>
              <w:pStyle w:val="Compact"/>
            </w:pPr>
            <w:r>
              <w:t xml:space="preserve">Airway, endothelial, oxidative and innate activation</w:t>
            </w:r>
          </w:p>
        </w:tc>
        <w:tc>
          <w:tcPr/>
          <w:p>
            <w:pPr>
              <w:pStyle w:val="Compact"/>
            </w:pPr>
            <w:r>
              <w:t xml:space="preserve">Current exposure, respiratory/vascular phenotype</w:t>
            </w:r>
          </w:p>
        </w:tc>
        <w:tc>
          <w:tcPr/>
          <w:p>
            <w:pPr>
              <w:pStyle w:val="Compact"/>
            </w:pPr>
            <w:r>
              <w:t xml:space="preserve">hsCRP, IL-6, fibrinogen may be higher</w:t>
            </w:r>
          </w:p>
        </w:tc>
        <w:tc>
          <w:tcPr/>
          <w:p>
            <w:pPr>
              <w:pStyle w:val="Compact"/>
            </w:pPr>
            <w:r>
              <w:t xml:space="preserve">Exposure history is usually sufficient</w:t>
            </w:r>
          </w:p>
        </w:tc>
        <w:tc>
          <w:tcPr/>
          <w:p>
            <w:pPr>
              <w:pStyle w:val="Compact"/>
            </w:pPr>
            <w:r>
              <w:rPr>
                <w:b/>
                <w:bCs/>
              </w:rPr>
              <w:t xml:space="preserve">A/B causal</w:t>
            </w:r>
          </w:p>
        </w:tc>
        <w:tc>
          <w:tcPr/>
          <w:p>
            <w:pPr>
              <w:pStyle w:val="Compact"/>
            </w:pPr>
            <w:r>
              <w:t xml:space="preserve">Common; cessation benefit on CRP can lag.</w:t>
            </w:r>
            <w:r>
              <w:t xml:space="preserve"> </w:t>
            </w:r>
            <w:hyperlink r:id="rId61">
              <w:r>
                <w:rPr>
                  <w:rStyle w:val="Hyperlink"/>
                </w:rPr>
                <w:t xml:space="preserve">[69]</w:t>
              </w:r>
            </w:hyperlink>
          </w:p>
        </w:tc>
      </w:tr>
      <w:tr>
        <w:tc>
          <w:tcPr/>
          <w:p>
            <w:pPr>
              <w:pStyle w:val="Compact"/>
            </w:pPr>
            <w:r>
              <w:rPr>
                <w:b/>
                <w:bCs/>
              </w:rPr>
              <w:t xml:space="preserve">Liver disease / MASLD</w:t>
            </w:r>
          </w:p>
        </w:tc>
        <w:tc>
          <w:tcPr/>
          <w:p>
            <w:pPr>
              <w:pStyle w:val="Compact"/>
            </w:pPr>
            <w:r>
              <w:t xml:space="preserve">Lipotoxicity, hepatocyte injury, Kupffer-cell signalling</w:t>
            </w:r>
          </w:p>
        </w:tc>
        <w:tc>
          <w:tcPr/>
          <w:p>
            <w:pPr>
              <w:pStyle w:val="Compact"/>
            </w:pPr>
            <w:r>
              <w:t xml:space="preserve">Central adiposity, alcohol history, abnormal liver tests</w:t>
            </w:r>
          </w:p>
        </w:tc>
        <w:tc>
          <w:tcPr/>
          <w:p>
            <w:pPr>
              <w:pStyle w:val="Compact"/>
            </w:pPr>
            <w:r>
              <w:t xml:space="preserve">CRP/ferritin may be elevated, transaminases variable</w:t>
            </w:r>
          </w:p>
        </w:tc>
        <w:tc>
          <w:tcPr/>
          <w:p>
            <w:pPr>
              <w:pStyle w:val="Compact"/>
            </w:pPr>
            <w:r>
              <w:t xml:space="preserve">CMP/liver panel, imaging or fibrosis evaluation when indicated</w:t>
            </w:r>
          </w:p>
        </w:tc>
        <w:tc>
          <w:tcPr/>
          <w:p>
            <w:pPr>
              <w:pStyle w:val="Compact"/>
            </w:pPr>
            <w:r>
              <w:rPr>
                <w:b/>
                <w:bCs/>
              </w:rPr>
              <w:t xml:space="preserve">A/B</w:t>
            </w:r>
          </w:p>
        </w:tc>
        <w:tc>
          <w:tcPr/>
          <w:p>
            <w:pPr>
              <w:pStyle w:val="Compact"/>
            </w:pPr>
            <w:r>
              <w:t xml:space="preserve">Ferritin elevation is particularly nonspecific</w:t>
            </w:r>
          </w:p>
        </w:tc>
      </w:tr>
      <w:tr>
        <w:tc>
          <w:tcPr/>
          <w:p>
            <w:pPr>
              <w:pStyle w:val="Compact"/>
            </w:pPr>
            <w:r>
              <w:rPr>
                <w:b/>
                <w:bCs/>
              </w:rPr>
              <w:t xml:space="preserve">Kidney disease</w:t>
            </w:r>
          </w:p>
        </w:tc>
        <w:tc>
          <w:tcPr/>
          <w:p>
            <w:pPr>
              <w:pStyle w:val="Compact"/>
            </w:pPr>
            <w:r>
              <w:t xml:space="preserve">Retained inflammatory mediators, comorbidity, vascular/infectious burden</w:t>
            </w:r>
          </w:p>
        </w:tc>
        <w:tc>
          <w:tcPr/>
          <w:p>
            <w:pPr>
              <w:pStyle w:val="Compact"/>
            </w:pPr>
            <w:r>
              <w:t xml:space="preserve">Reduced eGFR, proteinuria, systemic comorbidity</w:t>
            </w:r>
          </w:p>
        </w:tc>
        <w:tc>
          <w:tcPr/>
          <w:p>
            <w:pPr>
              <w:pStyle w:val="Compact"/>
            </w:pPr>
            <w:r>
              <w:t xml:space="preserve">CRP/ESR may rise; ESR particularly confounded</w:t>
            </w:r>
          </w:p>
        </w:tc>
        <w:tc>
          <w:tcPr/>
          <w:p>
            <w:pPr>
              <w:pStyle w:val="Compact"/>
            </w:pPr>
            <w:r>
              <w:t xml:space="preserve">Creatinine/eGFR, urinalysis, urine protein</w:t>
            </w:r>
          </w:p>
        </w:tc>
        <w:tc>
          <w:tcPr/>
          <w:p>
            <w:pPr>
              <w:pStyle w:val="Compact"/>
            </w:pPr>
            <w:r>
              <w:rPr>
                <w:b/>
                <w:bCs/>
              </w:rPr>
              <w:t xml:space="preserve">A/B</w:t>
            </w:r>
          </w:p>
        </w:tc>
        <w:tc>
          <w:tcPr/>
          <w:p>
            <w:pPr>
              <w:pStyle w:val="Compact"/>
            </w:pPr>
            <w:r>
              <w:t xml:space="preserve">Renal disease can distort several biomarkers.</w:t>
            </w:r>
            <w:r>
              <w:t xml:space="preserve"> </w:t>
            </w:r>
            <w:hyperlink r:id="rId35">
              <w:r>
                <w:rPr>
                  <w:rStyle w:val="Hyperlink"/>
                </w:rPr>
                <w:t xml:space="preserve">[70]</w:t>
              </w:r>
            </w:hyperlink>
          </w:p>
        </w:tc>
      </w:tr>
      <w:tr>
        <w:tc>
          <w:tcPr/>
          <w:p>
            <w:pPr>
              <w:pStyle w:val="Compact"/>
            </w:pPr>
            <w:r>
              <w:rPr>
                <w:b/>
                <w:bCs/>
              </w:rPr>
              <w:t xml:space="preserve">Malignancy</w:t>
            </w:r>
          </w:p>
        </w:tc>
        <w:tc>
          <w:tcPr/>
          <w:p>
            <w:pPr>
              <w:pStyle w:val="Compact"/>
            </w:pPr>
            <w:r>
              <w:t xml:space="preserve">Tumour cytokines, tissue necrosis, host response or secondary infection</w:t>
            </w:r>
          </w:p>
        </w:tc>
        <w:tc>
          <w:tcPr/>
          <w:p>
            <w:pPr>
              <w:pStyle w:val="Compact"/>
            </w:pPr>
            <w:r>
              <w:t xml:space="preserve">Weight loss, night sweats, nodes, bleeding, focal symptoms</w:t>
            </w:r>
          </w:p>
        </w:tc>
        <w:tc>
          <w:tcPr/>
          <w:p>
            <w:pPr>
              <w:pStyle w:val="Compact"/>
            </w:pPr>
            <w:r>
              <w:t xml:space="preserve">CRP/ESR/ferritin/CBC abnormalities vary</w:t>
            </w:r>
          </w:p>
        </w:tc>
        <w:tc>
          <w:tcPr/>
          <w:p>
            <w:pPr>
              <w:pStyle w:val="Compact"/>
            </w:pPr>
            <w:r>
              <w:rPr>
                <w:b/>
                <w:bCs/>
              </w:rPr>
              <w:t xml:space="preserve">Symptom- and age-appropriate evaluation</w:t>
            </w:r>
            <w:r>
              <w:t xml:space="preserve">, not inflammation-driven whole-body screening</w:t>
            </w:r>
          </w:p>
        </w:tc>
        <w:tc>
          <w:tcPr/>
          <w:p>
            <w:pPr>
              <w:pStyle w:val="Compact"/>
            </w:pPr>
            <w:r>
              <w:rPr>
                <w:b/>
                <w:bCs/>
              </w:rPr>
              <w:t xml:space="preserve">A disease-specific</w:t>
            </w:r>
          </w:p>
        </w:tc>
        <w:tc>
          <w:tcPr/>
          <w:p>
            <w:pPr>
              <w:pStyle w:val="Compact"/>
            </w:pPr>
            <w:r>
              <w:t xml:space="preserve">Important but biomarkers are far too nonspecific for cancer diagnosis</w:t>
            </w:r>
          </w:p>
        </w:tc>
      </w:tr>
      <w:tr>
        <w:tc>
          <w:tcPr/>
          <w:p>
            <w:pPr>
              <w:pStyle w:val="Compact"/>
            </w:pPr>
            <w:r>
              <w:rPr>
                <w:b/>
                <w:bCs/>
              </w:rPr>
              <w:t xml:space="preserve">Allergic/eosinophilic disease</w:t>
            </w:r>
          </w:p>
        </w:tc>
        <w:tc>
          <w:tcPr/>
          <w:p>
            <w:pPr>
              <w:pStyle w:val="Compact"/>
            </w:pPr>
            <w:r>
              <w:t xml:space="preserve">IgE/type-2, mast-cell/eosinophil activation</w:t>
            </w:r>
          </w:p>
        </w:tc>
        <w:tc>
          <w:tcPr/>
          <w:p>
            <w:pPr>
              <w:pStyle w:val="Compact"/>
            </w:pPr>
            <w:r>
              <w:t xml:space="preserve">Atopy, wheeze, rhinitis, urticaria, eosinophilic GI symptoms</w:t>
            </w:r>
          </w:p>
        </w:tc>
        <w:tc>
          <w:tcPr/>
          <w:p>
            <w:pPr>
              <w:pStyle w:val="Compact"/>
            </w:pPr>
            <w:r>
              <w:t xml:space="preserve">Eosinophilia/IgE may be more relevant; CRP often normal</w:t>
            </w:r>
          </w:p>
        </w:tc>
        <w:tc>
          <w:tcPr/>
          <w:p>
            <w:pPr>
              <w:pStyle w:val="Compact"/>
            </w:pPr>
            <w:r>
              <w:t xml:space="preserve">CBC differential, specific allergy/organ tests when clinically justified</w:t>
            </w:r>
          </w:p>
        </w:tc>
        <w:tc>
          <w:tcPr/>
          <w:p>
            <w:pPr>
              <w:pStyle w:val="Compact"/>
            </w:pPr>
            <w:r>
              <w:rPr>
                <w:b/>
                <w:bCs/>
              </w:rPr>
              <w:t xml:space="preserve">A disease-specific</w:t>
            </w:r>
          </w:p>
        </w:tc>
        <w:tc>
          <w:tcPr/>
          <w:p>
            <w:pPr>
              <w:pStyle w:val="Compact"/>
            </w:pPr>
            <w:r>
              <w:t xml:space="preserve">“Inflammation” can be substantial with normal CRP</w:t>
            </w:r>
          </w:p>
        </w:tc>
      </w:tr>
      <w:tr>
        <w:tc>
          <w:tcPr/>
          <w:p>
            <w:pPr>
              <w:pStyle w:val="Compact"/>
            </w:pPr>
            <w:r>
              <w:rPr>
                <w:b/>
                <w:bCs/>
              </w:rPr>
              <w:t xml:space="preserve">Endocrine disorders</w:t>
            </w:r>
          </w:p>
        </w:tc>
        <w:tc>
          <w:tcPr/>
          <w:p>
            <w:pPr>
              <w:pStyle w:val="Compact"/>
            </w:pPr>
            <w:r>
              <w:t xml:space="preserve">Hormonal effects on metabolism/immunity; occasionally direct gland inflammation</w:t>
            </w:r>
          </w:p>
        </w:tc>
        <w:tc>
          <w:tcPr/>
          <w:p>
            <w:pPr>
              <w:pStyle w:val="Compact"/>
            </w:pPr>
            <w:r>
              <w:t xml:space="preserve">Thyroid/adrenal/reproductive endocrine phenotype</w:t>
            </w:r>
          </w:p>
        </w:tc>
        <w:tc>
          <w:tcPr/>
          <w:p>
            <w:pPr>
              <w:pStyle w:val="Compact"/>
            </w:pPr>
            <w:r>
              <w:t xml:space="preserve">Variable/nonspecific</w:t>
            </w:r>
          </w:p>
        </w:tc>
        <w:tc>
          <w:tcPr/>
          <w:p>
            <w:pPr>
              <w:pStyle w:val="Compact"/>
            </w:pPr>
            <w:r>
              <w:t xml:space="preserve">TSH/free T4, cortisol-axis or other testing only according to phenotype</w:t>
            </w:r>
          </w:p>
        </w:tc>
        <w:tc>
          <w:tcPr/>
          <w:p>
            <w:pPr>
              <w:pStyle w:val="Compact"/>
            </w:pPr>
            <w:r>
              <w:rPr>
                <w:b/>
                <w:bCs/>
              </w:rPr>
              <w:t xml:space="preserve">B/C depending disease</w:t>
            </w:r>
          </w:p>
        </w:tc>
        <w:tc>
          <w:tcPr/>
          <w:p>
            <w:pPr>
              <w:pStyle w:val="Compact"/>
            </w:pPr>
            <w:r>
              <w:t xml:space="preserve">Endocrine “imbalance” is a poor generic explanation</w:t>
            </w:r>
          </w:p>
        </w:tc>
      </w:tr>
      <w:tr>
        <w:tc>
          <w:tcPr/>
          <w:p>
            <w:pPr>
              <w:pStyle w:val="Compact"/>
            </w:pPr>
            <w:r>
              <w:rPr>
                <w:b/>
                <w:bCs/>
              </w:rPr>
              <w:t xml:space="preserve">Vascular inflammation / atherosclerosis</w:t>
            </w:r>
          </w:p>
        </w:tc>
        <w:tc>
          <w:tcPr/>
          <w:p>
            <w:pPr>
              <w:pStyle w:val="Compact"/>
            </w:pPr>
            <w:r>
              <w:t xml:space="preserve">Modified lipoproteins → macrophages/inflammasomes → plaque immune activity</w:t>
            </w:r>
          </w:p>
        </w:tc>
        <w:tc>
          <w:tcPr/>
          <w:p>
            <w:pPr>
              <w:pStyle w:val="Compact"/>
            </w:pPr>
            <w:r>
              <w:t xml:space="preserve">Cardiovascular risk factors or established ASCVD</w:t>
            </w:r>
          </w:p>
        </w:tc>
        <w:tc>
          <w:tcPr/>
          <w:p>
            <w:pPr>
              <w:pStyle w:val="Compact"/>
            </w:pPr>
            <w:r>
              <w:t xml:space="preserve">hsCRP may indicate residual inflammatory risk</w:t>
            </w:r>
          </w:p>
        </w:tc>
        <w:tc>
          <w:tcPr/>
          <w:p>
            <w:pPr>
              <w:pStyle w:val="Compact"/>
            </w:pPr>
            <w:r>
              <w:t xml:space="preserve">Overall cardiovascular assessment; lipids/ApoB etc., not cytokine localisation panels</w:t>
            </w:r>
          </w:p>
        </w:tc>
        <w:tc>
          <w:tcPr/>
          <w:p>
            <w:pPr>
              <w:pStyle w:val="Compact"/>
            </w:pPr>
            <w:r>
              <w:rPr>
                <w:b/>
                <w:bCs/>
              </w:rPr>
              <w:t xml:space="preserve">A causal component</w:t>
            </w:r>
          </w:p>
        </w:tc>
        <w:tc>
          <w:tcPr/>
          <w:p>
            <w:pPr>
              <w:pStyle w:val="Compact"/>
            </w:pPr>
            <w:r>
              <w:t xml:space="preserve">CANTOS proves pathway causality but does not make CRP a plaque-localisation test.</w:t>
            </w:r>
            <w:r>
              <w:t xml:space="preserve"> </w:t>
            </w:r>
            <w:hyperlink r:id="rId16">
              <w:r>
                <w:rPr>
                  <w:rStyle w:val="Hyperlink"/>
                </w:rPr>
                <w:t xml:space="preserve">[71]</w:t>
              </w:r>
            </w:hyperlink>
          </w:p>
        </w:tc>
      </w:tr>
    </w:tbl>
    <w:p>
      <w:pPr>
        <w:pStyle w:val="BodyText"/>
      </w:pPr>
      <w:r>
        <w:t xml:space="preserve">Two source-localisation principles deserve emphasis.</w:t>
      </w:r>
    </w:p>
    <w:p>
      <w:pPr>
        <w:pStyle w:val="BodyText"/>
      </w:pPr>
      <w:r>
        <w:t xml:space="preserve">First,</w:t>
      </w:r>
      <w:r>
        <w:t xml:space="preserve"> </w:t>
      </w:r>
      <w:r>
        <w:rPr>
          <w:b/>
          <w:bCs/>
        </w:rPr>
        <w:t xml:space="preserve">a systemic marker can underestimate local disease</w:t>
      </w:r>
      <w:r>
        <w:t xml:space="preserve">. Focal synovitis, psoriasis, asthma/eosinophilic disease, mild IBD, periodontal disease and some neurological inflammation may have normal or only mildly raised systemic CRP. The IBD calprotectin data provide a direct example.</w:t>
      </w:r>
      <w:r>
        <w:t xml:space="preserve"> </w:t>
      </w:r>
      <w:hyperlink r:id="rId25">
        <w:r>
          <w:rPr>
            <w:rStyle w:val="Hyperlink"/>
          </w:rPr>
          <w:t xml:space="preserve">[49]</w:t>
        </w:r>
      </w:hyperlink>
    </w:p>
    <w:p>
      <w:pPr>
        <w:pStyle w:val="BodyText"/>
      </w:pPr>
      <w:r>
        <w:t xml:space="preserve">Second,</w:t>
      </w:r>
      <w:r>
        <w:t xml:space="preserve"> </w:t>
      </w:r>
      <w:r>
        <w:rPr>
          <w:b/>
          <w:bCs/>
        </w:rPr>
        <w:t xml:space="preserve">a small anatomical source can generate a systemic response if it is biologically active enough</w:t>
      </w:r>
      <w:r>
        <w:t xml:space="preserve">. Tissue volume alone is not the determinant; cytokine production, vascular access, microbial burden and host responsiveness matter. Severe periodontal disease demonstrates that a geographically small site can measurably affect systemic endothelial/inflammatory physiology.</w:t>
      </w:r>
      <w:r>
        <w:t xml:space="preserve"> </w:t>
      </w:r>
      <w:hyperlink r:id="rId19">
        <w:r>
          <w:rPr>
            <w:rStyle w:val="Hyperlink"/>
          </w:rPr>
          <w:t xml:space="preserve">[72]</w:t>
        </w:r>
      </w:hyperlink>
    </w:p>
    <w:p>
      <w:pPr>
        <w:pStyle w:val="BodyText"/>
      </w:pPr>
      <w:r>
        <w:t xml:space="preserve">The differential should therefore be organised by three axes rather than a single list:</w:t>
      </w:r>
    </w:p>
    <w:p>
      <w:pPr>
        <w:pStyle w:val="BodyText"/>
      </w:pPr>
      <w:r>
        <w:rPr>
          <w:b/>
          <w:bCs/>
        </w:rPr>
        <w:t xml:space="preserve">time</w:t>
      </w:r>
      <w:r>
        <w:t xml:space="preserve"> </w:t>
      </w:r>
      <w:r>
        <w:t xml:space="preserve">— acute, persistent, intermittent/recurrent;</w:t>
      </w:r>
      <w:r>
        <w:br/>
      </w:r>
      <w:r>
        <w:rPr>
          <w:b/>
          <w:bCs/>
        </w:rPr>
        <w:t xml:space="preserve">anatomy</w:t>
      </w:r>
      <w:r>
        <w:t xml:space="preserve"> </w:t>
      </w:r>
      <w:r>
        <w:t xml:space="preserve">— localised versus multisystem;</w:t>
      </w:r>
      <w:r>
        <w:br/>
      </w:r>
      <w:r>
        <w:rPr>
          <w:b/>
          <w:bCs/>
        </w:rPr>
        <w:t xml:space="preserve">mechanism</w:t>
      </w:r>
      <w:r>
        <w:t xml:space="preserve"> </w:t>
      </w:r>
      <w:r>
        <w:t xml:space="preserve">— infectious, sterile injury, metabolic, autoimmune/autoinflammatory, mucosal, allergic, vascular, malignant or other.</w:t>
      </w:r>
    </w:p>
    <w:p>
      <w:pPr>
        <w:pStyle w:val="BodyText"/>
      </w:pPr>
      <w:r>
        <w:t xml:space="preserve">That multidimensional phenotype determines which tests acquire information value.</w:t>
      </w:r>
    </w:p>
    <w:bookmarkEnd w:id="67"/>
    <w:bookmarkStart w:id="76" w:name="X624339dfcd0e6bb76e9b3e541cc982037a6829a"/>
    <w:p>
      <w:pPr>
        <w:pStyle w:val="Heading2"/>
      </w:pPr>
      <w:r>
        <w:t xml:space="preserve">Stepwise investigation, information gain, longitudinal monitoring and red flags</w:t>
      </w:r>
    </w:p>
    <w:p>
      <w:pPr>
        <w:pStyle w:val="FirstParagraph"/>
      </w:pPr>
      <w:r>
        <w:rPr>
          <w:b/>
          <w:bCs/>
        </w:rPr>
        <w:t xml:space="preserve">Part XVII — Step-by-step investigation framework; Part XVIII — Highest-information follow-up measurements.</w:t>
      </w:r>
    </w:p>
    <w:p>
      <w:pPr>
        <w:pStyle w:val="BodyText"/>
      </w:pPr>
      <w:r>
        <w:t xml:space="preserve">The diagnostic problem can be treated as a sequential information-gain exercise.</w:t>
      </w:r>
    </w:p>
    <w:bookmarkStart w:id="68" w:name="confirm-the-signal"/>
    <w:p>
      <w:pPr>
        <w:pStyle w:val="Heading3"/>
      </w:pPr>
      <w:r>
        <w:t xml:space="preserve">Confirm the signal</w:t>
      </w:r>
    </w:p>
    <w:p>
      <w:pPr>
        <w:pStyle w:val="FirstParagraph"/>
      </w:pPr>
      <w:r>
        <w:t xml:space="preserve">The first task is not to search for exotic causes; it is to determine whether the abnormality is</w:t>
      </w:r>
      <w:r>
        <w:t xml:space="preserve"> </w:t>
      </w:r>
      <w:r>
        <w:rPr>
          <w:b/>
          <w:bCs/>
        </w:rPr>
        <w:t xml:space="preserve">real, biologically meaningful and representative of baseline physiology</w:t>
      </w:r>
      <w:r>
        <w:t xml:space="preserve">.</w:t>
      </w:r>
    </w:p>
    <w:p>
      <w:pPr>
        <w:pStyle w:val="BodyText"/>
      </w:pPr>
      <w:r>
        <w:t xml:space="preserve">Ask whether the result was obtained during or shortly after respiratory/GI illness, vaccination, injury, surgery, strenuous exercise, major sleep disruption or another acute stressor; whether another medication or condition changes the marker; whether the laboratory and assay are reliable; and whether a repeat under more representative conditions remains abnormal. For hsCRP used in cardiovascular assessment, contemporary AHA material explicitly describes confirming elevation and ruling out other inflammatory causes rather than making decisions from a single measurement.</w:t>
      </w:r>
      <w:r>
        <w:t xml:space="preserve"> </w:t>
      </w:r>
      <w:hyperlink r:id="rId11">
        <w:r>
          <w:rPr>
            <w:rStyle w:val="Hyperlink"/>
          </w:rPr>
          <w:t xml:space="preserve">[41]</w:t>
        </w:r>
      </w:hyperlink>
    </w:p>
    <w:p>
      <w:pPr>
        <w:pStyle w:val="BodyText"/>
      </w:pPr>
      <w:r>
        <w:t xml:space="preserve">For direct cytokines, repetition deserves even more caution because assay and circadian variability may be larger relative to the clinical signal. Standardising sampling time, specimen type, collection-processing interval and laboratory platform becomes important when the measurement truly matters.</w:t>
      </w:r>
      <w:r>
        <w:t xml:space="preserve"> </w:t>
      </w:r>
      <w:hyperlink r:id="rId41">
        <w:r>
          <w:rPr>
            <w:rStyle w:val="Hyperlink"/>
          </w:rPr>
          <w:t xml:space="preserve">[73]</w:t>
        </w:r>
      </w:hyperlink>
    </w:p>
    <w:p>
      <w:pPr>
        <w:pStyle w:val="BodyText"/>
      </w:pPr>
      <w:r>
        <w:rPr>
          <w:b/>
          <w:bCs/>
        </w:rPr>
        <w:t xml:space="preserve">Next question:</w:t>
      </w:r>
      <w:r>
        <w:t xml:space="preserve"> </w:t>
      </w:r>
      <w:r>
        <w:rPr>
          <w:i/>
          <w:iCs/>
        </w:rPr>
        <w:t xml:space="preserve">Is this an isolated excursion or a persistent/recurrent phenotype?</w:t>
      </w:r>
    </w:p>
    <w:bookmarkEnd w:id="68"/>
    <w:bookmarkStart w:id="69" w:name="Xb99b0059285aaa9200393d8d5a8ebf8b3cfbbc6"/>
    <w:p>
      <w:pPr>
        <w:pStyle w:val="Heading3"/>
      </w:pPr>
      <w:r>
        <w:t xml:space="preserve">Define the temporal inflammatory phenotype</w:t>
      </w:r>
    </w:p>
    <w:p>
      <w:pPr>
        <w:pStyle w:val="FirstParagraph"/>
      </w:pPr>
      <w:r>
        <w:t xml:space="preserve">A single peak after infection is a fundamentally different biological problem from a stable low-grade hsCRP elevation for 18 months or recurrent episodes accompanied by fever and arthritis.</w:t>
      </w:r>
    </w:p>
    <w:p>
      <w:pPr>
        <w:pStyle w:val="BodyText"/>
      </w:pPr>
      <w:r>
        <w:t xml:space="preserve">The trajectory can be classified 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Trajectory</w:t>
            </w:r>
          </w:p>
        </w:tc>
        <w:tc>
          <w:tcPr/>
          <w:p>
            <w:pPr>
              <w:pStyle w:val="Compact"/>
            </w:pPr>
            <w:r>
              <w:t xml:space="preserve">Main mechanistic question</w:t>
            </w:r>
          </w:p>
        </w:tc>
      </w:tr>
      <w:tr>
        <w:tc>
          <w:tcPr/>
          <w:p>
            <w:pPr>
              <w:pStyle w:val="Compact"/>
            </w:pPr>
            <w:r>
              <w:t xml:space="preserve">Rapid rise then fall</w:t>
            </w:r>
          </w:p>
        </w:tc>
        <w:tc>
          <w:tcPr/>
          <w:p>
            <w:pPr>
              <w:pStyle w:val="Compact"/>
            </w:pPr>
            <w:r>
              <w:t xml:space="preserve">What acute infectious/injury/exercise event explains it?</w:t>
            </w:r>
          </w:p>
        </w:tc>
      </w:tr>
      <w:tr>
        <w:tc>
          <w:tcPr/>
          <w:p>
            <w:pPr>
              <w:pStyle w:val="Compact"/>
            </w:pPr>
            <w:r>
              <w:t xml:space="preserve">Persistent low-grade</w:t>
            </w:r>
          </w:p>
        </w:tc>
        <w:tc>
          <w:tcPr/>
          <w:p>
            <w:pPr>
              <w:pStyle w:val="Compact"/>
            </w:pPr>
            <w:r>
              <w:t xml:space="preserve">Is there a continuing metabolic, vascular, mucosal, respiratory, periodontal or chronic disease driver?</w:t>
            </w:r>
          </w:p>
        </w:tc>
      </w:tr>
      <w:tr>
        <w:tc>
          <w:tcPr/>
          <w:p>
            <w:pPr>
              <w:pStyle w:val="Compact"/>
            </w:pPr>
            <w:r>
              <w:t xml:space="preserve">Persistent substantial</w:t>
            </w:r>
          </w:p>
        </w:tc>
        <w:tc>
          <w:tcPr/>
          <w:p>
            <w:pPr>
              <w:pStyle w:val="Compact"/>
            </w:pPr>
            <w:r>
              <w:t xml:space="preserve">Is there active inflammatory disease, infection, tissue injury, organ pathology, haematological disease or malignancy requiring medical evaluation?</w:t>
            </w:r>
          </w:p>
        </w:tc>
      </w:tr>
      <w:tr>
        <w:tc>
          <w:tcPr/>
          <w:p>
            <w:pPr>
              <w:pStyle w:val="Compact"/>
            </w:pPr>
            <w:r>
              <w:t xml:space="preserve">Recurrent spikes</w:t>
            </w:r>
          </w:p>
        </w:tc>
        <w:tc>
          <w:tcPr/>
          <w:p>
            <w:pPr>
              <w:pStyle w:val="Compact"/>
            </w:pPr>
            <w:r>
              <w:t xml:space="preserve">What exposure/organ syndrome accompanies each flare—fever, joints, GI, skin, infection, menstrual/hormonal timing, exertion?</w:t>
            </w:r>
          </w:p>
        </w:tc>
      </w:tr>
      <w:tr>
        <w:tc>
          <w:tcPr/>
          <w:p>
            <w:pPr>
              <w:pStyle w:val="Compact"/>
            </w:pPr>
            <w:r>
              <w:t xml:space="preserve">Marker discordance</w:t>
            </w:r>
          </w:p>
        </w:tc>
        <w:tc>
          <w:tcPr/>
          <w:p>
            <w:pPr>
              <w:pStyle w:val="Compact"/>
            </w:pPr>
            <w:r>
              <w:t xml:space="preserve">Is one test being altered by non-inflammatory biology, assay effects or a pathway-specific response?</w:t>
            </w:r>
          </w:p>
        </w:tc>
      </w:tr>
    </w:tbl>
    <w:p>
      <w:pPr>
        <w:pStyle w:val="BodyText"/>
      </w:pPr>
      <w:r>
        <w:t xml:space="preserve">CRP kinetics make serial measurement especially useful: because its half-life is fairly constant, a falling CRP usually means the upstream drive to CRP synthesis is diminishing.</w:t>
      </w:r>
      <w:r>
        <w:t xml:space="preserve"> </w:t>
      </w:r>
      <w:hyperlink r:id="rId14">
        <w:r>
          <w:rPr>
            <w:rStyle w:val="Hyperlink"/>
          </w:rPr>
          <w:t xml:space="preserve">[6]</w:t>
        </w:r>
      </w:hyperlink>
    </w:p>
    <w:p>
      <w:pPr>
        <w:pStyle w:val="BodyText"/>
      </w:pPr>
      <w:r>
        <w:rPr>
          <w:b/>
          <w:bCs/>
        </w:rPr>
        <w:t xml:space="preserve">Next question:</w:t>
      </w:r>
      <w:r>
        <w:t xml:space="preserve"> </w:t>
      </w:r>
      <w:r>
        <w:rPr>
          <w:i/>
          <w:iCs/>
        </w:rPr>
        <w:t xml:space="preserve">What mechanism best describes the trajectory?</w:t>
      </w:r>
    </w:p>
    <w:bookmarkEnd w:id="69"/>
    <w:bookmarkStart w:id="70" w:name="X159ece43dd1b4880bdcee59ff2687a2170a4cbd"/>
    <w:p>
      <w:pPr>
        <w:pStyle w:val="Heading3"/>
      </w:pPr>
      <w:r>
        <w:t xml:space="preserve">Localise clinically before ordering specialised biomarkers</w:t>
      </w:r>
    </w:p>
    <w:p>
      <w:pPr>
        <w:pStyle w:val="FirstParagraph"/>
      </w:pPr>
      <w:r>
        <w:t xml:space="preserve">A structured history and examination usually provide greater information gain than adding another circulating cytokine.</w:t>
      </w:r>
    </w:p>
    <w:p>
      <w:pPr>
        <w:pStyle w:val="BodyText"/>
      </w:pPr>
      <w:r>
        <w:t xml:space="preserve">The localisation screen should actively assess gastrointestinal symptoms and stool changes; objectively swollen/painful joints; inflammatory rashes; chronic cough/wheeze/sputum; oral bleeding/gum disease/dental infection; urinary or genital symptoms; focal neurological abnormalities; vascular symptoms; unexplained lymph nodes; liver/spleen abnormalities; recent wounds/procedures; and signs of infection.</w:t>
      </w:r>
    </w:p>
    <w:p>
      <w:pPr>
        <w:pStyle w:val="BodyText"/>
      </w:pPr>
      <w:r>
        <w:rPr>
          <w:b/>
          <w:bCs/>
        </w:rPr>
        <w:t xml:space="preserve">Next question:</w:t>
      </w:r>
      <w:r>
        <w:t xml:space="preserve"> </w:t>
      </w:r>
      <w:r>
        <w:rPr>
          <w:i/>
          <w:iCs/>
        </w:rPr>
        <w:t xml:space="preserve">Which organ system provides the strongest independent evidence?</w:t>
      </w:r>
    </w:p>
    <w:p>
      <w:pPr>
        <w:pStyle w:val="BodyText"/>
      </w:pPr>
      <w:r>
        <w:t xml:space="preserve">When localisation exists, move toward a</w:t>
      </w:r>
      <w:r>
        <w:t xml:space="preserve"> </w:t>
      </w:r>
      <w:r>
        <w:rPr>
          <w:b/>
          <w:bCs/>
        </w:rPr>
        <w:t xml:space="preserve">local test</w:t>
      </w:r>
      <w:r>
        <w:t xml:space="preserve"> </w:t>
      </w:r>
      <w:r>
        <w:t xml:space="preserve">rather than another generic systemic inflammatory measurement. Persistent diarrhoea/blood plus CRP might justify faecal calprotectin; objectively swollen joint may justify synovial fluid rather than TNF testing; chronic respiratory symptoms may justify pulmonary testing/imaging; urinary findings may justify urinalysis/culture; periodontal signs justify dental examination. In IBD, prospective data demonstrate exactly why this works: stool calprotectin provided more information about mucosal activity than systemic CRP.</w:t>
      </w:r>
      <w:r>
        <w:t xml:space="preserve"> </w:t>
      </w:r>
      <w:hyperlink r:id="rId25">
        <w:r>
          <w:rPr>
            <w:rStyle w:val="Hyperlink"/>
          </w:rPr>
          <w:t xml:space="preserve">[49]</w:t>
        </w:r>
      </w:hyperlink>
    </w:p>
    <w:bookmarkEnd w:id="70"/>
    <w:bookmarkStart w:id="71" w:name="assess-common-systemic-drivers"/>
    <w:p>
      <w:pPr>
        <w:pStyle w:val="Heading3"/>
      </w:pPr>
      <w:r>
        <w:t xml:space="preserve">Assess common systemic drivers</w:t>
      </w:r>
    </w:p>
    <w:p>
      <w:pPr>
        <w:pStyle w:val="FirstParagraph"/>
      </w:pPr>
      <w:r>
        <w:t xml:space="preserve">If no strong organ localisation exists, the next tier is not rare-disease screening. Evaluate common contributors that create durable inflammatory tone: visceral adiposity/insulin resistance, smoking, cardiovascular/metabolic disease, chronic lung disease, sleep apnoea where phenotype suggests it, periodontal disease, kidney/liver disease, known inflammatory disorders and relevant persistent infection risks.</w:t>
      </w:r>
    </w:p>
    <w:p>
      <w:pPr>
        <w:pStyle w:val="BodyText"/>
      </w:pPr>
      <w:r>
        <w:t xml:space="preserve">This is where simple information can outperform exotic omics. Waist/body composition, blood pressure, metabolic phenotype, smoking status, sleep history and oral examination may shift prior probabilities more than a 40-cytokine panel. Human adipose, sleep and periodontal intervention studies justify these as biologically substantive rather than mere “lifestyle” variables.</w:t>
      </w:r>
      <w:r>
        <w:t xml:space="preserve"> </w:t>
      </w:r>
      <w:hyperlink r:id="rId13">
        <w:r>
          <w:rPr>
            <w:rStyle w:val="Hyperlink"/>
          </w:rPr>
          <w:t xml:space="preserve">[74]</w:t>
        </w:r>
      </w:hyperlink>
    </w:p>
    <w:bookmarkEnd w:id="71"/>
    <w:bookmarkStart w:id="72" w:name="use-targeted-foundational-testing"/>
    <w:p>
      <w:pPr>
        <w:pStyle w:val="Heading3"/>
      </w:pPr>
      <w:r>
        <w:t xml:space="preserve">Use targeted foundational testing</w:t>
      </w:r>
    </w:p>
    <w:p>
      <w:pPr>
        <w:pStyle w:val="FirstParagraph"/>
      </w:pPr>
      <w:r>
        <w:t xml:space="preserve">There is no universal laboratory panel, but when unexplained persistent inflammation genuinely warrants evaluation, a relatively small set of basic tests often delivers large information gain because they look simultaneously for inflammatory phenotype, organ injury and haematological clues.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Investigation</w:t>
            </w:r>
          </w:p>
        </w:tc>
        <w:tc>
          <w:tcPr/>
          <w:p>
            <w:pPr>
              <w:pStyle w:val="Compact"/>
            </w:pPr>
            <w:r>
              <w:t xml:space="preserve">Information gained / hypotheses differentiated</w:t>
            </w:r>
          </w:p>
        </w:tc>
      </w:tr>
      <w:tr>
        <w:tc>
          <w:tcPr/>
          <w:p>
            <w:pPr>
              <w:pStyle w:val="Compact"/>
            </w:pPr>
            <w:r>
              <w:rPr>
                <w:b/>
                <w:bCs/>
              </w:rPr>
              <w:t xml:space="preserve">Repeat CRP ± ESR</w:t>
            </w:r>
          </w:p>
        </w:tc>
        <w:tc>
          <w:tcPr/>
          <w:p>
            <w:pPr>
              <w:pStyle w:val="Compact"/>
            </w:pPr>
            <w:r>
              <w:t xml:space="preserve">Persistence and kinetics; CRP/ESR discordance</w:t>
            </w:r>
          </w:p>
        </w:tc>
      </w:tr>
      <w:tr>
        <w:tc>
          <w:tcPr/>
          <w:p>
            <w:pPr>
              <w:pStyle w:val="Compact"/>
            </w:pPr>
            <w:r>
              <w:rPr>
                <w:b/>
                <w:bCs/>
              </w:rPr>
              <w:t xml:space="preserve">CBC with differential</w:t>
            </w:r>
          </w:p>
        </w:tc>
        <w:tc>
          <w:tcPr/>
          <w:p>
            <w:pPr>
              <w:pStyle w:val="Compact"/>
            </w:pPr>
            <w:r>
              <w:t xml:space="preserve">Neutrophilia, eosinophilia, anaemia, thrombocytosis, cytopenias, lymphocyte abnormalities</w:t>
            </w:r>
          </w:p>
        </w:tc>
      </w:tr>
      <w:tr>
        <w:tc>
          <w:tcPr/>
          <w:p>
            <w:pPr>
              <w:pStyle w:val="Compact"/>
            </w:pPr>
            <w:r>
              <w:rPr>
                <w:b/>
                <w:bCs/>
              </w:rPr>
              <w:t xml:space="preserve">CMP / renal and hepatic profile</w:t>
            </w:r>
          </w:p>
        </w:tc>
        <w:tc>
          <w:tcPr/>
          <w:p>
            <w:pPr>
              <w:pStyle w:val="Compact"/>
            </w:pPr>
            <w:r>
              <w:t xml:space="preserve">Liver/kidney injury, protein/albumin changes, systemic organ involvement</w:t>
            </w:r>
          </w:p>
        </w:tc>
      </w:tr>
      <w:tr>
        <w:tc>
          <w:tcPr/>
          <w:p>
            <w:pPr>
              <w:pStyle w:val="Compact"/>
            </w:pPr>
            <w:r>
              <w:rPr>
                <w:b/>
                <w:bCs/>
              </w:rPr>
              <w:t xml:space="preserve">Urinalysis ± urine protein</w:t>
            </w:r>
          </w:p>
        </w:tc>
        <w:tc>
          <w:tcPr/>
          <w:p>
            <w:pPr>
              <w:pStyle w:val="Compact"/>
            </w:pPr>
            <w:r>
              <w:t xml:space="preserve">Renal/urinary inflammation, haematuria/proteinuria suggesting renal autoimmune or infectious disease</w:t>
            </w:r>
          </w:p>
        </w:tc>
      </w:tr>
      <w:tr>
        <w:tc>
          <w:tcPr/>
          <w:p>
            <w:pPr>
              <w:pStyle w:val="Compact"/>
            </w:pPr>
            <w:r>
              <w:rPr>
                <w:b/>
                <w:bCs/>
              </w:rPr>
              <w:t xml:space="preserve">Ferritin + iron/TIBC or transferrin saturation where indicated</w:t>
            </w:r>
          </w:p>
        </w:tc>
        <w:tc>
          <w:tcPr/>
          <w:p>
            <w:pPr>
              <w:pStyle w:val="Compact"/>
            </w:pPr>
            <w:r>
              <w:t xml:space="preserve">Separates iron deficiency/overload physiology from inflammation-related sequestration better than ferritin alone</w:t>
            </w:r>
          </w:p>
        </w:tc>
      </w:tr>
      <w:tr>
        <w:tc>
          <w:tcPr/>
          <w:p>
            <w:pPr>
              <w:pStyle w:val="Compact"/>
            </w:pPr>
            <w:r>
              <w:rPr>
                <w:b/>
                <w:bCs/>
              </w:rPr>
              <w:t xml:space="preserve">Glucose/HbA1c, lipids, blood pressure, waist/body composition</w:t>
            </w:r>
          </w:p>
        </w:tc>
        <w:tc>
          <w:tcPr/>
          <w:p>
            <w:pPr>
              <w:pStyle w:val="Compact"/>
            </w:pPr>
            <w:r>
              <w:t xml:space="preserve">Tests the high-prior metabolic-inflammatory hypothesis</w:t>
            </w:r>
          </w:p>
        </w:tc>
      </w:tr>
      <w:tr>
        <w:tc>
          <w:tcPr/>
          <w:p>
            <w:pPr>
              <w:pStyle w:val="Compact"/>
            </w:pPr>
            <w:r>
              <w:rPr>
                <w:b/>
                <w:bCs/>
              </w:rPr>
              <w:t xml:space="preserve">TSH/free T4 when endocrine phenotype exists</w:t>
            </w:r>
          </w:p>
        </w:tc>
        <w:tc>
          <w:tcPr/>
          <w:p>
            <w:pPr>
              <w:pStyle w:val="Compact"/>
            </w:pPr>
            <w:r>
              <w:t xml:space="preserve">Distinguishes relevant thyroid disease; not routine “inflammation hunting”</w:t>
            </w:r>
          </w:p>
        </w:tc>
      </w:tr>
      <w:tr>
        <w:tc>
          <w:tcPr/>
          <w:p>
            <w:pPr>
              <w:pStyle w:val="Compact"/>
            </w:pPr>
            <w:r>
              <w:rPr>
                <w:b/>
                <w:bCs/>
              </w:rPr>
              <w:t xml:space="preserve">Faecal calprotectin when GI phenotype exists</w:t>
            </w:r>
          </w:p>
        </w:tc>
        <w:tc>
          <w:tcPr/>
          <w:p>
            <w:pPr>
              <w:pStyle w:val="Compact"/>
            </w:pPr>
            <w:r>
              <w:t xml:space="preserve">High information for intestinal mucosal inflammation; substantially more localising than CRP.</w:t>
            </w:r>
            <w:r>
              <w:t xml:space="preserve"> </w:t>
            </w:r>
            <w:hyperlink r:id="rId25">
              <w:r>
                <w:rPr>
                  <w:rStyle w:val="Hyperlink"/>
                </w:rPr>
                <w:t xml:space="preserve">[49]</w:t>
              </w:r>
            </w:hyperlink>
          </w:p>
        </w:tc>
      </w:tr>
      <w:tr>
        <w:tc>
          <w:tcPr/>
          <w:p>
            <w:pPr>
              <w:pStyle w:val="Compact"/>
            </w:pPr>
            <w:r>
              <w:rPr>
                <w:b/>
                <w:bCs/>
              </w:rPr>
              <w:t xml:space="preserve">Autoimmune tests when phenotype supports them</w:t>
            </w:r>
          </w:p>
        </w:tc>
        <w:tc>
          <w:tcPr/>
          <w:p>
            <w:pPr>
              <w:pStyle w:val="Compact"/>
            </w:pPr>
            <w:r>
              <w:t xml:space="preserve">Distinguish specific autoimmune mechanisms; panels without a phenotype increase false positives</w:t>
            </w:r>
          </w:p>
        </w:tc>
      </w:tr>
      <w:tr>
        <w:tc>
          <w:tcPr/>
          <w:p>
            <w:pPr>
              <w:pStyle w:val="Compact"/>
            </w:pPr>
            <w:r>
              <w:rPr>
                <w:b/>
                <w:bCs/>
              </w:rPr>
              <w:t xml:space="preserve">Pathogen-specific testing when exposure/organ pattern supports it</w:t>
            </w:r>
          </w:p>
        </w:tc>
        <w:tc>
          <w:tcPr/>
          <w:p>
            <w:pPr>
              <w:pStyle w:val="Compact"/>
            </w:pPr>
            <w:r>
              <w:t xml:space="preserve">Tests an actual infectious hypothesis rather than “looking for hidden infections”</w:t>
            </w:r>
          </w:p>
        </w:tc>
      </w:tr>
      <w:tr>
        <w:tc>
          <w:tcPr/>
          <w:p>
            <w:pPr>
              <w:pStyle w:val="Compact"/>
            </w:pPr>
            <w:r>
              <w:rPr>
                <w:b/>
                <w:bCs/>
              </w:rPr>
              <w:t xml:space="preserve">Imaging when anatomy/symptoms/labs point to a site</w:t>
            </w:r>
          </w:p>
        </w:tc>
        <w:tc>
          <w:tcPr/>
          <w:p>
            <w:pPr>
              <w:pStyle w:val="Compact"/>
            </w:pPr>
            <w:r>
              <w:t xml:space="preserve">Directly localises tissue pathology</w:t>
            </w:r>
          </w:p>
        </w:tc>
      </w:tr>
      <w:tr>
        <w:tc>
          <w:tcPr/>
          <w:p>
            <w:pPr>
              <w:pStyle w:val="Compact"/>
            </w:pPr>
            <w:r>
              <w:rPr>
                <w:b/>
                <w:bCs/>
              </w:rPr>
              <w:t xml:space="preserve">Dental/periodontal assessment</w:t>
            </w:r>
          </w:p>
        </w:tc>
        <w:tc>
          <w:tcPr/>
          <w:p>
            <w:pPr>
              <w:pStyle w:val="Compact"/>
            </w:pPr>
            <w:r>
              <w:t xml:space="preserve">Finds an otherwise easily missed chronic local source</w:t>
            </w:r>
          </w:p>
        </w:tc>
      </w:tr>
      <w:tr>
        <w:tc>
          <w:tcPr/>
          <w:p>
            <w:pPr>
              <w:pStyle w:val="Compact"/>
            </w:pPr>
            <w:r>
              <w:rPr>
                <w:b/>
                <w:bCs/>
              </w:rPr>
              <w:t xml:space="preserve">Sleep evaluation/polysomnography when OSA probability is high</w:t>
            </w:r>
          </w:p>
        </w:tc>
        <w:tc>
          <w:tcPr/>
          <w:p>
            <w:pPr>
              <w:pStyle w:val="Compact"/>
            </w:pPr>
            <w:r>
              <w:t xml:space="preserve">Identifies intermittent hypoxia/fragmentation rather than simply correlating CRP with fatigue</w:t>
            </w:r>
          </w:p>
        </w:tc>
      </w:tr>
    </w:tbl>
    <w:p>
      <w:pPr>
        <w:pStyle w:val="BodyText"/>
      </w:pPr>
      <w:r>
        <w:t xml:space="preserve">The exact ordering should be conditional. A patient with bloody diarrhoea and CRP elevation gets far more information from stool testing/endoscopic reasoning than from HbA1c; an asymptomatic person with central obesity, MASLD markers and dysglycaemia has the reverse information hierarchy.</w:t>
      </w:r>
    </w:p>
    <w:bookmarkEnd w:id="72"/>
    <w:bookmarkStart w:id="73" w:name="Xc3a346e9b8e3ec6b0bdc8598d7124a560f5e73c"/>
    <w:p>
      <w:pPr>
        <w:pStyle w:val="Heading3"/>
      </w:pPr>
      <w:r>
        <w:t xml:space="preserve">Escalate persistent unexplained inflammation selectively</w:t>
      </w:r>
    </w:p>
    <w:p>
      <w:pPr>
        <w:pStyle w:val="FirstParagraph"/>
      </w:pPr>
      <w:r>
        <w:t xml:space="preserve">Persistent inflammatory abnormalities become more concerning when accompanied by</w:t>
      </w:r>
      <w:r>
        <w:t xml:space="preserve"> </w:t>
      </w:r>
      <w:r>
        <w:rPr>
          <w:b/>
          <w:bCs/>
        </w:rPr>
        <w:t xml:space="preserve">anaemia or other unexplained blood-count abnormalities, declining albumin, abnormal liver/renal tests, objective swollen joints, persistent gastrointestinal bleeding or diarrhoea, fevers, unexplained organomegaly/nodes, focal neurological findings, or progressive constitutional symptoms</w:t>
      </w:r>
      <w:r>
        <w:t xml:space="preserve">.</w:t>
      </w:r>
    </w:p>
    <w:p>
      <w:pPr>
        <w:pStyle w:val="BodyText"/>
      </w:pPr>
      <w:r>
        <w:t xml:space="preserve">At that point, the search may reasonably expand toward autoimmune disease, inflammatory bowel disease, chronic infection, vasculitis, haematological disease or malignancy—but the direction should still come from the phenotype. “Whole-body cancer screening because CRP is elevated” is poor causal reasoning; targeted investigation based on symptoms, examination, standard age/risk-appropriate screening and organ findings is higher-value.</w:t>
      </w:r>
    </w:p>
    <w:bookmarkEnd w:id="73"/>
    <w:bookmarkStart w:id="74" w:name="longitudinal-monitoring"/>
    <w:p>
      <w:pPr>
        <w:pStyle w:val="Heading3"/>
      </w:pPr>
      <w:r>
        <w:t xml:space="preserve">Longitudinal monitoring</w:t>
      </w:r>
    </w:p>
    <w:p>
      <w:pPr>
        <w:pStyle w:val="FirstParagraph"/>
      </w:pPr>
      <w:r>
        <w:t xml:space="preserve">For a question such as “Is my inflammation actually improving?”, repeated measurements should minimise noise:</w:t>
      </w:r>
    </w:p>
    <w:p>
      <w:pPr>
        <w:pStyle w:val="BodyText"/>
      </w:pPr>
      <w:r>
        <w:rPr>
          <w:b/>
          <w:bCs/>
        </w:rPr>
        <w:t xml:space="preserve">same marker + preferably same laboratory/assay + comparable time of day + absence of acute infection + record recent exercise/injury/vaccination + record medication changes + interpret multiple observations rather than the most extreme value.</w:t>
      </w:r>
    </w:p>
    <w:p>
      <w:pPr>
        <w:pStyle w:val="BodyText"/>
      </w:pPr>
      <w:r>
        <w:t xml:space="preserve">Regression to the mean matters: an unusually high first result tends statistically to be followed by a less extreme value even without intervention. Consequently, attributing a single fall after starting a supplement to “reduced inflammation” is weak evidence unless the change is larger than expected biological variation, sustained, temporally coherent and accompanied by change in the hypothesised upstream driver.</w:t>
      </w:r>
    </w:p>
    <w:p>
      <w:pPr>
        <w:pStyle w:val="BodyText"/>
      </w:pPr>
      <w:r>
        <w:t xml:space="preserve">The strongest longitudinal inference is not “CRP fell after intervention X”; it is:</w:t>
      </w:r>
    </w:p>
    <w:p>
      <w:pPr>
        <w:pStyle w:val="BlockText"/>
      </w:pPr>
      <w:r>
        <w:t xml:space="preserve">the proposed source was independently documented → the intervention specifically changed that source → the biomarker subsequently changed in the expected time course → the change was reproduced or accompanied by clinical/organ improvement.</w:t>
      </w:r>
    </w:p>
    <w:bookmarkEnd w:id="74"/>
    <w:bookmarkStart w:id="75" w:name="red-flags"/>
    <w:p>
      <w:pPr>
        <w:pStyle w:val="Heading3"/>
      </w:pPr>
      <w:r>
        <w:t xml:space="preserve">Red flags</w:t>
      </w:r>
    </w:p>
    <w:p>
      <w:pPr>
        <w:pStyle w:val="FirstParagraph"/>
      </w:pPr>
      <w:r>
        <w:t xml:space="preserve">The investigative pathway should shift away from self-experimentation and toward clinician-led assessment when persistent inflammation accompanies</w:t>
      </w:r>
      <w:r>
        <w:t xml:space="preserve"> </w:t>
      </w:r>
      <w:r>
        <w:rPr>
          <w:b/>
          <w:bCs/>
        </w:rPr>
        <w:t xml:space="preserve">unexplained fever, night sweats, unintended weight loss, persistent or worsening anaemia/cytopenias, abnormal blood counts, lymph-node enlargement, marked systemic fatigue plus constitutional symptoms, blood in stool, persistent significant abdominal symptoms, new neurological abnormalities, objective joint swelling, evidence of organ dysfunction, or signs of ongoing infection</w:t>
      </w:r>
      <w:r>
        <w:t xml:space="preserve">.</w:t>
      </w:r>
    </w:p>
    <w:p>
      <w:pPr>
        <w:pStyle w:val="BodyText"/>
      </w:pPr>
      <w:r>
        <w:t xml:space="preserve">The reason is probabilistic rather than merely precautionary: these findings sharply increase the prior probability that the biomarker represents an active systemic or organ-specific disease for which delay matters. No single CRP threshold reliably substitutes for those contextual signals.</w:t>
      </w:r>
    </w:p>
    <w:p>
      <w:pPr>
        <w:pStyle w:val="BodyText"/>
      </w:pPr>
      <w:r>
        <w:t xml:space="preserve">A special hyperinflammatory pattern deserves attention: very high or rapidly rising ferritin becomes substantially more informative when it occurs with combinations such as cytopenias, transaminase elevation, triglyceride abnormalities, falling fibrinogen, fever or organ dysfunction. Studies in adult-onset Still disease/macrophage activation syndrome demonstrate that the</w:t>
      </w:r>
      <w:r>
        <w:t xml:space="preserve"> </w:t>
      </w:r>
      <w:r>
        <w:rPr>
          <w:b/>
          <w:bCs/>
        </w:rPr>
        <w:t xml:space="preserve">multivariable phenotype</w:t>
      </w:r>
      <w:r>
        <w:t xml:space="preserve">, not ferritin alone, is what changes diagnostic probability.</w:t>
      </w:r>
      <w:r>
        <w:t xml:space="preserve"> </w:t>
      </w:r>
      <w:hyperlink r:id="rId44">
        <w:r>
          <w:rPr>
            <w:rStyle w:val="Hyperlink"/>
          </w:rPr>
          <w:t xml:space="preserve">[47]</w:t>
        </w:r>
      </w:hyperlink>
    </w:p>
    <w:bookmarkEnd w:id="75"/>
    <w:bookmarkEnd w:id="76"/>
    <w:bookmarkStart w:id="82" w:name="X99b0bf8e3eb48c28dfa18f709f4903087487a46"/>
    <w:p>
      <w:pPr>
        <w:pStyle w:val="Heading2"/>
      </w:pPr>
      <w:r>
        <w:t xml:space="preserve">Emerging diagnostics, modifiable mechanisms, treatment logic and unresolved questions</w:t>
      </w:r>
    </w:p>
    <w:p>
      <w:pPr>
        <w:pStyle w:val="FirstParagraph"/>
      </w:pPr>
      <w:r>
        <w:rPr>
          <w:b/>
          <w:bCs/>
        </w:rPr>
        <w:t xml:space="preserve">Part XIX — Emerging diagnostics and research technologies.</w:t>
      </w:r>
    </w:p>
    <w:p>
      <w:pPr>
        <w:pStyle w:val="BodyText"/>
      </w:pPr>
      <w:r>
        <w:t xml:space="preserve">Modern technologies increasingly demonstrate why a single CRP is such a coarse projection of immune biology. In 2026, a large single-cell effort profiled more than 6.5 million circulating immune cells from 1,047 patients across 19 inflammatory diseases and generated disease-related transcriptional landscapes—an impressive demonstration that immune-cell states contain much richer mechanistic information than conventional blood counts. It remains, however, a foundation for future diagnostic classification rather than a replacement for routine cause-finding today.</w:t>
      </w:r>
      <w:r>
        <w:t xml:space="preserve"> </w:t>
      </w:r>
      <w:hyperlink r:id="rId77">
        <w:r>
          <w:rPr>
            <w:rStyle w:val="Hyperlink"/>
          </w:rPr>
          <w:t xml:space="preserve">[75]</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What it can reveal</w:t>
            </w:r>
          </w:p>
        </w:tc>
        <w:tc>
          <w:tcPr/>
          <w:p>
            <w:pPr>
              <w:pStyle w:val="Compact"/>
            </w:pPr>
            <w:r>
              <w:t xml:space="preserve">Current practical status for unexplained low-grade inflammation</w:t>
            </w:r>
          </w:p>
        </w:tc>
      </w:tr>
      <w:tr>
        <w:tc>
          <w:tcPr/>
          <w:p>
            <w:pPr>
              <w:pStyle w:val="Compact"/>
            </w:pPr>
            <w:r>
              <w:rPr>
                <w:b/>
                <w:bCs/>
              </w:rPr>
              <w:t xml:space="preserve">Multiplex proteomics</w:t>
            </w:r>
          </w:p>
        </w:tc>
        <w:tc>
          <w:tcPr/>
          <w:p>
            <w:pPr>
              <w:pStyle w:val="Compact"/>
            </w:pPr>
            <w:r>
              <w:t xml:space="preserve">Hundreds/thousands of proteins, pathway modules, risk signatures</w:t>
            </w:r>
          </w:p>
        </w:tc>
        <w:tc>
          <w:tcPr/>
          <w:p>
            <w:pPr>
              <w:pStyle w:val="Compact"/>
            </w:pPr>
            <w:r>
              <w:rPr>
                <w:b/>
                <w:bCs/>
              </w:rPr>
              <w:t xml:space="preserve">Promising / emerging.</w:t>
            </w:r>
            <w:r>
              <w:t xml:space="preserve"> </w:t>
            </w:r>
            <w:r>
              <w:t xml:space="preserve">Cohort studies show incremental disease-risk information, but generic source localisation remains unvalidated.</w:t>
            </w:r>
            <w:r>
              <w:t xml:space="preserve"> </w:t>
            </w:r>
            <w:hyperlink r:id="rId78">
              <w:r>
                <w:rPr>
                  <w:rStyle w:val="Hyperlink"/>
                </w:rPr>
                <w:t xml:space="preserve">[76]</w:t>
              </w:r>
            </w:hyperlink>
          </w:p>
        </w:tc>
      </w:tr>
      <w:tr>
        <w:tc>
          <w:tcPr/>
          <w:p>
            <w:pPr>
              <w:pStyle w:val="Compact"/>
            </w:pPr>
            <w:r>
              <w:rPr>
                <w:b/>
                <w:bCs/>
              </w:rPr>
              <w:t xml:space="preserve">Metabolomics</w:t>
            </w:r>
          </w:p>
        </w:tc>
        <w:tc>
          <w:tcPr/>
          <w:p>
            <w:pPr>
              <w:pStyle w:val="Compact"/>
            </w:pPr>
            <w:r>
              <w:t xml:space="preserve">Amino-acid, lipid, energy and microbial-host metabolic states</w:t>
            </w:r>
          </w:p>
        </w:tc>
        <w:tc>
          <w:tcPr/>
          <w:p>
            <w:pPr>
              <w:pStyle w:val="Compact"/>
            </w:pPr>
            <w:r>
              <w:rPr>
                <w:b/>
                <w:bCs/>
              </w:rPr>
              <w:t xml:space="preserve">Research/selected specialist applications</w:t>
            </w:r>
            <w:r>
              <w:t xml:space="preserve">; many signatures are non-specific</w:t>
            </w:r>
          </w:p>
        </w:tc>
      </w:tr>
      <w:tr>
        <w:tc>
          <w:tcPr/>
          <w:p>
            <w:pPr>
              <w:pStyle w:val="Compact"/>
            </w:pPr>
            <w:r>
              <w:rPr>
                <w:b/>
                <w:bCs/>
              </w:rPr>
              <w:t xml:space="preserve">Lipidomics / SPM profiling</w:t>
            </w:r>
          </w:p>
        </w:tc>
        <w:tc>
          <w:tcPr/>
          <w:p>
            <w:pPr>
              <w:pStyle w:val="Compact"/>
            </w:pPr>
            <w:r>
              <w:t xml:space="preserve">Eicosanoids, resolvins and related lipid mediator networks</w:t>
            </w:r>
          </w:p>
        </w:tc>
        <w:tc>
          <w:tcPr/>
          <w:p>
            <w:pPr>
              <w:pStyle w:val="Compact"/>
            </w:pPr>
            <w:r>
              <w:rPr>
                <w:b/>
                <w:bCs/>
              </w:rPr>
              <w:t xml:space="preserve">Research-heavy</w:t>
            </w:r>
            <w:r>
              <w:t xml:space="preserve">; useful mechanistically, no standard “resolution deficiency” diagnostic</w:t>
            </w:r>
          </w:p>
        </w:tc>
      </w:tr>
      <w:tr>
        <w:tc>
          <w:tcPr/>
          <w:p>
            <w:pPr>
              <w:pStyle w:val="Compact"/>
            </w:pPr>
            <w:r>
              <w:rPr>
                <w:b/>
                <w:bCs/>
              </w:rPr>
              <w:t xml:space="preserve">Bulk transcriptomics</w:t>
            </w:r>
          </w:p>
        </w:tc>
        <w:tc>
          <w:tcPr/>
          <w:p>
            <w:pPr>
              <w:pStyle w:val="Compact"/>
            </w:pPr>
            <w:r>
              <w:t xml:space="preserve">Immune activation programmes</w:t>
            </w:r>
          </w:p>
        </w:tc>
        <w:tc>
          <w:tcPr/>
          <w:p>
            <w:pPr>
              <w:pStyle w:val="Compact"/>
            </w:pPr>
            <w:r>
              <w:rPr>
                <w:b/>
                <w:bCs/>
              </w:rPr>
              <w:t xml:space="preserve">Research/specialist disease classifiers</w:t>
            </w:r>
          </w:p>
        </w:tc>
      </w:tr>
      <w:tr>
        <w:tc>
          <w:tcPr/>
          <w:p>
            <w:pPr>
              <w:pStyle w:val="Compact"/>
            </w:pPr>
            <w:r>
              <w:rPr>
                <w:b/>
                <w:bCs/>
              </w:rPr>
              <w:t xml:space="preserve">Single-cell RNA sequencing</w:t>
            </w:r>
          </w:p>
        </w:tc>
        <w:tc>
          <w:tcPr/>
          <w:p>
            <w:pPr>
              <w:pStyle w:val="Compact"/>
            </w:pPr>
            <w:r>
              <w:t xml:space="preserve">Cell-type-specific immune states otherwise hidden in bulk blood</w:t>
            </w:r>
          </w:p>
        </w:tc>
        <w:tc>
          <w:tcPr/>
          <w:p>
            <w:pPr>
              <w:pStyle w:val="Compact"/>
            </w:pPr>
            <w:r>
              <w:rPr>
                <w:b/>
                <w:bCs/>
              </w:rPr>
              <w:t xml:space="preserve">Very promising research platform; not routine generic testing.</w:t>
            </w:r>
            <w:r>
              <w:t xml:space="preserve"> </w:t>
            </w:r>
            <w:hyperlink r:id="rId77">
              <w:r>
                <w:rPr>
                  <w:rStyle w:val="Hyperlink"/>
                </w:rPr>
                <w:t xml:space="preserve">[75]</w:t>
              </w:r>
            </w:hyperlink>
          </w:p>
        </w:tc>
      </w:tr>
      <w:tr>
        <w:tc>
          <w:tcPr/>
          <w:p>
            <w:pPr>
              <w:pStyle w:val="Compact"/>
            </w:pPr>
            <w:r>
              <w:rPr>
                <w:b/>
                <w:bCs/>
              </w:rPr>
              <w:t xml:space="preserve">Microbiome metagenomics</w:t>
            </w:r>
          </w:p>
        </w:tc>
        <w:tc>
          <w:tcPr/>
          <w:p>
            <w:pPr>
              <w:pStyle w:val="Compact"/>
            </w:pPr>
            <w:r>
              <w:t xml:space="preserve">Microbial gene content and community structure</w:t>
            </w:r>
          </w:p>
        </w:tc>
        <w:tc>
          <w:tcPr/>
          <w:p>
            <w:pPr>
              <w:pStyle w:val="Compact"/>
            </w:pPr>
            <w:r>
              <w:rPr>
                <w:b/>
                <w:bCs/>
              </w:rPr>
              <w:t xml:space="preserve">Powerful research tool; generic personal inflammation-source claims often commercially over-marketed</w:t>
            </w:r>
          </w:p>
        </w:tc>
      </w:tr>
      <w:tr>
        <w:tc>
          <w:tcPr/>
          <w:p>
            <w:pPr>
              <w:pStyle w:val="Compact"/>
            </w:pPr>
            <w:r>
              <w:rPr>
                <w:b/>
                <w:bCs/>
              </w:rPr>
              <w:t xml:space="preserve">Large cytokine panels</w:t>
            </w:r>
          </w:p>
        </w:tc>
        <w:tc>
          <w:tcPr/>
          <w:p>
            <w:pPr>
              <w:pStyle w:val="Compact"/>
            </w:pPr>
            <w:r>
              <w:t xml:space="preserve">Multiple circulating mediators</w:t>
            </w:r>
          </w:p>
        </w:tc>
        <w:tc>
          <w:tcPr/>
          <w:p>
            <w:pPr>
              <w:pStyle w:val="Compact"/>
            </w:pPr>
            <w:r>
              <w:rPr>
                <w:b/>
                <w:bCs/>
              </w:rPr>
              <w:t xml:space="preserve">Limited generic actionability</w:t>
            </w:r>
            <w:r>
              <w:t xml:space="preserve"> </w:t>
            </w:r>
            <w:r>
              <w:t xml:space="preserve">because of compartment, assay and biological variability.</w:t>
            </w:r>
            <w:r>
              <w:t xml:space="preserve"> </w:t>
            </w:r>
            <w:hyperlink r:id="rId41">
              <w:r>
                <w:rPr>
                  <w:rStyle w:val="Hyperlink"/>
                </w:rPr>
                <w:t xml:space="preserve">[77]</w:t>
              </w:r>
            </w:hyperlink>
          </w:p>
        </w:tc>
      </w:tr>
      <w:tr>
        <w:tc>
          <w:tcPr/>
          <w:p>
            <w:pPr>
              <w:pStyle w:val="Compact"/>
            </w:pPr>
            <w:r>
              <w:rPr>
                <w:b/>
                <w:bCs/>
              </w:rPr>
              <w:t xml:space="preserve">Microbial cell-free DNA sequencing</w:t>
            </w:r>
          </w:p>
        </w:tc>
        <w:tc>
          <w:tcPr/>
          <w:p>
            <w:pPr>
              <w:pStyle w:val="Compact"/>
            </w:pPr>
            <w:r>
              <w:t xml:space="preserve">Pathogen DNA in blood without conventional culture</w:t>
            </w:r>
          </w:p>
        </w:tc>
        <w:tc>
          <w:tcPr/>
          <w:p>
            <w:pPr>
              <w:pStyle w:val="Compact"/>
            </w:pPr>
            <w:r>
              <w:rPr>
                <w:b/>
                <w:bCs/>
              </w:rPr>
              <w:t xml:space="preserve">Clinically useful in selected difficult infections, especially specialised/immunocompromised settings; inappropriate as routine screening for isolated hsCRP.</w:t>
            </w:r>
            <w:r>
              <w:t xml:space="preserve"> </w:t>
            </w:r>
            <w:r>
              <w:t xml:space="preserve">Emerging 2025–26 studies continue to evaluate diagnostic yield.</w:t>
            </w:r>
            <w:r>
              <w:t xml:space="preserve"> </w:t>
            </w:r>
            <w:hyperlink r:id="rId79">
              <w:r>
                <w:rPr>
                  <w:rStyle w:val="Hyperlink"/>
                </w:rPr>
                <w:t xml:space="preserve">[78]</w:t>
              </w:r>
            </w:hyperlink>
          </w:p>
        </w:tc>
      </w:tr>
      <w:tr>
        <w:tc>
          <w:tcPr/>
          <w:p>
            <w:pPr>
              <w:pStyle w:val="Compact"/>
            </w:pPr>
            <w:r>
              <w:rPr>
                <w:b/>
                <w:bCs/>
              </w:rPr>
              <w:t xml:space="preserve">Host cell-free DNA</w:t>
            </w:r>
          </w:p>
        </w:tc>
        <w:tc>
          <w:tcPr/>
          <w:p>
            <w:pPr>
              <w:pStyle w:val="Compact"/>
            </w:pPr>
            <w:r>
              <w:t xml:space="preserve">Tissue injury/death burden</w:t>
            </w:r>
          </w:p>
        </w:tc>
        <w:tc>
          <w:tcPr/>
          <w:p>
            <w:pPr>
              <w:pStyle w:val="Compact"/>
            </w:pPr>
            <w:r>
              <w:rPr>
                <w:b/>
                <w:bCs/>
              </w:rPr>
              <w:t xml:space="preserve">Promising research/prognostic biomarker</w:t>
            </w:r>
            <w:r>
              <w:t xml:space="preserve">, but nonspecific because trauma, infection, cancer and ischaemia can all release DNA.</w:t>
            </w:r>
            <w:r>
              <w:t xml:space="preserve"> </w:t>
            </w:r>
            <w:hyperlink r:id="rId80">
              <w:r>
                <w:rPr>
                  <w:rStyle w:val="Hyperlink"/>
                </w:rPr>
                <w:t xml:space="preserve">[79]</w:t>
              </w:r>
            </w:hyperlink>
          </w:p>
        </w:tc>
      </w:tr>
      <w:tr>
        <w:tc>
          <w:tcPr/>
          <w:p>
            <w:pPr>
              <w:pStyle w:val="Compact"/>
            </w:pPr>
            <w:r>
              <w:rPr>
                <w:b/>
                <w:bCs/>
              </w:rPr>
              <w:t xml:space="preserve">Epigenetic signatures</w:t>
            </w:r>
          </w:p>
        </w:tc>
        <w:tc>
          <w:tcPr/>
          <w:p>
            <w:pPr>
              <w:pStyle w:val="Compact"/>
            </w:pPr>
            <w:r>
              <w:t xml:space="preserve">Trained immunity, cell history, ageing programmes</w:t>
            </w:r>
          </w:p>
        </w:tc>
        <w:tc>
          <w:tcPr/>
          <w:p>
            <w:pPr>
              <w:pStyle w:val="Compact"/>
            </w:pPr>
            <w:r>
              <w:rPr>
                <w:b/>
                <w:bCs/>
              </w:rPr>
              <w:t xml:space="preserve">Research.</w:t>
            </w:r>
            <w:r>
              <w:t xml:space="preserve"> </w:t>
            </w:r>
            <w:r>
              <w:t xml:space="preserve">Human trained immunity is real; clinical inversion to source remains immature.</w:t>
            </w:r>
            <w:r>
              <w:t xml:space="preserve"> </w:t>
            </w:r>
            <w:hyperlink r:id="rId17">
              <w:r>
                <w:rPr>
                  <w:rStyle w:val="Hyperlink"/>
                </w:rPr>
                <w:t xml:space="preserve">[10]</w:t>
              </w:r>
            </w:hyperlink>
          </w:p>
        </w:tc>
      </w:tr>
      <w:tr>
        <w:tc>
          <w:tcPr/>
          <w:p>
            <w:pPr>
              <w:pStyle w:val="Compact"/>
            </w:pPr>
            <w:r>
              <w:rPr>
                <w:b/>
                <w:bCs/>
              </w:rPr>
              <w:t xml:space="preserve">Wearables</w:t>
            </w:r>
          </w:p>
        </w:tc>
        <w:tc>
          <w:tcPr/>
          <w:p>
            <w:pPr>
              <w:pStyle w:val="Compact"/>
            </w:pPr>
            <w:r>
              <w:t xml:space="preserve">Sleep timing, activity, resting HR, temperature proxies and individual trajectory</w:t>
            </w:r>
          </w:p>
        </w:tc>
        <w:tc>
          <w:tcPr/>
          <w:p>
            <w:pPr>
              <w:pStyle w:val="Compact"/>
            </w:pPr>
            <w:r>
              <w:rPr>
                <w:b/>
                <w:bCs/>
              </w:rPr>
              <w:t xml:space="preserve">Useful contextual data</w:t>
            </w:r>
            <w:r>
              <w:t xml:space="preserve">, particularly for temporal pattern detection; not direct measurement of inflammation</w:t>
            </w:r>
          </w:p>
        </w:tc>
      </w:tr>
      <w:tr>
        <w:tc>
          <w:tcPr/>
          <w:p>
            <w:pPr>
              <w:pStyle w:val="Compact"/>
            </w:pPr>
            <w:r>
              <w:rPr>
                <w:b/>
                <w:bCs/>
              </w:rPr>
              <w:t xml:space="preserve">Brain PET/CSF biomarkers</w:t>
            </w:r>
          </w:p>
        </w:tc>
        <w:tc>
          <w:tcPr/>
          <w:p>
            <w:pPr>
              <w:pStyle w:val="Compact"/>
            </w:pPr>
            <w:r>
              <w:t xml:space="preserve">CNS-local inflammatory biology</w:t>
            </w:r>
          </w:p>
        </w:tc>
        <w:tc>
          <w:tcPr/>
          <w:p>
            <w:pPr>
              <w:pStyle w:val="Compact"/>
            </w:pPr>
            <w:r>
              <w:rPr>
                <w:b/>
                <w:bCs/>
              </w:rPr>
              <w:t xml:space="preserve">Research/specialist use.</w:t>
            </w:r>
            <w:r>
              <w:t xml:space="preserve"> </w:t>
            </w:r>
            <w:r>
              <w:t xml:space="preserve">Even TSPO-PET has interpretative limitations and cannot be substituted by peripheral CRP.</w:t>
            </w:r>
            <w:r>
              <w:t xml:space="preserve"> </w:t>
            </w:r>
            <w:hyperlink r:id="rId81">
              <w:r>
                <w:rPr>
                  <w:rStyle w:val="Hyperlink"/>
                </w:rPr>
                <w:t xml:space="preserve">[80]</w:t>
              </w:r>
            </w:hyperlink>
          </w:p>
        </w:tc>
      </w:tr>
    </w:tbl>
    <w:p>
      <w:pPr>
        <w:pStyle w:val="BodyText"/>
      </w:pPr>
      <w:r>
        <w:t xml:space="preserve">The likely future is not a single “super-inflammatory marker” but</w:t>
      </w:r>
      <w:r>
        <w:t xml:space="preserve"> </w:t>
      </w:r>
      <w:r>
        <w:rPr>
          <w:b/>
          <w:bCs/>
        </w:rPr>
        <w:t xml:space="preserve">multimodal phenotyping</w:t>
      </w:r>
      <w:r>
        <w:t xml:space="preserve"> </w:t>
      </w:r>
      <w:r>
        <w:t xml:space="preserve">combining clinical state, cell composition, molecular pathway signatures and organ-specific measurements. The 2026 single-cell atlas is scientifically important precisely because inflammatory diseases may differ in the immune-cell states generating superficially similar circulating markers.</w:t>
      </w:r>
      <w:r>
        <w:t xml:space="preserve"> </w:t>
      </w:r>
      <w:hyperlink r:id="rId77">
        <w:r>
          <w:rPr>
            <w:rStyle w:val="Hyperlink"/>
          </w:rPr>
          <w:t xml:space="preserve">[75]</w:t>
        </w:r>
      </w:hyperlink>
    </w:p>
    <w:p>
      <w:pPr>
        <w:pStyle w:val="BodyText"/>
      </w:pPr>
      <w:r>
        <w:rPr>
          <w:b/>
          <w:bCs/>
        </w:rPr>
        <w:t xml:space="preserve">Part XX — Evidence-based modifiable upstream drivers.</w:t>
      </w:r>
    </w:p>
    <w:p>
      <w:pPr>
        <w:pStyle w:val="BodyText"/>
      </w:pPr>
      <w:r>
        <w:t xml:space="preserve">Intervention should be matched to the inferred source.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Upstream driver</w:t>
            </w:r>
          </w:p>
        </w:tc>
        <w:tc>
          <w:tcPr/>
          <w:p>
            <w:pPr>
              <w:pStyle w:val="Compact"/>
            </w:pPr>
            <w:r>
              <w:t xml:space="preserve">Mechanism-targeted intervention</w:t>
            </w:r>
          </w:p>
        </w:tc>
        <w:tc>
          <w:tcPr/>
          <w:p>
            <w:pPr>
              <w:pStyle w:val="Compact"/>
            </w:pPr>
            <w:r>
              <w:t xml:space="preserve">What evidence actually supports</w:t>
            </w:r>
          </w:p>
        </w:tc>
      </w:tr>
      <w:tr>
        <w:tc>
          <w:tcPr/>
          <w:p>
            <w:pPr>
              <w:pStyle w:val="Compact"/>
            </w:pPr>
            <w:r>
              <w:rPr>
                <w:b/>
                <w:bCs/>
              </w:rPr>
              <w:t xml:space="preserve">Visceral adiposity/metabolic dysfunction</w:t>
            </w:r>
          </w:p>
        </w:tc>
        <w:tc>
          <w:tcPr/>
          <w:p>
            <w:pPr>
              <w:pStyle w:val="Compact"/>
            </w:pPr>
            <w:r>
              <w:t xml:space="preserve">Sustainable weight reduction, increased physical activity, treatment of dysglycaemia/obesity when clinically appropriate</w:t>
            </w:r>
          </w:p>
        </w:tc>
        <w:tc>
          <w:tcPr/>
          <w:p>
            <w:pPr>
              <w:pStyle w:val="Compact"/>
            </w:pPr>
            <w:r>
              <w:t xml:space="preserve">Strong evidence that weight loss reduces hsCRP and changes the upstream metabolic phenotype.</w:t>
            </w:r>
            <w:r>
              <w:t xml:space="preserve"> </w:t>
            </w:r>
            <w:hyperlink r:id="rId56">
              <w:r>
                <w:rPr>
                  <w:rStyle w:val="Hyperlink"/>
                </w:rPr>
                <w:t xml:space="preserve">[81]</w:t>
              </w:r>
            </w:hyperlink>
          </w:p>
        </w:tc>
      </w:tr>
      <w:tr>
        <w:tc>
          <w:tcPr/>
          <w:p>
            <w:pPr>
              <w:pStyle w:val="Compact"/>
            </w:pPr>
            <w:r>
              <w:rPr>
                <w:b/>
                <w:bCs/>
              </w:rPr>
              <w:t xml:space="preserve">Smoking</w:t>
            </w:r>
          </w:p>
        </w:tc>
        <w:tc>
          <w:tcPr/>
          <w:p>
            <w:pPr>
              <w:pStyle w:val="Compact"/>
            </w:pPr>
            <w:r>
              <w:t xml:space="preserve">Smoking cessation</w:t>
            </w:r>
          </w:p>
        </w:tc>
        <w:tc>
          <w:tcPr/>
          <w:p>
            <w:pPr>
              <w:pStyle w:val="Compact"/>
            </w:pPr>
            <w:r>
              <w:t xml:space="preserve">Removes a causal pulmonary/vascular inflammatory exposure; biomarker normalisation may be gradual.</w:t>
            </w:r>
            <w:r>
              <w:t xml:space="preserve"> </w:t>
            </w:r>
            <w:hyperlink r:id="rId61">
              <w:r>
                <w:rPr>
                  <w:rStyle w:val="Hyperlink"/>
                </w:rPr>
                <w:t xml:space="preserve">[62]</w:t>
              </w:r>
            </w:hyperlink>
          </w:p>
        </w:tc>
      </w:tr>
      <w:tr>
        <w:tc>
          <w:tcPr/>
          <w:p>
            <w:pPr>
              <w:pStyle w:val="Compact"/>
            </w:pPr>
            <w:r>
              <w:rPr>
                <w:b/>
                <w:bCs/>
              </w:rPr>
              <w:t xml:space="preserve">Sleep restriction</w:t>
            </w:r>
          </w:p>
        </w:tc>
        <w:tc>
          <w:tcPr/>
          <w:p>
            <w:pPr>
              <w:pStyle w:val="Compact"/>
            </w:pPr>
            <w:r>
              <w:t xml:space="preserve">Restore adequate/regular sleep</w:t>
            </w:r>
          </w:p>
        </w:tc>
        <w:tc>
          <w:tcPr/>
          <w:p>
            <w:pPr>
              <w:pStyle w:val="Compact"/>
            </w:pPr>
            <w:r>
              <w:t xml:space="preserve">Controlled experiments support effects on immune signalling; biomarker magnitude varies.</w:t>
            </w:r>
            <w:r>
              <w:t xml:space="preserve"> </w:t>
            </w:r>
            <w:hyperlink r:id="rId20">
              <w:r>
                <w:rPr>
                  <w:rStyle w:val="Hyperlink"/>
                </w:rPr>
                <w:t xml:space="preserve">[82]</w:t>
              </w:r>
            </w:hyperlink>
          </w:p>
        </w:tc>
      </w:tr>
      <w:tr>
        <w:tc>
          <w:tcPr/>
          <w:p>
            <w:pPr>
              <w:pStyle w:val="Compact"/>
            </w:pPr>
            <w:r>
              <w:rPr>
                <w:b/>
                <w:bCs/>
              </w:rPr>
              <w:t xml:space="preserve">OSA</w:t>
            </w:r>
          </w:p>
        </w:tc>
        <w:tc>
          <w:tcPr/>
          <w:p>
            <w:pPr>
              <w:pStyle w:val="Compact"/>
            </w:pPr>
            <w:r>
              <w:t xml:space="preserve">Evidence-based OSA management; weight reduction where relevant</w:t>
            </w:r>
          </w:p>
        </w:tc>
        <w:tc>
          <w:tcPr/>
          <w:p>
            <w:pPr>
              <w:pStyle w:val="Compact"/>
            </w:pPr>
            <w:r>
              <w:t xml:space="preserve">Treats hypoxia/sleep disruption and disease risk; do not judge success solely by CRP because CPAP biomarker results are inconsistent.</w:t>
            </w:r>
            <w:r>
              <w:t xml:space="preserve"> </w:t>
            </w:r>
            <w:hyperlink r:id="rId51">
              <w:r>
                <w:rPr>
                  <w:rStyle w:val="Hyperlink"/>
                </w:rPr>
                <w:t xml:space="preserve">[55]</w:t>
              </w:r>
            </w:hyperlink>
          </w:p>
        </w:tc>
      </w:tr>
      <w:tr>
        <w:tc>
          <w:tcPr/>
          <w:p>
            <w:pPr>
              <w:pStyle w:val="Compact"/>
            </w:pPr>
            <w:r>
              <w:rPr>
                <w:b/>
                <w:bCs/>
              </w:rPr>
              <w:t xml:space="preserve">Periodontitis</w:t>
            </w:r>
          </w:p>
        </w:tc>
        <w:tc>
          <w:tcPr/>
          <w:p>
            <w:pPr>
              <w:pStyle w:val="Compact"/>
            </w:pPr>
            <w:r>
              <w:t xml:space="preserve">Definitive periodontal treatment</w:t>
            </w:r>
          </w:p>
        </w:tc>
        <w:tc>
          <w:tcPr/>
          <w:p>
            <w:pPr>
              <w:pStyle w:val="Compact"/>
            </w:pPr>
            <w:r>
              <w:t xml:space="preserve">Removes a documented local inflammatory source; systemic biomarker response is variable, while local treatment remains justified on dental grounds.</w:t>
            </w:r>
            <w:r>
              <w:t xml:space="preserve"> </w:t>
            </w:r>
            <w:hyperlink r:id="rId19">
              <w:r>
                <w:rPr>
                  <w:rStyle w:val="Hyperlink"/>
                </w:rPr>
                <w:t xml:space="preserve">[12]</w:t>
              </w:r>
            </w:hyperlink>
          </w:p>
        </w:tc>
      </w:tr>
      <w:tr>
        <w:tc>
          <w:tcPr/>
          <w:p>
            <w:pPr>
              <w:pStyle w:val="Compact"/>
            </w:pPr>
            <w:r>
              <w:rPr>
                <w:b/>
                <w:bCs/>
              </w:rPr>
              <w:t xml:space="preserve">Metabolically poor diet pattern / caloric excess</w:t>
            </w:r>
          </w:p>
        </w:tc>
        <w:tc>
          <w:tcPr/>
          <w:p>
            <w:pPr>
              <w:pStyle w:val="Compact"/>
            </w:pPr>
            <w:r>
              <w:t xml:space="preserve">Improve energy balance and overall dietary quality; replace rather than simply label individual foods</w:t>
            </w:r>
          </w:p>
        </w:tc>
        <w:tc>
          <w:tcPr/>
          <w:p>
            <w:pPr>
              <w:pStyle w:val="Compact"/>
            </w:pPr>
            <w:r>
              <w:t xml:space="preserve">Weight-loss effect is strong; Mediterranean-pattern RCTs suggest additional vascular/inflammatory effects.</w:t>
            </w:r>
            <w:r>
              <w:t xml:space="preserve"> </w:t>
            </w:r>
            <w:hyperlink r:id="rId56">
              <w:r>
                <w:rPr>
                  <w:rStyle w:val="Hyperlink"/>
                </w:rPr>
                <w:t xml:space="preserve">[83]</w:t>
              </w:r>
            </w:hyperlink>
          </w:p>
        </w:tc>
      </w:tr>
      <w:tr>
        <w:tc>
          <w:tcPr/>
          <w:p>
            <w:pPr>
              <w:pStyle w:val="Compact"/>
            </w:pPr>
            <w:r>
              <w:rPr>
                <w:b/>
                <w:bCs/>
              </w:rPr>
              <w:t xml:space="preserve">Sedentary behaviour</w:t>
            </w:r>
          </w:p>
        </w:tc>
        <w:tc>
          <w:tcPr/>
          <w:p>
            <w:pPr>
              <w:pStyle w:val="Compact"/>
            </w:pPr>
            <w:r>
              <w:t xml:space="preserve">Appropriate aerobic/resistance activity</w:t>
            </w:r>
          </w:p>
        </w:tc>
        <w:tc>
          <w:tcPr/>
          <w:p>
            <w:pPr>
              <w:pStyle w:val="Compact"/>
            </w:pPr>
            <w:r>
              <w:t xml:space="preserve">Improves metabolic drivers; expect transient cytokine/muscle-injury responses around acute training.</w:t>
            </w:r>
            <w:r>
              <w:t xml:space="preserve"> </w:t>
            </w:r>
            <w:hyperlink r:id="rId12">
              <w:r>
                <w:rPr>
                  <w:rStyle w:val="Hyperlink"/>
                </w:rPr>
                <w:t xml:space="preserve">[68]</w:t>
              </w:r>
            </w:hyperlink>
          </w:p>
        </w:tc>
      </w:tr>
      <w:tr>
        <w:tc>
          <w:tcPr/>
          <w:p>
            <w:pPr>
              <w:pStyle w:val="Compact"/>
            </w:pPr>
            <w:r>
              <w:rPr>
                <w:b/>
                <w:bCs/>
              </w:rPr>
              <w:t xml:space="preserve">Documented nutrient deficiency</w:t>
            </w:r>
          </w:p>
        </w:tc>
        <w:tc>
          <w:tcPr/>
          <w:p>
            <w:pPr>
              <w:pStyle w:val="Compact"/>
            </w:pPr>
            <w:r>
              <w:t xml:space="preserve">Correct the actual deficiency</w:t>
            </w:r>
          </w:p>
        </w:tc>
        <w:tc>
          <w:tcPr/>
          <w:p>
            <w:pPr>
              <w:pStyle w:val="Compact"/>
            </w:pPr>
            <w:r>
              <w:t xml:space="preserve">Treats a specific physiological problem; does</w:t>
            </w:r>
            <w:r>
              <w:t xml:space="preserve"> </w:t>
            </w:r>
            <w:r>
              <w:rPr>
                <w:b/>
                <w:bCs/>
              </w:rPr>
              <w:t xml:space="preserve">not</w:t>
            </w:r>
            <w:r>
              <w:t xml:space="preserve"> </w:t>
            </w:r>
            <w:r>
              <w:t xml:space="preserve">justify untargeted micronutrient supplementation as an inflammation protocol</w:t>
            </w:r>
          </w:p>
        </w:tc>
      </w:tr>
      <w:tr>
        <w:tc>
          <w:tcPr/>
          <w:p>
            <w:pPr>
              <w:pStyle w:val="Compact"/>
            </w:pPr>
            <w:r>
              <w:rPr>
                <w:b/>
                <w:bCs/>
              </w:rPr>
              <w:t xml:space="preserve">IBD/autoimmune/infectious disease</w:t>
            </w:r>
          </w:p>
        </w:tc>
        <w:tc>
          <w:tcPr/>
          <w:p>
            <w:pPr>
              <w:pStyle w:val="Compact"/>
            </w:pPr>
            <w:r>
              <w:t xml:space="preserve">Disease-specific medical treatment</w:t>
            </w:r>
          </w:p>
        </w:tc>
        <w:tc>
          <w:tcPr/>
          <w:p>
            <w:pPr>
              <w:pStyle w:val="Compact"/>
            </w:pPr>
            <w:r>
              <w:t xml:space="preserve">Removes/suppresses a validated pathological mechanism; treatment should not be replaced by generic wellness interventions</w:t>
            </w:r>
          </w:p>
        </w:tc>
      </w:tr>
      <w:tr>
        <w:tc>
          <w:tcPr/>
          <w:p>
            <w:pPr>
              <w:pStyle w:val="Compact"/>
            </w:pPr>
            <w:r>
              <w:rPr>
                <w:b/>
                <w:bCs/>
              </w:rPr>
              <w:t xml:space="preserve">Alcohol-related organ injury</w:t>
            </w:r>
          </w:p>
        </w:tc>
        <w:tc>
          <w:tcPr/>
          <w:p>
            <w:pPr>
              <w:pStyle w:val="Compact"/>
            </w:pPr>
            <w:r>
              <w:t xml:space="preserve">Reduce/remove injurious alcohol exposure</w:t>
            </w:r>
          </w:p>
        </w:tc>
        <w:tc>
          <w:tcPr/>
          <w:p>
            <w:pPr>
              <w:pStyle w:val="Compact"/>
            </w:pPr>
            <w:r>
              <w:t xml:space="preserve">Removes a hepatic/GI/toxic source rather than merely changing CRP</w:t>
            </w:r>
          </w:p>
        </w:tc>
      </w:tr>
      <w:tr>
        <w:tc>
          <w:tcPr/>
          <w:p>
            <w:pPr>
              <w:pStyle w:val="Compact"/>
            </w:pPr>
            <w:r>
              <w:rPr>
                <w:b/>
                <w:bCs/>
              </w:rPr>
              <w:t xml:space="preserve">Psychological stress</w:t>
            </w:r>
          </w:p>
        </w:tc>
        <w:tc>
          <w:tcPr/>
          <w:p>
            <w:pPr>
              <w:pStyle w:val="Compact"/>
            </w:pPr>
            <w:r>
              <w:t xml:space="preserve">Evidence-based psychological/behavioural treatment, especially when it improves sleep/health behaviours</w:t>
            </w:r>
          </w:p>
        </w:tc>
        <w:tc>
          <w:tcPr/>
          <w:p>
            <w:pPr>
              <w:pStyle w:val="Compact"/>
            </w:pPr>
            <w:r>
              <w:t xml:space="preserve">Can alter a genuine neuroimmune modifier, but CRP should not be the sole outcome.</w:t>
            </w:r>
            <w:r>
              <w:t xml:space="preserve"> </w:t>
            </w:r>
            <w:hyperlink r:id="rId53">
              <w:r>
                <w:rPr>
                  <w:rStyle w:val="Hyperlink"/>
                </w:rPr>
                <w:t xml:space="preserve">[56]</w:t>
              </w:r>
            </w:hyperlink>
          </w:p>
        </w:tc>
      </w:tr>
    </w:tbl>
    <w:p>
      <w:pPr>
        <w:pStyle w:val="BodyText"/>
      </w:pPr>
      <w:r>
        <w:t xml:space="preserve">A reduction in CRP after weight loss, for example, is mechanistically meaningful because adiposity and metabolic stress themselves changed. A reduction in CRP after administration of an IL-6-pathway blocker can occur because hepatocyte CRP transcription was pharmacologically interrupted, even if the initiating source has not disappeared. These are causally different events. The biology of IL-6/STAT3-driven CRP expression makes this distinction explicit.</w:t>
      </w:r>
      <w:r>
        <w:t xml:space="preserve"> </w:t>
      </w:r>
      <w:hyperlink r:id="rId23">
        <w:r>
          <w:rPr>
            <w:rStyle w:val="Hyperlink"/>
          </w:rPr>
          <w:t xml:space="preserve">[84]</w:t>
        </w:r>
      </w:hyperlink>
    </w:p>
    <w:p>
      <w:pPr>
        <w:pStyle w:val="BodyText"/>
      </w:pPr>
      <w:r>
        <w:t xml:space="preserve">This is the</w:t>
      </w:r>
      <w:r>
        <w:t xml:space="preserve"> </w:t>
      </w:r>
      <w:r>
        <w:rPr>
          <w:b/>
          <w:bCs/>
        </w:rPr>
        <w:t xml:space="preserve">“lower the marker” fallacy</w:t>
      </w:r>
      <w:r>
        <w:t xml:space="preserve"> </w:t>
      </w:r>
      <w:r>
        <w:t xml:space="preserve">in its most important form.</w:t>
      </w:r>
    </w:p>
    <w:p>
      <w:pPr>
        <w:pStyle w:val="BodyText"/>
      </w:pPr>
      <w:r>
        <w:t xml:space="preserve">There are at least four different intervention endpoints:</w:t>
      </w:r>
    </w:p>
    <w:p>
      <w:pPr>
        <w:pStyle w:val="Compact"/>
        <w:numPr>
          <w:ilvl w:val="0"/>
          <w:numId w:val="1001"/>
        </w:numPr>
      </w:pPr>
      <w:r>
        <w:rPr>
          <w:b/>
          <w:bCs/>
        </w:rPr>
        <w:t xml:space="preserve">Marker reduction</w:t>
      </w:r>
      <w:r>
        <w:t xml:space="preserve"> </w:t>
      </w:r>
      <w:r>
        <w:t xml:space="preserve">— CRP, IL-6 or another laboratory value falls.</w:t>
      </w:r>
    </w:p>
    <w:p>
      <w:pPr>
        <w:pStyle w:val="Compact"/>
        <w:numPr>
          <w:ilvl w:val="0"/>
          <w:numId w:val="1001"/>
        </w:numPr>
      </w:pPr>
      <w:r>
        <w:rPr>
          <w:b/>
          <w:bCs/>
        </w:rPr>
        <w:t xml:space="preserve">Source removal</w:t>
      </w:r>
      <w:r>
        <w:t xml:space="preserve"> </w:t>
      </w:r>
      <w:r>
        <w:t xml:space="preserve">— the infection, adipose excess, periodontitis, tissue injury or other initiating process is corrected.</w:t>
      </w:r>
    </w:p>
    <w:p>
      <w:pPr>
        <w:pStyle w:val="Compact"/>
        <w:numPr>
          <w:ilvl w:val="0"/>
          <w:numId w:val="1001"/>
        </w:numPr>
      </w:pPr>
      <w:r>
        <w:rPr>
          <w:b/>
          <w:bCs/>
        </w:rPr>
        <w:t xml:space="preserve">Symptom improvement</w:t>
      </w:r>
      <w:r>
        <w:t xml:space="preserve"> </w:t>
      </w:r>
      <w:r>
        <w:t xml:space="preserve">— pain, fatigue or other symptoms improve.</w:t>
      </w:r>
    </w:p>
    <w:p>
      <w:pPr>
        <w:pStyle w:val="Compact"/>
        <w:numPr>
          <w:ilvl w:val="0"/>
          <w:numId w:val="1001"/>
        </w:numPr>
      </w:pPr>
      <w:r>
        <w:rPr>
          <w:b/>
          <w:bCs/>
        </w:rPr>
        <w:t xml:space="preserve">Disease-risk reduction</w:t>
      </w:r>
      <w:r>
        <w:t xml:space="preserve"> </w:t>
      </w:r>
      <w:r>
        <w:t xml:space="preserve">— hard outcomes such as cardiovascular events, organ damage or mortality improve.</w:t>
      </w:r>
    </w:p>
    <w:p>
      <w:pPr>
        <w:pStyle w:val="FirstParagraph"/>
      </w:pPr>
      <w:r>
        <w:t xml:space="preserve">They are not interchangeable.</w:t>
      </w:r>
    </w:p>
    <w:p>
      <w:pPr>
        <w:pStyle w:val="BodyText"/>
      </w:pPr>
      <w:r>
        <w:t xml:space="preserve">CANTOS is particularly educational. Canakinumab reduced hsCRP and recurrent cardiovascular events without lowering lipids, establishing an important causal role for IL-1β-mediated inflammation in atherosclerotic risk. But the treatment also increased fatal infections. The correct inference is not “lower CRP by any method”; it is that</w:t>
      </w:r>
      <w:r>
        <w:t xml:space="preserve"> </w:t>
      </w:r>
      <w:r>
        <w:rPr>
          <w:b/>
          <w:bCs/>
        </w:rPr>
        <w:t xml:space="preserve">specific inflammatory pathways can causally contribute to specific disease outcomes, and pathway inhibition has both benefits and costs.</w:t>
      </w:r>
      <w:r>
        <w:t xml:space="preserve"> </w:t>
      </w:r>
      <w:hyperlink r:id="rId16">
        <w:r>
          <w:rPr>
            <w:rStyle w:val="Hyperlink"/>
          </w:rPr>
          <w:t xml:space="preserve">[9]</w:t>
        </w:r>
      </w:hyperlink>
    </w:p>
    <w:p>
      <w:pPr>
        <w:pStyle w:val="BodyText"/>
      </w:pPr>
      <w:r>
        <w:t xml:space="preserve">Likewise, an intervention that normalises CRP while leaving an untreated infection or malignant source intact has not solved the causal problem. Conversely, successful treatment of an inflammatory source may naturally normalise CRP without CRP ever being the therapeutic target.</w:t>
      </w:r>
    </w:p>
    <w:p>
      <w:pPr>
        <w:pStyle w:val="BodyText"/>
      </w:pPr>
      <w:r>
        <w:rPr>
          <w:b/>
          <w:bCs/>
        </w:rPr>
        <w:t xml:space="preserve">Part XXI — Red flags</w:t>
      </w:r>
      <w:r>
        <w:t xml:space="preserve"> </w:t>
      </w:r>
      <w:r>
        <w:t xml:space="preserve">are addressed in the investigation framework above: systemic symptoms, objective organ disease and blood-count/organ abnormalities move the problem from optimisation to medical diagnosis.</w:t>
      </w:r>
    </w:p>
    <w:p>
      <w:pPr>
        <w:pStyle w:val="BodyText"/>
      </w:pPr>
      <w:r>
        <w:rPr>
          <w:b/>
          <w:bCs/>
        </w:rPr>
        <w:t xml:space="preserve">Part XXII — Major unresolved scientific questions.</w:t>
      </w:r>
      <w:r>
        <w:t xml:space="preserve"> </w:t>
      </w:r>
      <w:r>
        <w:t xml:space="preserve">Several important gaps remain as of August 2026.</w:t>
      </w:r>
    </w:p>
    <w:p>
      <w:pPr>
        <w:pStyle w:val="BodyText"/>
      </w:pPr>
      <w:r>
        <w:t xml:space="preserve">We still cannot quantitatively partition an individual’s CRP into “30% adipose, 20% periodontal, 50% vascular” contributions. We do not have a validated clinical assay of whole-body inflammatory resolution capacity. We do not know how often trained immunity materially explains unexplained outpatient low-grade inflammation. The causal contribution of generic intestinal permeability/microbiome configurations outside established disease remains much less settled than commercial claims imply. Blood cytokines remain imperfect proxies for tissue signalling. Human senescence/SASP manipulation is preliminary. And while proteomics and single-cell methods can distinguish increasingly detailed immune states, evidence that they improve everyday diagnostic outcomes over intelligently selected conventional assessment is not yet sufficient for routine unexplained-inflammation work-ups.</w:t>
      </w:r>
      <w:r>
        <w:t xml:space="preserve"> </w:t>
      </w:r>
      <w:hyperlink r:id="rId17">
        <w:r>
          <w:rPr>
            <w:rStyle w:val="Hyperlink"/>
          </w:rPr>
          <w:t xml:space="preserve">[85]</w:t>
        </w:r>
      </w:hyperlink>
    </w:p>
    <w:bookmarkEnd w:id="82"/>
    <w:bookmarkStart w:id="83" w:name="X7c9166ada4d3accc1fe0fa79ace3e1b8e86886b"/>
    <w:p>
      <w:pPr>
        <w:pStyle w:val="Heading2"/>
      </w:pPr>
      <w:r>
        <w:t xml:space="preserve">Final synthesis and answers to the central questions</w:t>
      </w:r>
    </w:p>
    <w:p>
      <w:pPr>
        <w:pStyle w:val="FirstParagraph"/>
      </w:pPr>
      <w:r>
        <w:t xml:space="preserve">The final hierarchy is:</w:t>
      </w:r>
    </w:p>
    <w:p>
      <w:pPr>
        <w:pStyle w:val="BodyText"/>
      </w:pPr>
      <w:r>
        <w:rPr>
          <w:b/>
          <w:bCs/>
        </w:rPr>
        <w:t xml:space="preserve">Is there convincing evidence of inflammation?</w:t>
      </w:r>
      <w:r>
        <w:br/>
      </w:r>
      <w:r>
        <w:t xml:space="preserve">↓</w:t>
      </w:r>
      <w:r>
        <w:br/>
      </w:r>
      <w:r>
        <w:rPr>
          <w:b/>
          <w:bCs/>
        </w:rPr>
        <w:t xml:space="preserve">Is it transient, persistent or recurrent?</w:t>
      </w:r>
      <w:r>
        <w:br/>
      </w:r>
      <w:r>
        <w:t xml:space="preserve">↓</w:t>
      </w:r>
      <w:r>
        <w:br/>
      </w:r>
      <w:r>
        <w:rPr>
          <w:b/>
          <w:bCs/>
        </w:rPr>
        <w:t xml:space="preserve">Is there clinical evidence of localisation?</w:t>
      </w:r>
      <w:r>
        <w:br/>
      </w:r>
      <w:r>
        <w:t xml:space="preserve">↓</w:t>
      </w:r>
      <w:r>
        <w:br/>
      </w:r>
      <w:r>
        <w:rPr>
          <w:b/>
          <w:bCs/>
        </w:rPr>
        <w:t xml:space="preserve">Which major biological category fits best?</w:t>
      </w:r>
      <w:r>
        <w:br/>
      </w:r>
      <w:r>
        <w:t xml:space="preserve">infection / tissue injury / metabolic / autoimmune–autoinflammatory / mucosal / allergic / vascular / malignant / other</w:t>
      </w:r>
      <w:r>
        <w:br/>
      </w:r>
      <w:r>
        <w:t xml:space="preserve">↓</w:t>
      </w:r>
      <w:r>
        <w:br/>
      </w:r>
      <w:r>
        <w:rPr>
          <w:b/>
          <w:bCs/>
        </w:rPr>
        <w:t xml:space="preserve">Which tissue provides the strongest independent clues?</w:t>
      </w:r>
      <w:r>
        <w:br/>
      </w:r>
      <w:r>
        <w:t xml:space="preserve">↓</w:t>
      </w:r>
      <w:r>
        <w:br/>
      </w:r>
      <w:r>
        <w:rPr>
          <w:b/>
          <w:bCs/>
        </w:rPr>
        <w:t xml:space="preserve">Which competing mechanisms remain plausible?</w:t>
      </w:r>
      <w:r>
        <w:br/>
      </w:r>
      <w:r>
        <w:t xml:space="preserve">↓</w:t>
      </w:r>
      <w:r>
        <w:br/>
      </w:r>
      <w:r>
        <w:rPr>
          <w:b/>
          <w:bCs/>
        </w:rPr>
        <w:t xml:space="preserve">Which single next observation or measurement has the greatest information gain?</w:t>
      </w:r>
      <w:r>
        <w:br/>
      </w:r>
      <w:r>
        <w:t xml:space="preserve">↓</w:t>
      </w:r>
      <w:r>
        <w:br/>
      </w:r>
      <w:r>
        <w:rPr>
          <w:b/>
          <w:bCs/>
        </w:rPr>
        <w:t xml:space="preserve">Does that evidence support a specific upstream driver?</w:t>
      </w:r>
      <w:r>
        <w:br/>
      </w:r>
      <w:r>
        <w:t xml:space="preserve">↓</w:t>
      </w:r>
      <w:r>
        <w:br/>
      </w:r>
      <w:r>
        <w:rPr>
          <w:b/>
          <w:bCs/>
        </w:rPr>
        <w:t xml:space="preserve">Is the driver continuing, or is inflammation persisting because resolution failed?</w:t>
      </w:r>
      <w:r>
        <w:br/>
      </w:r>
      <w:r>
        <w:t xml:space="preserve">↓</w:t>
      </w:r>
      <w:r>
        <w:br/>
      </w:r>
      <w:r>
        <w:rPr>
          <w:b/>
          <w:bCs/>
        </w:rPr>
        <w:t xml:space="preserve">Can the driver itself be removed or treated?</w:t>
      </w:r>
      <w:r>
        <w:br/>
      </w:r>
      <w:r>
        <w:t xml:space="preserve">↓</w:t>
      </w:r>
      <w:r>
        <w:br/>
      </w:r>
      <w:r>
        <w:rPr>
          <w:b/>
          <w:bCs/>
        </w:rPr>
        <w:t xml:space="preserve">Does the clinical state improve alongside the biomarker trajectory?</w:t>
      </w:r>
    </w:p>
    <w:p>
      <w:pPr>
        <w:pStyle w:val="BodyText"/>
      </w:pPr>
      <w:r>
        <w:t xml:space="preserve">The method is iterative rather than one-time. A result updates probabilities; it rarely completes the diagnosis.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Final question</w:t>
            </w:r>
          </w:p>
        </w:tc>
        <w:tc>
          <w:tcPr/>
          <w:p>
            <w:pPr>
              <w:pStyle w:val="Compact"/>
            </w:pPr>
            <w:r>
              <w:t xml:space="preserve">Evidence-based answer</w:t>
            </w:r>
          </w:p>
        </w:tc>
      </w:tr>
      <w:tr>
        <w:tc>
          <w:tcPr/>
          <w:p>
            <w:pPr>
              <w:pStyle w:val="Compact"/>
            </w:pPr>
            <w:r>
              <w:rPr>
                <w:b/>
                <w:bCs/>
              </w:rPr>
              <w:t xml:space="preserve">What does an elevated CRP, TNF-α, IL-6 or other inflammatory marker actually mean biologically?</w:t>
            </w:r>
          </w:p>
        </w:tc>
        <w:tc>
          <w:tcPr/>
          <w:p>
            <w:pPr>
              <w:pStyle w:val="Compact"/>
            </w:pPr>
            <w:r>
              <w:t xml:space="preserve">It means the biological pathway represented by that marker is more active than expected under the measurement conditions. CRP primarily reports a hepatic acute-phase response driven strongly by IL-6-related signalling; IL-6 and TNF are both mediators and markers. None automatically identifies the source.</w:t>
            </w:r>
            <w:r>
              <w:t xml:space="preserve"> </w:t>
            </w:r>
            <w:hyperlink r:id="rId10">
              <w:r>
                <w:rPr>
                  <w:rStyle w:val="Hyperlink"/>
                </w:rPr>
                <w:t xml:space="preserve">[86]</w:t>
              </w:r>
            </w:hyperlink>
          </w:p>
        </w:tc>
      </w:tr>
      <w:tr>
        <w:tc>
          <w:tcPr/>
          <w:p>
            <w:pPr>
              <w:pStyle w:val="Compact"/>
            </w:pPr>
            <w:r>
              <w:rPr>
                <w:b/>
                <w:bCs/>
              </w:rPr>
              <w:t xml:space="preserve">Why can the same marker be elevated for completely different reasons?</w:t>
            </w:r>
          </w:p>
        </w:tc>
        <w:tc>
          <w:tcPr/>
          <w:p>
            <w:pPr>
              <w:pStyle w:val="Compact"/>
            </w:pPr>
            <w:r>
              <w:t xml:space="preserve">Because infection, tissue damage, metabolic stress, autoimmunity, malignancy and other stimuli converge through overlapping PRR→cytokine→hepatic pathways. In systems terms, the mapping from upstream cause to downstream CRP is many-to-one.</w:t>
            </w:r>
          </w:p>
        </w:tc>
      </w:tr>
      <w:tr>
        <w:tc>
          <w:tcPr/>
          <w:p>
            <w:pPr>
              <w:pStyle w:val="Compact"/>
            </w:pPr>
            <w:r>
              <w:rPr>
                <w:b/>
                <w:bCs/>
              </w:rPr>
              <w:t xml:space="preserve">What are the most important upstream mechanisms for persistent low-grade systemic inflammation?</w:t>
            </w:r>
          </w:p>
        </w:tc>
        <w:tc>
          <w:tcPr/>
          <w:p>
            <w:pPr>
              <w:pStyle w:val="Compact"/>
            </w:pPr>
            <w:r>
              <w:t xml:space="preserve">In appropriate populations, high-prior contributors include visceral adiposity/metabolic dysfunction, smoking, chronic cardiometabolic/vascular disease, persistent inflammatory disorders, relevant chronic infections, periodontal disease, chronic organ disease and sleep/OSA-related physiology. Their relative importance depends entirely on phenotype. Adipose inflammation has particularly strong human mechanistic evidence.</w:t>
            </w:r>
            <w:r>
              <w:t xml:space="preserve"> </w:t>
            </w:r>
            <w:hyperlink r:id="rId13">
              <w:r>
                <w:rPr>
                  <w:rStyle w:val="Hyperlink"/>
                </w:rPr>
                <w:t xml:space="preserve">[87]</w:t>
              </w:r>
            </w:hyperlink>
          </w:p>
        </w:tc>
      </w:tr>
      <w:tr>
        <w:tc>
          <w:tcPr/>
          <w:p>
            <w:pPr>
              <w:pStyle w:val="Compact"/>
            </w:pPr>
            <w:r>
              <w:rPr>
                <w:b/>
                <w:bCs/>
              </w:rPr>
              <w:t xml:space="preserve">What converts acute inflammation into chronic inflammation?</w:t>
            </w:r>
          </w:p>
        </w:tc>
        <w:tc>
          <w:tcPr/>
          <w:p>
            <w:pPr>
              <w:pStyle w:val="Compact"/>
            </w:pPr>
            <w:r>
              <w:t xml:space="preserve">Continuing antigen/PAMP exposure, autoimmunity, recurrent DAMP generation, metabolic feed-forward loops, persistent inflammasome activity, immune training, senescent-cell signalling, epithelial-barrier cycles, macrophage persistence and defective efferocytosis/resolution can all do so. The strength of human evidence differs sharply between mechanisms.</w:t>
            </w:r>
            <w:r>
              <w:t xml:space="preserve"> </w:t>
            </w:r>
            <w:hyperlink r:id="rId17">
              <w:r>
                <w:rPr>
                  <w:rStyle w:val="Hyperlink"/>
                </w:rPr>
                <w:t xml:space="preserve">[88]</w:t>
              </w:r>
            </w:hyperlink>
          </w:p>
        </w:tc>
      </w:tr>
      <w:tr>
        <w:tc>
          <w:tcPr/>
          <w:p>
            <w:pPr>
              <w:pStyle w:val="Compact"/>
            </w:pPr>
            <w:r>
              <w:rPr>
                <w:b/>
                <w:bCs/>
              </w:rPr>
              <w:t xml:space="preserve">What normally terminates inflammation, and how can it fail?</w:t>
            </w:r>
          </w:p>
        </w:tc>
        <w:tc>
          <w:tcPr/>
          <w:p>
            <w:pPr>
              <w:pStyle w:val="Compact"/>
            </w:pPr>
            <w:r>
              <w:t xml:space="preserve">Stimulus clearance is followed by neutrophil apoptosis, macrophage efferocytosis/reprogramming, regulatory cytokines/Tregs, SPM biology, lymphatic clearance and tissue repair. Failure to clear stimulus or apoptotic material, ongoing tissue damage or impaired repair can prevent return to homeostasis. Human SPM/resolution biology is real, but clinical “resolution testing” remains immature.</w:t>
            </w:r>
            <w:r>
              <w:t xml:space="preserve"> </w:t>
            </w:r>
            <w:hyperlink r:id="rId32">
              <w:r>
                <w:rPr>
                  <w:rStyle w:val="Hyperlink"/>
                </w:rPr>
                <w:t xml:space="preserve">[89]</w:t>
              </w:r>
            </w:hyperlink>
          </w:p>
        </w:tc>
      </w:tr>
      <w:tr>
        <w:tc>
          <w:tcPr/>
          <w:p>
            <w:pPr>
              <w:pStyle w:val="Compact"/>
            </w:pPr>
            <w:r>
              <w:rPr>
                <w:b/>
                <w:bCs/>
              </w:rPr>
              <w:t xml:space="preserve">How should someone move from “my marker is high” toward identifying a plausible source?</w:t>
            </w:r>
          </w:p>
        </w:tc>
        <w:tc>
          <w:tcPr/>
          <w:p>
            <w:pPr>
              <w:pStyle w:val="Compact"/>
            </w:pPr>
            <w:r>
              <w:t xml:space="preserve">Confirm persistence → characterise timing → identify localising symptoms/exam findings → assess common systemic drivers → obtain basic multi-system context such as CBC/CMP/urinalysis/metabolic markers → use organ-specific tests where indicated → expand into autoimmune/infectious/haematological/malignancy investigation only when the resulting phenotype justifies it.</w:t>
            </w:r>
          </w:p>
        </w:tc>
      </w:tr>
      <w:tr>
        <w:tc>
          <w:tcPr/>
          <w:p>
            <w:pPr>
              <w:pStyle w:val="Compact"/>
            </w:pPr>
            <w:r>
              <w:rPr>
                <w:b/>
                <w:bCs/>
              </w:rPr>
              <w:t xml:space="preserve">Which measurements generally provide the greatest information gain?</w:t>
            </w:r>
          </w:p>
        </w:tc>
        <w:tc>
          <w:tcPr/>
          <w:p>
            <w:pPr>
              <w:pStyle w:val="Compact"/>
            </w:pPr>
            <w:r>
              <w:t xml:space="preserve">The time course, medical history and physical examination are often first; then repeat CRP/ESR as appropriate, CBC, renal/hepatic profile and urinalysis. After that, the best test is phenotype-specific: faecal calprotectin for suspected intestinal inflammation, synovial evaluation for an inflamed joint, imaging for a localised structural process, sleep testing for probable OSA, dental assessment for periodontal disease, disease-specific autoimmune tests for a compatible autoimmune phenotype, and targeted microbiology for a plausible infection.</w:t>
            </w:r>
            <w:r>
              <w:t xml:space="preserve"> </w:t>
            </w:r>
            <w:hyperlink r:id="rId25">
              <w:r>
                <w:rPr>
                  <w:rStyle w:val="Hyperlink"/>
                </w:rPr>
                <w:t xml:space="preserve">[90]</w:t>
              </w:r>
            </w:hyperlink>
          </w:p>
        </w:tc>
      </w:tr>
      <w:tr>
        <w:tc>
          <w:tcPr/>
          <w:p>
            <w:pPr>
              <w:pStyle w:val="Compact"/>
            </w:pPr>
            <w:r>
              <w:rPr>
                <w:b/>
                <w:bCs/>
              </w:rPr>
              <w:t xml:space="preserve">Which popular explanations are strongly versus weakly supported?</w:t>
            </w:r>
          </w:p>
        </w:tc>
        <w:tc>
          <w:tcPr/>
          <w:p>
            <w:pPr>
              <w:pStyle w:val="Compact"/>
            </w:pPr>
            <w:r>
              <w:t xml:space="preserve">Visceral adipose/metabolic inflammation, smoking, established inflammatory diseases, tissue injury and disease-specific barrier dysfunction are strongly supported. Stress, sleep/circadian disruption and pollution are plausible-to-likely contributors with smaller/heterogeneous individual effects. Generic “leaky gut,” single-food inflammatory scoring, broad microbiome diagnosis, nonspecific “toxins,” serum cytokine panels as anatomical maps and generic mitochondrial explanations are substantially less validated.</w:t>
            </w:r>
            <w:r>
              <w:t xml:space="preserve"> </w:t>
            </w:r>
            <w:hyperlink r:id="rId13">
              <w:r>
                <w:rPr>
                  <w:rStyle w:val="Hyperlink"/>
                </w:rPr>
                <w:t xml:space="preserve">[91]</w:t>
              </w:r>
            </w:hyperlink>
          </w:p>
        </w:tc>
      </w:tr>
      <w:tr>
        <w:tc>
          <w:tcPr/>
          <w:p>
            <w:pPr>
              <w:pStyle w:val="Compact"/>
            </w:pPr>
            <w:r>
              <w:rPr>
                <w:b/>
                <w:bCs/>
              </w:rPr>
              <w:t xml:space="preserve">Which modifiable factors change the upstream driver rather than merely a biomarker?</w:t>
            </w:r>
          </w:p>
        </w:tc>
        <w:tc>
          <w:tcPr/>
          <w:p>
            <w:pPr>
              <w:pStyle w:val="Compact"/>
            </w:pPr>
            <w:r>
              <w:t xml:space="preserve">Weight loss when excessive visceral adiposity is the source; smoking cessation; treating documented periodontitis; correcting established sleep apnoea or sleep deprivation; treating actual infection, IBD or autoimmune disease; reducing harmful alcohol exposure; correcting documented nutritional deficiency; and improving metabolic health. Whether an intervention lowers CRP is secondary to whether it alters the documented causal source.</w:t>
            </w:r>
            <w:r>
              <w:t xml:space="preserve"> </w:t>
            </w:r>
            <w:hyperlink r:id="rId56">
              <w:r>
                <w:rPr>
                  <w:rStyle w:val="Hyperlink"/>
                </w:rPr>
                <w:t xml:space="preserve">[92]</w:t>
              </w:r>
            </w:hyperlink>
          </w:p>
        </w:tc>
      </w:tr>
      <w:tr>
        <w:tc>
          <w:tcPr/>
          <w:p>
            <w:pPr>
              <w:pStyle w:val="Compact"/>
            </w:pPr>
            <w:r>
              <w:rPr>
                <w:b/>
                <w:bCs/>
              </w:rPr>
              <w:t xml:space="preserve">What cannot currently be learned from blood inflammatory markers alone?</w:t>
            </w:r>
          </w:p>
        </w:tc>
        <w:tc>
          <w:tcPr/>
          <w:p>
            <w:pPr>
              <w:pStyle w:val="Compact"/>
            </w:pPr>
            <w:r>
              <w:t xml:space="preserve">They usually cannot determine the anatomical source, identify an infecting pathogen, prove autoimmunity, diagnose intestinal permeability, establish CNS neuroinflammation, quantify tissue cytokine signalling, establish why resolution failed, partition multiple simultaneous sources or identify which intervention will improve clinical outcomes. The disconnect between peripheral inflammatory responses and CNS imaging, and between CRP and intestinal endoscopic inflammation, directly demonstrates these limitations.</w:t>
            </w:r>
            <w:r>
              <w:t xml:space="preserve"> </w:t>
            </w:r>
            <w:hyperlink r:id="rId81">
              <w:r>
                <w:rPr>
                  <w:rStyle w:val="Hyperlink"/>
                </w:rPr>
                <w:t xml:space="preserve">[93]</w:t>
              </w:r>
            </w:hyperlink>
          </w:p>
        </w:tc>
      </w:tr>
    </w:tbl>
    <w:p>
      <w:pPr>
        <w:pStyle w:val="BodyText"/>
      </w:pPr>
      <w:r>
        <w:t xml:space="preserve">The most useful</w:t>
      </w:r>
      <w:r>
        <w:t xml:space="preserve"> </w:t>
      </w:r>
      <w:r>
        <w:rPr>
          <w:b/>
          <w:bCs/>
        </w:rPr>
        <w:t xml:space="preserve">“next-question” model</w:t>
      </w:r>
      <w:r>
        <w:t xml:space="preserve"> </w:t>
      </w:r>
      <w:r>
        <w:t xml:space="preserve">is therefore not:</w:t>
      </w:r>
    </w:p>
    <w:p>
      <w:pPr>
        <w:pStyle w:val="BlockText"/>
      </w:pPr>
      <w:r>
        <w:t xml:space="preserve">“CRP is high → what anti-inflammatory supplement should lower CRP?”</w:t>
      </w:r>
    </w:p>
    <w:p>
      <w:pPr>
        <w:pStyle w:val="FirstParagraph"/>
      </w:pPr>
      <w:r>
        <w:t xml:space="preserve">It is:</w:t>
      </w:r>
    </w:p>
    <w:p>
      <w:pPr>
        <w:pStyle w:val="BlockText"/>
      </w:pPr>
      <w:r>
        <w:rPr>
          <w:b/>
          <w:bCs/>
        </w:rPr>
        <w:t xml:space="preserve">CRP is high → is the signal reproducible? → what is its trajectory? → what upstream signals could produce it? → where is there independent evidence of tissue inflammation? → which source class has the highest prior probability? → what targeted measurement would most efficiently discriminate it from its competitors? → is a sustaining feedback loop present? → is resolution failing because the source persists or because clearance/repair is defective? → can the actual driver be removed or treated?</w:t>
      </w:r>
    </w:p>
    <w:p>
      <w:pPr>
        <w:pStyle w:val="FirstParagraph"/>
      </w:pPr>
      <w:r>
        <w:t xml:space="preserve">And the final causal chain is:</w:t>
      </w:r>
    </w:p>
    <w:p>
      <w:pPr>
        <w:pStyle w:val="BodyText"/>
      </w:pPr>
      <w:r>
        <w:rPr>
          <w:b/>
          <w:bCs/>
        </w:rPr>
        <w:t xml:space="preserve">Inflammatory biomarker</w:t>
      </w:r>
      <w:r>
        <w:br/>
      </w:r>
      <w:r>
        <w:t xml:space="preserve">→</w:t>
      </w:r>
      <w:r>
        <w:t xml:space="preserve"> </w:t>
      </w:r>
      <w:r>
        <w:rPr>
          <w:b/>
          <w:bCs/>
        </w:rPr>
        <w:t xml:space="preserve">upstream signalling pathway</w:t>
      </w:r>
      <w:r>
        <w:br/>
      </w:r>
      <w:r>
        <w:t xml:space="preserve">→</w:t>
      </w:r>
      <w:r>
        <w:t xml:space="preserve"> </w:t>
      </w:r>
      <w:r>
        <w:rPr>
          <w:b/>
          <w:bCs/>
        </w:rPr>
        <w:t xml:space="preserve">probable tissue/source</w:t>
      </w:r>
      <w:r>
        <w:br/>
      </w:r>
      <w:r>
        <w:t xml:space="preserve">→</w:t>
      </w:r>
      <w:r>
        <w:t xml:space="preserve"> </w:t>
      </w:r>
      <w:r>
        <w:rPr>
          <w:b/>
          <w:bCs/>
        </w:rPr>
        <w:t xml:space="preserve">initiating driver</w:t>
      </w:r>
      <w:r>
        <w:br/>
      </w:r>
      <w:r>
        <w:t xml:space="preserve">→</w:t>
      </w:r>
      <w:r>
        <w:t xml:space="preserve"> </w:t>
      </w:r>
      <w:r>
        <w:rPr>
          <w:b/>
          <w:bCs/>
        </w:rPr>
        <w:t xml:space="preserve">sustaining feedback loop</w:t>
      </w:r>
      <w:r>
        <w:br/>
      </w:r>
      <w:r>
        <w:t xml:space="preserve">→</w:t>
      </w:r>
      <w:r>
        <w:t xml:space="preserve"> </w:t>
      </w:r>
      <w:r>
        <w:rPr>
          <w:b/>
          <w:bCs/>
        </w:rPr>
        <w:t xml:space="preserve">resolution failure, if present</w:t>
      </w:r>
      <w:r>
        <w:br/>
      </w:r>
      <w:r>
        <w:t xml:space="preserve">→</w:t>
      </w:r>
      <w:r>
        <w:t xml:space="preserve"> </w:t>
      </w:r>
      <w:r>
        <w:rPr>
          <w:b/>
          <w:bCs/>
        </w:rPr>
        <w:t xml:space="preserve">highest-information evidence needed to distinguish competing causes</w:t>
      </w:r>
      <w:r>
        <w:br/>
      </w:r>
      <w:r>
        <w:t xml:space="preserve">→</w:t>
      </w:r>
      <w:r>
        <w:t xml:space="preserve"> </w:t>
      </w:r>
      <w:r>
        <w:rPr>
          <w:b/>
          <w:bCs/>
        </w:rPr>
        <w:t xml:space="preserve">potentially modifiable mechanism</w:t>
      </w:r>
      <w:r>
        <w:br/>
      </w:r>
      <w:r>
        <w:t xml:space="preserve">→</w:t>
      </w:r>
      <w:r>
        <w:t xml:space="preserve"> </w:t>
      </w:r>
      <w:r>
        <w:rPr>
          <w:b/>
          <w:bCs/>
        </w:rPr>
        <w:t xml:space="preserve">clinical and longitudinal confirmation that the source—not merely the marker—has changed.</w:t>
      </w:r>
    </w:p>
    <w:p>
      <w:pPr>
        <w:pStyle w:val="BodyText"/>
      </w:pPr>
      <w:r>
        <w:t xml:space="preserve">That is the scientifically defensible route from</w:t>
      </w:r>
      <w:r>
        <w:t xml:space="preserve"> </w:t>
      </w:r>
      <w:r>
        <w:rPr>
          <w:b/>
          <w:bCs/>
        </w:rPr>
        <w:t xml:space="preserve">“inflammation is elevated”</w:t>
      </w:r>
      <w:r>
        <w:t xml:space="preserve"> </w:t>
      </w:r>
      <w:r>
        <w:t xml:space="preserve">to</w:t>
      </w:r>
      <w:r>
        <w:t xml:space="preserve"> </w:t>
      </w:r>
      <w:r>
        <w:rPr>
          <w:b/>
          <w:bCs/>
        </w:rPr>
        <w:t xml:space="preserve">“these are the most plausible biological mechanisms, this is the evidence that separates them, and this is what would need to be demonstrated before claiming that the underlying cause has been found.”</w:t>
      </w:r>
    </w:p>
    <w:bookmarkEnd w:id="83"/>
    <w:bookmarkEnd w:id="84"/>
    <w:bookmarkEnd w:id="85"/>
    <w:p>
      <w:r>
        <w:pict>
          <v:rect style="width:0;height:1.5pt" o:hralign="center" o:hrstd="t" o:hr="t"/>
        </w:pict>
      </w:r>
    </w:p>
    <w:bookmarkStart w:id="86" w:name="citations"/>
    <w:p>
      <w:pPr>
        <w:pStyle w:val="FirstParagraph"/>
      </w:pPr>
      <w:hyperlink r:id="rId10">
        <w:r>
          <w:rPr>
            <w:rStyle w:val="Hyperlink"/>
          </w:rPr>
          <w:t xml:space="preserve">[1]</w:t>
        </w:r>
      </w:hyperlink>
      <w:r>
        <w:t xml:space="preserve"> </w:t>
      </w:r>
      <w:hyperlink r:id="rId10">
        <w:r>
          <w:rPr>
            <w:rStyle w:val="Hyperlink"/>
          </w:rPr>
          <w:t xml:space="preserve">[5]</w:t>
        </w:r>
      </w:hyperlink>
      <w:r>
        <w:t xml:space="preserve"> </w:t>
      </w:r>
      <w:hyperlink r:id="rId10">
        <w:r>
          <w:rPr>
            <w:rStyle w:val="Hyperlink"/>
          </w:rPr>
          <w:t xml:space="preserve">[86]</w:t>
        </w:r>
      </w:hyperlink>
      <w:r>
        <w:t xml:space="preserve"> </w:t>
      </w:r>
      <w:r>
        <w:t xml:space="preserve">Interleukin-6 is the major regulator of acute phase protein ...</w:t>
      </w:r>
    </w:p>
    <w:p>
      <w:pPr>
        <w:pStyle w:val="BodyText"/>
      </w:pPr>
      <w:hyperlink r:id="rId10">
        <w:r>
          <w:rPr>
            <w:rStyle w:val="Hyperlink"/>
          </w:rPr>
          <w:t xml:space="preserve">https://pubmed.ncbi.nlm.nih.gov/2464504/?utm_source=chatgpt.com</w:t>
        </w:r>
      </w:hyperlink>
    </w:p>
    <w:p>
      <w:pPr>
        <w:pStyle w:val="BodyText"/>
      </w:pPr>
      <w:hyperlink r:id="rId11">
        <w:r>
          <w:rPr>
            <w:rStyle w:val="Hyperlink"/>
          </w:rPr>
          <w:t xml:space="preserve">[2]</w:t>
        </w:r>
      </w:hyperlink>
      <w:r>
        <w:t xml:space="preserve"> </w:t>
      </w:r>
      <w:hyperlink r:id="rId11">
        <w:r>
          <w:rPr>
            <w:rStyle w:val="Hyperlink"/>
          </w:rPr>
          <w:t xml:space="preserve">[41]</w:t>
        </w:r>
      </w:hyperlink>
      <w:r>
        <w:t xml:space="preserve"> </w:t>
      </w:r>
      <w:hyperlink r:id="rId11">
        <w:r>
          <w:rPr>
            <w:rStyle w:val="Hyperlink"/>
          </w:rPr>
          <w:t xml:space="preserve">[51]</w:t>
        </w:r>
      </w:hyperlink>
      <w:r>
        <w:t xml:space="preserve"> </w:t>
      </w:r>
      <w:r>
        <w:t xml:space="preserve">https://www.heart.org/en/health-topics/cholesterol/how-to-get-your-cholesterol-tested/high-sensitivity-c-reactive-protein</w:t>
      </w:r>
    </w:p>
    <w:p>
      <w:pPr>
        <w:pStyle w:val="BodyText"/>
      </w:pPr>
      <w:hyperlink r:id="rId11">
        <w:r>
          <w:rPr>
            <w:rStyle w:val="Hyperlink"/>
          </w:rPr>
          <w:t xml:space="preserve">https://www.heart.org/en/health-topics/cholesterol/how-to-get-your-cholesterol-tested/high-sensitivity-c-reactive-protein</w:t>
        </w:r>
      </w:hyperlink>
    </w:p>
    <w:p>
      <w:pPr>
        <w:pStyle w:val="BodyText"/>
      </w:pPr>
      <w:hyperlink r:id="rId12">
        <w:r>
          <w:rPr>
            <w:rStyle w:val="Hyperlink"/>
          </w:rPr>
          <w:t xml:space="preserve">[3]</w:t>
        </w:r>
      </w:hyperlink>
      <w:r>
        <w:t xml:space="preserve"> </w:t>
      </w:r>
      <w:hyperlink r:id="rId12">
        <w:r>
          <w:rPr>
            <w:rStyle w:val="Hyperlink"/>
          </w:rPr>
          <w:t xml:space="preserve">[57]</w:t>
        </w:r>
      </w:hyperlink>
      <w:r>
        <w:t xml:space="preserve"> </w:t>
      </w:r>
      <w:hyperlink r:id="rId12">
        <w:r>
          <w:rPr>
            <w:rStyle w:val="Hyperlink"/>
          </w:rPr>
          <w:t xml:space="preserve">[68]</w:t>
        </w:r>
      </w:hyperlink>
      <w:r>
        <w:t xml:space="preserve"> </w:t>
      </w:r>
      <w:r>
        <w:t xml:space="preserve">IL-6 and TNF-alpha expression in, and release from, ...</w:t>
      </w:r>
    </w:p>
    <w:p>
      <w:pPr>
        <w:pStyle w:val="BodyText"/>
      </w:pPr>
      <w:hyperlink r:id="rId12">
        <w:r>
          <w:rPr>
            <w:rStyle w:val="Hyperlink"/>
          </w:rPr>
          <w:t xml:space="preserve">https://pubmed.ncbi.nlm.nih.gov/12388119/?utm_source=chatgpt.com</w:t>
        </w:r>
      </w:hyperlink>
    </w:p>
    <w:p>
      <w:pPr>
        <w:pStyle w:val="BodyText"/>
      </w:pPr>
      <w:hyperlink r:id="rId13">
        <w:r>
          <w:rPr>
            <w:rStyle w:val="Hyperlink"/>
          </w:rPr>
          <w:t xml:space="preserve">[4]</w:t>
        </w:r>
      </w:hyperlink>
      <w:r>
        <w:t xml:space="preserve"> </w:t>
      </w:r>
      <w:hyperlink r:id="rId13">
        <w:r>
          <w:rPr>
            <w:rStyle w:val="Hyperlink"/>
          </w:rPr>
          <w:t xml:space="preserve">[7]</w:t>
        </w:r>
      </w:hyperlink>
      <w:r>
        <w:t xml:space="preserve"> </w:t>
      </w:r>
      <w:hyperlink r:id="rId13">
        <w:r>
          <w:rPr>
            <w:rStyle w:val="Hyperlink"/>
          </w:rPr>
          <w:t xml:space="preserve">[15]</w:t>
        </w:r>
      </w:hyperlink>
      <w:r>
        <w:t xml:space="preserve"> </w:t>
      </w:r>
      <w:hyperlink r:id="rId13">
        <w:r>
          <w:rPr>
            <w:rStyle w:val="Hyperlink"/>
          </w:rPr>
          <w:t xml:space="preserve">[16]</w:t>
        </w:r>
      </w:hyperlink>
      <w:r>
        <w:t xml:space="preserve"> </w:t>
      </w:r>
      <w:hyperlink r:id="rId13">
        <w:r>
          <w:rPr>
            <w:rStyle w:val="Hyperlink"/>
          </w:rPr>
          <w:t xml:space="preserve">[23]</w:t>
        </w:r>
      </w:hyperlink>
      <w:r>
        <w:t xml:space="preserve"> </w:t>
      </w:r>
      <w:hyperlink r:id="rId13">
        <w:r>
          <w:rPr>
            <w:rStyle w:val="Hyperlink"/>
          </w:rPr>
          <w:t xml:space="preserve">[48]</w:t>
        </w:r>
      </w:hyperlink>
      <w:r>
        <w:t xml:space="preserve"> </w:t>
      </w:r>
      <w:hyperlink r:id="rId13">
        <w:r>
          <w:rPr>
            <w:rStyle w:val="Hyperlink"/>
          </w:rPr>
          <w:t xml:space="preserve">[67]</w:t>
        </w:r>
      </w:hyperlink>
      <w:r>
        <w:t xml:space="preserve"> </w:t>
      </w:r>
      <w:hyperlink r:id="rId13">
        <w:r>
          <w:rPr>
            <w:rStyle w:val="Hyperlink"/>
          </w:rPr>
          <w:t xml:space="preserve">[74]</w:t>
        </w:r>
      </w:hyperlink>
      <w:r>
        <w:t xml:space="preserve"> </w:t>
      </w:r>
      <w:hyperlink r:id="rId13">
        <w:r>
          <w:rPr>
            <w:rStyle w:val="Hyperlink"/>
          </w:rPr>
          <w:t xml:space="preserve">[87]</w:t>
        </w:r>
      </w:hyperlink>
      <w:r>
        <w:t xml:space="preserve"> </w:t>
      </w:r>
      <w:hyperlink r:id="rId13">
        <w:r>
          <w:rPr>
            <w:rStyle w:val="Hyperlink"/>
          </w:rPr>
          <w:t xml:space="preserve">[91]</w:t>
        </w:r>
      </w:hyperlink>
      <w:r>
        <w:t xml:space="preserve"> </w:t>
      </w:r>
      <w:r>
        <w:t xml:space="preserve">Obesity is associated with macrophage accumulation in ...</w:t>
      </w:r>
    </w:p>
    <w:p>
      <w:pPr>
        <w:pStyle w:val="BodyText"/>
      </w:pPr>
      <w:hyperlink r:id="rId13">
        <w:r>
          <w:rPr>
            <w:rStyle w:val="Hyperlink"/>
          </w:rPr>
          <w:t xml:space="preserve">https://pubmed.ncbi.nlm.nih.gov/14679176/?utm_source=chatgpt.com</w:t>
        </w:r>
      </w:hyperlink>
    </w:p>
    <w:p>
      <w:pPr>
        <w:pStyle w:val="BodyText"/>
      </w:pPr>
      <w:hyperlink r:id="rId14">
        <w:r>
          <w:rPr>
            <w:rStyle w:val="Hyperlink"/>
          </w:rPr>
          <w:t xml:space="preserve">[6]</w:t>
        </w:r>
      </w:hyperlink>
      <w:r>
        <w:t xml:space="preserve"> </w:t>
      </w:r>
      <w:r>
        <w:t xml:space="preserve">Metabolic and scintigraphic studies of radioiodinated ...</w:t>
      </w:r>
    </w:p>
    <w:p>
      <w:pPr>
        <w:pStyle w:val="BodyText"/>
      </w:pPr>
      <w:hyperlink r:id="rId14">
        <w:r>
          <w:rPr>
            <w:rStyle w:val="Hyperlink"/>
          </w:rPr>
          <w:t xml:space="preserve">https://pubmed.ncbi.nlm.nih.gov/8473487/?utm_source=chatgpt.com</w:t>
        </w:r>
      </w:hyperlink>
    </w:p>
    <w:p>
      <w:pPr>
        <w:pStyle w:val="BodyText"/>
      </w:pPr>
      <w:hyperlink r:id="rId15">
        <w:r>
          <w:rPr>
            <w:rStyle w:val="Hyperlink"/>
          </w:rPr>
          <w:t xml:space="preserve">[8]</w:t>
        </w:r>
      </w:hyperlink>
      <w:r>
        <w:t xml:space="preserve"> </w:t>
      </w:r>
      <w:hyperlink r:id="rId15">
        <w:r>
          <w:rPr>
            <w:rStyle w:val="Hyperlink"/>
          </w:rPr>
          <w:t xml:space="preserve">[33]</w:t>
        </w:r>
      </w:hyperlink>
      <w:r>
        <w:t xml:space="preserve"> </w:t>
      </w:r>
      <w:r>
        <w:t xml:space="preserve">Visceral fat adipokine secretion is associated with systemic ...</w:t>
      </w:r>
    </w:p>
    <w:p>
      <w:pPr>
        <w:pStyle w:val="BodyText"/>
      </w:pPr>
      <w:hyperlink r:id="rId15">
        <w:r>
          <w:rPr>
            <w:rStyle w:val="Hyperlink"/>
          </w:rPr>
          <w:t xml:space="preserve">https://pubmed.ncbi.nlm.nih.gov/17287468/?utm_source=chatgpt.com</w:t>
        </w:r>
      </w:hyperlink>
    </w:p>
    <w:p>
      <w:pPr>
        <w:pStyle w:val="BodyText"/>
      </w:pPr>
      <w:hyperlink r:id="rId16">
        <w:r>
          <w:rPr>
            <w:rStyle w:val="Hyperlink"/>
          </w:rPr>
          <w:t xml:space="preserve">[9]</w:t>
        </w:r>
      </w:hyperlink>
      <w:r>
        <w:t xml:space="preserve"> </w:t>
      </w:r>
      <w:hyperlink r:id="rId16">
        <w:r>
          <w:rPr>
            <w:rStyle w:val="Hyperlink"/>
          </w:rPr>
          <w:t xml:space="preserve">[71]</w:t>
        </w:r>
      </w:hyperlink>
      <w:r>
        <w:t xml:space="preserve"> </w:t>
      </w:r>
      <w:r>
        <w:t xml:space="preserve">https://pubmed.ncbi.nlm.nih.gov/28845751/</w:t>
      </w:r>
    </w:p>
    <w:p>
      <w:pPr>
        <w:pStyle w:val="BodyText"/>
      </w:pPr>
      <w:hyperlink r:id="rId16">
        <w:r>
          <w:rPr>
            <w:rStyle w:val="Hyperlink"/>
          </w:rPr>
          <w:t xml:space="preserve">https://pubmed.ncbi.nlm.nih.gov/28845751/</w:t>
        </w:r>
      </w:hyperlink>
    </w:p>
    <w:p>
      <w:pPr>
        <w:pStyle w:val="BodyText"/>
      </w:pPr>
      <w:hyperlink r:id="rId17">
        <w:r>
          <w:rPr>
            <w:rStyle w:val="Hyperlink"/>
          </w:rPr>
          <w:t xml:space="preserve">[10]</w:t>
        </w:r>
      </w:hyperlink>
      <w:r>
        <w:t xml:space="preserve"> </w:t>
      </w:r>
      <w:hyperlink r:id="rId17">
        <w:r>
          <w:rPr>
            <w:rStyle w:val="Hyperlink"/>
          </w:rPr>
          <w:t xml:space="preserve">[85]</w:t>
        </w:r>
      </w:hyperlink>
      <w:r>
        <w:t xml:space="preserve"> </w:t>
      </w:r>
      <w:hyperlink r:id="rId17">
        <w:r>
          <w:rPr>
            <w:rStyle w:val="Hyperlink"/>
          </w:rPr>
          <w:t xml:space="preserve">[88]</w:t>
        </w:r>
      </w:hyperlink>
      <w:r>
        <w:t xml:space="preserve"> </w:t>
      </w:r>
      <w:r>
        <w:t xml:space="preserve">https://pubmed.ncbi.nlm.nih.gov/29324233/</w:t>
      </w:r>
    </w:p>
    <w:p>
      <w:pPr>
        <w:pStyle w:val="BodyText"/>
      </w:pPr>
      <w:hyperlink r:id="rId17">
        <w:r>
          <w:rPr>
            <w:rStyle w:val="Hyperlink"/>
          </w:rPr>
          <w:t xml:space="preserve">https://pubmed.ncbi.nlm.nih.gov/29324233/</w:t>
        </w:r>
      </w:hyperlink>
    </w:p>
    <w:p>
      <w:pPr>
        <w:pStyle w:val="BodyText"/>
      </w:pPr>
      <w:hyperlink r:id="rId18">
        <w:r>
          <w:rPr>
            <w:rStyle w:val="Hyperlink"/>
          </w:rPr>
          <w:t xml:space="preserve">[11]</w:t>
        </w:r>
      </w:hyperlink>
      <w:r>
        <w:t xml:space="preserve"> </w:t>
      </w:r>
      <w:r>
        <w:t xml:space="preserve">Widely Used Commercial ELISA Does Not Detect ... - PubMed</w:t>
      </w:r>
    </w:p>
    <w:p>
      <w:pPr>
        <w:pStyle w:val="BodyText"/>
      </w:pPr>
      <w:hyperlink r:id="rId18">
        <w:r>
          <w:rPr>
            <w:rStyle w:val="Hyperlink"/>
          </w:rPr>
          <w:t xml:space="preserve">https://pubmed.ncbi.nlm.nih.gov/29459849/?utm_source=chatgpt.com</w:t>
        </w:r>
      </w:hyperlink>
    </w:p>
    <w:p>
      <w:pPr>
        <w:pStyle w:val="BodyText"/>
      </w:pPr>
      <w:hyperlink r:id="rId19">
        <w:r>
          <w:rPr>
            <w:rStyle w:val="Hyperlink"/>
          </w:rPr>
          <w:t xml:space="preserve">[12]</w:t>
        </w:r>
      </w:hyperlink>
      <w:r>
        <w:t xml:space="preserve"> </w:t>
      </w:r>
      <w:hyperlink r:id="rId19">
        <w:r>
          <w:rPr>
            <w:rStyle w:val="Hyperlink"/>
          </w:rPr>
          <w:t xml:space="preserve">[72]</w:t>
        </w:r>
      </w:hyperlink>
      <w:r>
        <w:t xml:space="preserve"> </w:t>
      </w:r>
      <w:r>
        <w:t xml:space="preserve">Treatment of periodontitis and endothelial function</w:t>
      </w:r>
    </w:p>
    <w:p>
      <w:pPr>
        <w:pStyle w:val="BodyText"/>
      </w:pPr>
      <w:hyperlink r:id="rId19">
        <w:r>
          <w:rPr>
            <w:rStyle w:val="Hyperlink"/>
          </w:rPr>
          <w:t xml:space="preserve">https://pubmed.ncbi.nlm.nih.gov/17329698/?utm_source=chatgpt.com</w:t>
        </w:r>
      </w:hyperlink>
    </w:p>
    <w:p>
      <w:pPr>
        <w:pStyle w:val="BodyText"/>
      </w:pPr>
      <w:hyperlink r:id="rId20">
        <w:r>
          <w:rPr>
            <w:rStyle w:val="Hyperlink"/>
          </w:rPr>
          <w:t xml:space="preserve">[13]</w:t>
        </w:r>
      </w:hyperlink>
      <w:r>
        <w:t xml:space="preserve"> </w:t>
      </w:r>
      <w:hyperlink r:id="rId20">
        <w:r>
          <w:rPr>
            <w:rStyle w:val="Hyperlink"/>
          </w:rPr>
          <w:t xml:space="preserve">[54]</w:t>
        </w:r>
      </w:hyperlink>
      <w:r>
        <w:t xml:space="preserve"> </w:t>
      </w:r>
      <w:hyperlink r:id="rId20">
        <w:r>
          <w:rPr>
            <w:rStyle w:val="Hyperlink"/>
          </w:rPr>
          <w:t xml:space="preserve">[82]</w:t>
        </w:r>
      </w:hyperlink>
      <w:r>
        <w:t xml:space="preserve"> </w:t>
      </w:r>
      <w:r>
        <w:t xml:space="preserve">https://pmc.ncbi.nlm.nih.gov/articles/PMC1978405/</w:t>
      </w:r>
    </w:p>
    <w:p>
      <w:pPr>
        <w:pStyle w:val="BodyText"/>
      </w:pPr>
      <w:hyperlink r:id="rId20">
        <w:r>
          <w:rPr>
            <w:rStyle w:val="Hyperlink"/>
          </w:rPr>
          <w:t xml:space="preserve">https://pmc.ncbi.nlm.nih.gov/articles/PMC1978405/</w:t>
        </w:r>
      </w:hyperlink>
    </w:p>
    <w:p>
      <w:pPr>
        <w:pStyle w:val="BodyText"/>
      </w:pPr>
      <w:hyperlink r:id="rId21">
        <w:r>
          <w:rPr>
            <w:rStyle w:val="Hyperlink"/>
          </w:rPr>
          <w:t xml:space="preserve">[14]</w:t>
        </w:r>
      </w:hyperlink>
      <w:r>
        <w:t xml:space="preserve"> </w:t>
      </w:r>
      <w:r>
        <w:t xml:space="preserve">https://www.idsociety.org/practice-guideline/new-fever-in-critically-ill-patients/</w:t>
      </w:r>
    </w:p>
    <w:p>
      <w:pPr>
        <w:pStyle w:val="BodyText"/>
      </w:pPr>
      <w:hyperlink r:id="rId21">
        <w:r>
          <w:rPr>
            <w:rStyle w:val="Hyperlink"/>
          </w:rPr>
          <w:t xml:space="preserve">https://www.idsociety.org/practice-guideline/new-fever-in-critically-ill-patients/</w:t>
        </w:r>
      </w:hyperlink>
    </w:p>
    <w:p>
      <w:pPr>
        <w:pStyle w:val="BodyText"/>
      </w:pPr>
      <w:hyperlink r:id="rId23">
        <w:r>
          <w:rPr>
            <w:rStyle w:val="Hyperlink"/>
          </w:rPr>
          <w:t xml:space="preserve">[17]</w:t>
        </w:r>
      </w:hyperlink>
      <w:r>
        <w:t xml:space="preserve"> </w:t>
      </w:r>
      <w:hyperlink r:id="rId23">
        <w:r>
          <w:rPr>
            <w:rStyle w:val="Hyperlink"/>
          </w:rPr>
          <w:t xml:space="preserve">[31]</w:t>
        </w:r>
      </w:hyperlink>
      <w:r>
        <w:t xml:space="preserve"> </w:t>
      </w:r>
      <w:hyperlink r:id="rId23">
        <w:r>
          <w:rPr>
            <w:rStyle w:val="Hyperlink"/>
          </w:rPr>
          <w:t xml:space="preserve">[84]</w:t>
        </w:r>
      </w:hyperlink>
      <w:r>
        <w:t xml:space="preserve"> </w:t>
      </w:r>
      <w:r>
        <w:t xml:space="preserve">https://pubmed.ncbi.nlm.nih.gov/18292576/</w:t>
      </w:r>
    </w:p>
    <w:p>
      <w:pPr>
        <w:pStyle w:val="BodyText"/>
      </w:pPr>
      <w:hyperlink r:id="rId23">
        <w:r>
          <w:rPr>
            <w:rStyle w:val="Hyperlink"/>
          </w:rPr>
          <w:t xml:space="preserve">https://pubmed.ncbi.nlm.nih.gov/18292576/</w:t>
        </w:r>
      </w:hyperlink>
    </w:p>
    <w:p>
      <w:pPr>
        <w:pStyle w:val="BodyText"/>
      </w:pPr>
      <w:hyperlink r:id="rId24">
        <w:r>
          <w:rPr>
            <w:rStyle w:val="Hyperlink"/>
          </w:rPr>
          <w:t xml:space="preserve">[18]</w:t>
        </w:r>
      </w:hyperlink>
      <w:r>
        <w:t xml:space="preserve"> </w:t>
      </w:r>
      <w:hyperlink r:id="rId24">
        <w:r>
          <w:rPr>
            <w:rStyle w:val="Hyperlink"/>
          </w:rPr>
          <w:t xml:space="preserve">[36]</w:t>
        </w:r>
      </w:hyperlink>
      <w:r>
        <w:t xml:space="preserve"> </w:t>
      </w:r>
      <w:hyperlink r:id="rId24">
        <w:r>
          <w:rPr>
            <w:rStyle w:val="Hyperlink"/>
          </w:rPr>
          <w:t xml:space="preserve">[43]</w:t>
        </w:r>
      </w:hyperlink>
      <w:r>
        <w:t xml:space="preserve"> </w:t>
      </w:r>
      <w:r>
        <w:t xml:space="preserve">Changes in micronutrient and inflammation serum biomarker ...</w:t>
      </w:r>
    </w:p>
    <w:p>
      <w:pPr>
        <w:pStyle w:val="BodyText"/>
      </w:pPr>
      <w:hyperlink r:id="rId24">
        <w:r>
          <w:rPr>
            <w:rStyle w:val="Hyperlink"/>
          </w:rPr>
          <w:t xml:space="preserve">https://pubmed.ncbi.nlm.nih.gov/31504095/?utm_source=chatgpt.com</w:t>
        </w:r>
      </w:hyperlink>
    </w:p>
    <w:p>
      <w:pPr>
        <w:pStyle w:val="BodyText"/>
      </w:pPr>
      <w:hyperlink r:id="rId25">
        <w:r>
          <w:rPr>
            <w:rStyle w:val="Hyperlink"/>
          </w:rPr>
          <w:t xml:space="preserve">[19]</w:t>
        </w:r>
      </w:hyperlink>
      <w:r>
        <w:t xml:space="preserve"> </w:t>
      </w:r>
      <w:hyperlink r:id="rId25">
        <w:r>
          <w:rPr>
            <w:rStyle w:val="Hyperlink"/>
          </w:rPr>
          <w:t xml:space="preserve">[49]</w:t>
        </w:r>
      </w:hyperlink>
      <w:r>
        <w:t xml:space="preserve"> </w:t>
      </w:r>
      <w:hyperlink r:id="rId25">
        <w:r>
          <w:rPr>
            <w:rStyle w:val="Hyperlink"/>
          </w:rPr>
          <w:t xml:space="preserve">[50]</w:t>
        </w:r>
      </w:hyperlink>
      <w:r>
        <w:t xml:space="preserve"> </w:t>
      </w:r>
      <w:hyperlink r:id="rId25">
        <w:r>
          <w:rPr>
            <w:rStyle w:val="Hyperlink"/>
          </w:rPr>
          <w:t xml:space="preserve">[90]</w:t>
        </w:r>
      </w:hyperlink>
      <w:r>
        <w:t xml:space="preserve"> </w:t>
      </w:r>
      <w:r>
        <w:t xml:space="preserve">Leucine-Rich Alpha-2 Glycoprotein Is a Reliable Serum ...</w:t>
      </w:r>
    </w:p>
    <w:p>
      <w:pPr>
        <w:pStyle w:val="BodyText"/>
      </w:pPr>
      <w:hyperlink r:id="rId25">
        <w:r>
          <w:rPr>
            <w:rStyle w:val="Hyperlink"/>
          </w:rPr>
          <w:t xml:space="preserve">https://pubmed.ncbi.nlm.nih.gov/36334015/?utm_source=chatgpt.com</w:t>
        </w:r>
      </w:hyperlink>
    </w:p>
    <w:p>
      <w:pPr>
        <w:pStyle w:val="BodyText"/>
      </w:pPr>
      <w:hyperlink r:id="rId26">
        <w:r>
          <w:rPr>
            <w:rStyle w:val="Hyperlink"/>
          </w:rPr>
          <w:t xml:space="preserve">[20]</w:t>
        </w:r>
      </w:hyperlink>
      <w:r>
        <w:t xml:space="preserve"> </w:t>
      </w:r>
      <w:hyperlink r:id="rId26">
        <w:r>
          <w:rPr>
            <w:rStyle w:val="Hyperlink"/>
          </w:rPr>
          <w:t xml:space="preserve">[24]</w:t>
        </w:r>
      </w:hyperlink>
      <w:r>
        <w:t xml:space="preserve"> </w:t>
      </w:r>
      <w:hyperlink r:id="rId26">
        <w:r>
          <w:rPr>
            <w:rStyle w:val="Hyperlink"/>
          </w:rPr>
          <w:t xml:space="preserve">[35]</w:t>
        </w:r>
      </w:hyperlink>
      <w:r>
        <w:t xml:space="preserve"> </w:t>
      </w:r>
      <w:r>
        <w:t xml:space="preserve">https://www.uniprot.org/citations/16407889</w:t>
      </w:r>
    </w:p>
    <w:p>
      <w:pPr>
        <w:pStyle w:val="BodyText"/>
      </w:pPr>
      <w:hyperlink r:id="rId26">
        <w:r>
          <w:rPr>
            <w:rStyle w:val="Hyperlink"/>
          </w:rPr>
          <w:t xml:space="preserve">https://www.uniprot.org/citations/16407889</w:t>
        </w:r>
      </w:hyperlink>
    </w:p>
    <w:p>
      <w:pPr>
        <w:pStyle w:val="BodyText"/>
      </w:pPr>
      <w:hyperlink r:id="rId27">
        <w:r>
          <w:rPr>
            <w:rStyle w:val="Hyperlink"/>
          </w:rPr>
          <w:t xml:space="preserve">[21]</w:t>
        </w:r>
      </w:hyperlink>
      <w:r>
        <w:t xml:space="preserve"> </w:t>
      </w:r>
      <w:hyperlink r:id="rId27">
        <w:r>
          <w:rPr>
            <w:rStyle w:val="Hyperlink"/>
          </w:rPr>
          <w:t xml:space="preserve">[66]</w:t>
        </w:r>
      </w:hyperlink>
      <w:r>
        <w:t xml:space="preserve"> </w:t>
      </w:r>
      <w:r>
        <w:t xml:space="preserve">https://pmc.ncbi.nlm.nih.gov/articles/PMC4178953/</w:t>
      </w:r>
    </w:p>
    <w:p>
      <w:pPr>
        <w:pStyle w:val="BodyText"/>
      </w:pPr>
      <w:hyperlink r:id="rId27">
        <w:r>
          <w:rPr>
            <w:rStyle w:val="Hyperlink"/>
          </w:rPr>
          <w:t xml:space="preserve">https://pmc.ncbi.nlm.nih.gov/articles/PMC4178953/</w:t>
        </w:r>
      </w:hyperlink>
    </w:p>
    <w:p>
      <w:pPr>
        <w:pStyle w:val="BodyText"/>
      </w:pPr>
      <w:hyperlink r:id="rId28">
        <w:r>
          <w:rPr>
            <w:rStyle w:val="Hyperlink"/>
          </w:rPr>
          <w:t xml:space="preserve">[22]</w:t>
        </w:r>
      </w:hyperlink>
      <w:r>
        <w:t xml:space="preserve"> </w:t>
      </w:r>
      <w:r>
        <w:t xml:space="preserve">https://www.nature.com/articles/s41392-021-00554-y</w:t>
      </w:r>
    </w:p>
    <w:p>
      <w:pPr>
        <w:pStyle w:val="BodyText"/>
      </w:pPr>
      <w:hyperlink r:id="rId28">
        <w:r>
          <w:rPr>
            <w:rStyle w:val="Hyperlink"/>
          </w:rPr>
          <w:t xml:space="preserve">https://www.nature.com/articles/s41392-021-00554-y</w:t>
        </w:r>
      </w:hyperlink>
    </w:p>
    <w:p>
      <w:pPr>
        <w:pStyle w:val="BodyText"/>
      </w:pPr>
      <w:hyperlink r:id="rId29">
        <w:r>
          <w:rPr>
            <w:rStyle w:val="Hyperlink"/>
          </w:rPr>
          <w:t xml:space="preserve">[25]</w:t>
        </w:r>
      </w:hyperlink>
      <w:r>
        <w:t xml:space="preserve"> </w:t>
      </w:r>
      <w:r>
        <w:t xml:space="preserve">https://pubmed.ncbi.nlm.nih.gov/31542391/</w:t>
      </w:r>
    </w:p>
    <w:p>
      <w:pPr>
        <w:pStyle w:val="BodyText"/>
      </w:pPr>
      <w:hyperlink r:id="rId29">
        <w:r>
          <w:rPr>
            <w:rStyle w:val="Hyperlink"/>
          </w:rPr>
          <w:t xml:space="preserve">https://pubmed.ncbi.nlm.nih.gov/31542391/</w:t>
        </w:r>
      </w:hyperlink>
    </w:p>
    <w:p>
      <w:pPr>
        <w:pStyle w:val="BodyText"/>
      </w:pPr>
      <w:hyperlink r:id="rId30">
        <w:r>
          <w:rPr>
            <w:rStyle w:val="Hyperlink"/>
          </w:rPr>
          <w:t xml:space="preserve">[26]</w:t>
        </w:r>
      </w:hyperlink>
      <w:r>
        <w:t xml:space="preserve"> </w:t>
      </w:r>
      <w:hyperlink r:id="rId30">
        <w:r>
          <w:rPr>
            <w:rStyle w:val="Hyperlink"/>
          </w:rPr>
          <w:t xml:space="preserve">[29]</w:t>
        </w:r>
      </w:hyperlink>
      <w:r>
        <w:t xml:space="preserve"> </w:t>
      </w:r>
      <w:r>
        <w:t xml:space="preserve">https://www.ahajournals.org/doi/10.1161/circulationaha.116.025684</w:t>
      </w:r>
    </w:p>
    <w:p>
      <w:pPr>
        <w:pStyle w:val="BodyText"/>
      </w:pPr>
      <w:hyperlink r:id="rId30">
        <w:r>
          <w:rPr>
            <w:rStyle w:val="Hyperlink"/>
          </w:rPr>
          <w:t xml:space="preserve">https://www.ahajournals.org/doi/10.1161/circulationaha.116.025684</w:t>
        </w:r>
      </w:hyperlink>
    </w:p>
    <w:p>
      <w:pPr>
        <w:pStyle w:val="BodyText"/>
      </w:pPr>
      <w:hyperlink r:id="rId31">
        <w:r>
          <w:rPr>
            <w:rStyle w:val="Hyperlink"/>
          </w:rPr>
          <w:t xml:space="preserve">[27]</w:t>
        </w:r>
      </w:hyperlink>
      <w:r>
        <w:t xml:space="preserve"> </w:t>
      </w:r>
      <w:hyperlink r:id="rId31">
        <w:r>
          <w:rPr>
            <w:rStyle w:val="Hyperlink"/>
          </w:rPr>
          <w:t xml:space="preserve">[53]</w:t>
        </w:r>
      </w:hyperlink>
      <w:r>
        <w:t xml:space="preserve"> </w:t>
      </w:r>
      <w:r>
        <w:t xml:space="preserve">Intestinal Permeability In Vivo in Patients With Inflammatory ...</w:t>
      </w:r>
    </w:p>
    <w:p>
      <w:pPr>
        <w:pStyle w:val="BodyText"/>
      </w:pPr>
      <w:hyperlink r:id="rId31">
        <w:r>
          <w:rPr>
            <w:rStyle w:val="Hyperlink"/>
          </w:rPr>
          <w:t xml:space="preserve">https://pubmed.ncbi.nlm.nih.gov/40067071/?utm_source=chatgpt.com</w:t>
        </w:r>
      </w:hyperlink>
    </w:p>
    <w:p>
      <w:pPr>
        <w:pStyle w:val="BodyText"/>
      </w:pPr>
      <w:hyperlink r:id="rId32">
        <w:r>
          <w:rPr>
            <w:rStyle w:val="Hyperlink"/>
          </w:rPr>
          <w:t xml:space="preserve">[28]</w:t>
        </w:r>
      </w:hyperlink>
      <w:r>
        <w:t xml:space="preserve"> </w:t>
      </w:r>
      <w:hyperlink r:id="rId32">
        <w:r>
          <w:rPr>
            <w:rStyle w:val="Hyperlink"/>
          </w:rPr>
          <w:t xml:space="preserve">[89]</w:t>
        </w:r>
      </w:hyperlink>
      <w:r>
        <w:t xml:space="preserve"> </w:t>
      </w:r>
      <w:r>
        <w:t xml:space="preserve">Identification of specialized pro-resolving mediator clusters ...</w:t>
      </w:r>
    </w:p>
    <w:p>
      <w:pPr>
        <w:pStyle w:val="BodyText"/>
      </w:pPr>
      <w:hyperlink r:id="rId32">
        <w:r>
          <w:rPr>
            <w:rStyle w:val="Hyperlink"/>
          </w:rPr>
          <w:t xml:space="preserve">https://pubmed.ncbi.nlm.nih.gov/30575798/?utm_source=chatgpt.com</w:t>
        </w:r>
      </w:hyperlink>
    </w:p>
    <w:p>
      <w:pPr>
        <w:pStyle w:val="BodyText"/>
      </w:pPr>
      <w:hyperlink r:id="rId33">
        <w:r>
          <w:rPr>
            <w:rStyle w:val="Hyperlink"/>
          </w:rPr>
          <w:t xml:space="preserve">[30]</w:t>
        </w:r>
      </w:hyperlink>
      <w:r>
        <w:t xml:space="preserve"> </w:t>
      </w:r>
      <w:r>
        <w:t xml:space="preserve">Noninvasive Transcutaneous Vagus Nerve Stimulation ...</w:t>
      </w:r>
    </w:p>
    <w:p>
      <w:pPr>
        <w:pStyle w:val="BodyText"/>
      </w:pPr>
      <w:hyperlink r:id="rId33">
        <w:r>
          <w:rPr>
            <w:rStyle w:val="Hyperlink"/>
          </w:rPr>
          <w:t xml:space="preserve">https://pubmed.ncbi.nlm.nih.gov/26990318/?utm_source=chatgpt.com</w:t>
        </w:r>
      </w:hyperlink>
    </w:p>
    <w:p>
      <w:pPr>
        <w:pStyle w:val="BodyText"/>
      </w:pPr>
      <w:hyperlink r:id="rId35">
        <w:r>
          <w:rPr>
            <w:rStyle w:val="Hyperlink"/>
          </w:rPr>
          <w:t xml:space="preserve">[32]</w:t>
        </w:r>
      </w:hyperlink>
      <w:r>
        <w:t xml:space="preserve"> </w:t>
      </w:r>
      <w:hyperlink r:id="rId35">
        <w:r>
          <w:rPr>
            <w:rStyle w:val="Hyperlink"/>
          </w:rPr>
          <w:t xml:space="preserve">[37]</w:t>
        </w:r>
      </w:hyperlink>
      <w:r>
        <w:t xml:space="preserve"> </w:t>
      </w:r>
      <w:hyperlink r:id="rId35">
        <w:r>
          <w:rPr>
            <w:rStyle w:val="Hyperlink"/>
          </w:rPr>
          <w:t xml:space="preserve">[70]</w:t>
        </w:r>
      </w:hyperlink>
      <w:r>
        <w:t xml:space="preserve"> </w:t>
      </w:r>
      <w:r>
        <w:t xml:space="preserve">Factors influencing erythrocyte sedimentation in patients with ...</w:t>
      </w:r>
    </w:p>
    <w:p>
      <w:pPr>
        <w:pStyle w:val="BodyText"/>
      </w:pPr>
      <w:hyperlink r:id="rId35">
        <w:r>
          <w:rPr>
            <w:rStyle w:val="Hyperlink"/>
          </w:rPr>
          <w:t xml:space="preserve">https://pubmed.ncbi.nlm.nih.gov/4037939/?utm_source=chatgpt.com</w:t>
        </w:r>
      </w:hyperlink>
    </w:p>
    <w:p>
      <w:pPr>
        <w:pStyle w:val="BodyText"/>
      </w:pPr>
      <w:hyperlink r:id="rId36">
        <w:r>
          <w:rPr>
            <w:rStyle w:val="Hyperlink"/>
          </w:rPr>
          <w:t xml:space="preserve">[34]</w:t>
        </w:r>
      </w:hyperlink>
      <w:r>
        <w:t xml:space="preserve"> </w:t>
      </w:r>
      <w:r>
        <w:t xml:space="preserve">high sensitivity of TNF alpha and resistance of IL-6</w:t>
      </w:r>
    </w:p>
    <w:p>
      <w:pPr>
        <w:pStyle w:val="BodyText"/>
      </w:pPr>
      <w:hyperlink r:id="rId36">
        <w:r>
          <w:rPr>
            <w:rStyle w:val="Hyperlink"/>
          </w:rPr>
          <w:t xml:space="preserve">https://pubmed.ncbi.nlm.nih.gov/9215292/?utm_source=chatgpt.com</w:t>
        </w:r>
      </w:hyperlink>
    </w:p>
    <w:p>
      <w:pPr>
        <w:pStyle w:val="BodyText"/>
      </w:pPr>
      <w:hyperlink r:id="rId37">
        <w:r>
          <w:rPr>
            <w:rStyle w:val="Hyperlink"/>
          </w:rPr>
          <w:t xml:space="preserve">[38]</w:t>
        </w:r>
      </w:hyperlink>
      <w:r>
        <w:t xml:space="preserve"> </w:t>
      </w:r>
      <w:r>
        <w:t xml:space="preserve">The kinetics and magnitude of the synergistic activation ...</w:t>
      </w:r>
    </w:p>
    <w:p>
      <w:pPr>
        <w:pStyle w:val="BodyText"/>
      </w:pPr>
      <w:hyperlink r:id="rId37">
        <w:r>
          <w:rPr>
            <w:rStyle w:val="Hyperlink"/>
          </w:rPr>
          <w:t xml:space="preserve">https://pubmed.ncbi.nlm.nih.gov/10219766/?utm_source=chatgpt.com</w:t>
        </w:r>
      </w:hyperlink>
    </w:p>
    <w:p>
      <w:pPr>
        <w:pStyle w:val="BodyText"/>
      </w:pPr>
      <w:hyperlink r:id="rId38">
        <w:r>
          <w:rPr>
            <w:rStyle w:val="Hyperlink"/>
          </w:rPr>
          <w:t xml:space="preserve">[39]</w:t>
        </w:r>
      </w:hyperlink>
      <w:r>
        <w:t xml:space="preserve"> </w:t>
      </w:r>
      <w:r>
        <w:t xml:space="preserve">https://pubmed.ncbi.nlm.nih.gov/32130578/</w:t>
      </w:r>
    </w:p>
    <w:p>
      <w:pPr>
        <w:pStyle w:val="BodyText"/>
      </w:pPr>
      <w:hyperlink r:id="rId38">
        <w:r>
          <w:rPr>
            <w:rStyle w:val="Hyperlink"/>
          </w:rPr>
          <w:t xml:space="preserve">https://pubmed.ncbi.nlm.nih.gov/32130578/</w:t>
        </w:r>
      </w:hyperlink>
    </w:p>
    <w:p>
      <w:pPr>
        <w:pStyle w:val="BodyText"/>
      </w:pPr>
      <w:hyperlink r:id="rId39">
        <w:r>
          <w:rPr>
            <w:rStyle w:val="Hyperlink"/>
          </w:rPr>
          <w:t xml:space="preserve">[40]</w:t>
        </w:r>
      </w:hyperlink>
      <w:r>
        <w:t xml:space="preserve"> </w:t>
      </w:r>
      <w:r>
        <w:t xml:space="preserve">Procalcitonin behaves as a fast responding acute phase ...</w:t>
      </w:r>
    </w:p>
    <w:p>
      <w:pPr>
        <w:pStyle w:val="BodyText"/>
      </w:pPr>
      <w:hyperlink r:id="rId39">
        <w:r>
          <w:rPr>
            <w:rStyle w:val="Hyperlink"/>
          </w:rPr>
          <w:t xml:space="preserve">https://pubmed.ncbi.nlm.nih.gov/10708183/?utm_source=chatgpt.com</w:t>
        </w:r>
      </w:hyperlink>
    </w:p>
    <w:p>
      <w:pPr>
        <w:pStyle w:val="BodyText"/>
      </w:pPr>
      <w:hyperlink r:id="rId40">
        <w:r>
          <w:rPr>
            <w:rStyle w:val="Hyperlink"/>
          </w:rPr>
          <w:t xml:space="preserve">[42]</w:t>
        </w:r>
      </w:hyperlink>
      <w:r>
        <w:t xml:space="preserve"> </w:t>
      </w:r>
      <w:r>
        <w:t xml:space="preserve">Circadian rhythmicity, variability and correlation of ...</w:t>
      </w:r>
    </w:p>
    <w:p>
      <w:pPr>
        <w:pStyle w:val="BodyText"/>
      </w:pPr>
      <w:hyperlink r:id="rId40">
        <w:r>
          <w:rPr>
            <w:rStyle w:val="Hyperlink"/>
          </w:rPr>
          <w:t xml:space="preserve">https://pubmed.ncbi.nlm.nih.gov/24767621/?utm_source=chatgpt.com</w:t>
        </w:r>
      </w:hyperlink>
    </w:p>
    <w:p>
      <w:pPr>
        <w:pStyle w:val="BodyText"/>
      </w:pPr>
      <w:hyperlink r:id="rId41">
        <w:r>
          <w:rPr>
            <w:rStyle w:val="Hyperlink"/>
          </w:rPr>
          <w:t xml:space="preserve">[44]</w:t>
        </w:r>
      </w:hyperlink>
      <w:r>
        <w:t xml:space="preserve"> </w:t>
      </w:r>
      <w:hyperlink r:id="rId41">
        <w:r>
          <w:rPr>
            <w:rStyle w:val="Hyperlink"/>
          </w:rPr>
          <w:t xml:space="preserve">[73]</w:t>
        </w:r>
      </w:hyperlink>
      <w:r>
        <w:t xml:space="preserve"> </w:t>
      </w:r>
      <w:hyperlink r:id="rId41">
        <w:r>
          <w:rPr>
            <w:rStyle w:val="Hyperlink"/>
          </w:rPr>
          <w:t xml:space="preserve">[77]</w:t>
        </w:r>
      </w:hyperlink>
      <w:r>
        <w:t xml:space="preserve"> </w:t>
      </w:r>
      <w:r>
        <w:t xml:space="preserve">https://pmc.ncbi.nlm.nih.gov/articles/PMC8359910/</w:t>
      </w:r>
    </w:p>
    <w:p>
      <w:pPr>
        <w:pStyle w:val="BodyText"/>
      </w:pPr>
      <w:hyperlink r:id="rId41">
        <w:r>
          <w:rPr>
            <w:rStyle w:val="Hyperlink"/>
          </w:rPr>
          <w:t xml:space="preserve">https://pmc.ncbi.nlm.nih.gov/articles/PMC8359910/</w:t>
        </w:r>
      </w:hyperlink>
    </w:p>
    <w:p>
      <w:pPr>
        <w:pStyle w:val="BodyText"/>
      </w:pPr>
      <w:hyperlink r:id="rId42">
        <w:r>
          <w:rPr>
            <w:rStyle w:val="Hyperlink"/>
          </w:rPr>
          <w:t xml:space="preserve">[45]</w:t>
        </w:r>
      </w:hyperlink>
      <w:r>
        <w:t xml:space="preserve"> </w:t>
      </w:r>
      <w:r>
        <w:t xml:space="preserve">Direct-to-Consumer Tests</w:t>
      </w:r>
    </w:p>
    <w:p>
      <w:pPr>
        <w:pStyle w:val="BodyText"/>
      </w:pPr>
      <w:hyperlink r:id="rId42">
        <w:r>
          <w:rPr>
            <w:rStyle w:val="Hyperlink"/>
          </w:rPr>
          <w:t xml:space="preserve">https://www.fda.gov/medical-devices/in-vitro-diagnostics/direct-consumer-tests?utm_source=chatgpt.com</w:t>
        </w:r>
      </w:hyperlink>
    </w:p>
    <w:p>
      <w:pPr>
        <w:pStyle w:val="BodyText"/>
      </w:pPr>
      <w:hyperlink r:id="rId43">
        <w:r>
          <w:rPr>
            <w:rStyle w:val="Hyperlink"/>
          </w:rPr>
          <w:t xml:space="preserve">[46]</w:t>
        </w:r>
      </w:hyperlink>
      <w:r>
        <w:t xml:space="preserve"> </w:t>
      </w:r>
      <w:hyperlink r:id="rId43">
        <w:r>
          <w:rPr>
            <w:rStyle w:val="Hyperlink"/>
          </w:rPr>
          <w:t xml:space="preserve">[65]</w:t>
        </w:r>
      </w:hyperlink>
      <w:r>
        <w:t xml:space="preserve"> </w:t>
      </w:r>
      <w:r>
        <w:t xml:space="preserve">https://pubmed.ncbi.nlm.nih.gov/19950271/</w:t>
      </w:r>
    </w:p>
    <w:p>
      <w:pPr>
        <w:pStyle w:val="BodyText"/>
      </w:pPr>
      <w:hyperlink r:id="rId43">
        <w:r>
          <w:rPr>
            <w:rStyle w:val="Hyperlink"/>
          </w:rPr>
          <w:t xml:space="preserve">https://pubmed.ncbi.nlm.nih.gov/19950271/</w:t>
        </w:r>
      </w:hyperlink>
    </w:p>
    <w:p>
      <w:pPr>
        <w:pStyle w:val="BodyText"/>
      </w:pPr>
      <w:hyperlink r:id="rId44">
        <w:r>
          <w:rPr>
            <w:rStyle w:val="Hyperlink"/>
          </w:rPr>
          <w:t xml:space="preserve">[47]</w:t>
        </w:r>
      </w:hyperlink>
      <w:r>
        <w:t xml:space="preserve"> </w:t>
      </w:r>
      <w:r>
        <w:t xml:space="preserve">https://pubmed.ncbi.nlm.nih.gov/32645077/</w:t>
      </w:r>
    </w:p>
    <w:p>
      <w:pPr>
        <w:pStyle w:val="BodyText"/>
      </w:pPr>
      <w:hyperlink r:id="rId44">
        <w:r>
          <w:rPr>
            <w:rStyle w:val="Hyperlink"/>
          </w:rPr>
          <w:t xml:space="preserve">https://pubmed.ncbi.nlm.nih.gov/32645077/</w:t>
        </w:r>
      </w:hyperlink>
    </w:p>
    <w:p>
      <w:pPr>
        <w:pStyle w:val="BodyText"/>
      </w:pPr>
      <w:hyperlink r:id="rId47">
        <w:r>
          <w:rPr>
            <w:rStyle w:val="Hyperlink"/>
          </w:rPr>
          <w:t xml:space="preserve">[52]</w:t>
        </w:r>
      </w:hyperlink>
      <w:r>
        <w:t xml:space="preserve"> </w:t>
      </w:r>
      <w:r>
        <w:t xml:space="preserve">Interleukin-1-receptor antagonist in type 2 diabetes mellitus</w:t>
      </w:r>
    </w:p>
    <w:p>
      <w:pPr>
        <w:pStyle w:val="BodyText"/>
      </w:pPr>
      <w:hyperlink r:id="rId47">
        <w:r>
          <w:rPr>
            <w:rStyle w:val="Hyperlink"/>
          </w:rPr>
          <w:t xml:space="preserve">https://pubmed.ncbi.nlm.nih.gov/17429083/?utm_source=chatgpt.com</w:t>
        </w:r>
      </w:hyperlink>
    </w:p>
    <w:p>
      <w:pPr>
        <w:pStyle w:val="BodyText"/>
      </w:pPr>
      <w:hyperlink r:id="rId51">
        <w:r>
          <w:rPr>
            <w:rStyle w:val="Hyperlink"/>
          </w:rPr>
          <w:t xml:space="preserve">[55]</w:t>
        </w:r>
      </w:hyperlink>
      <w:r>
        <w:t xml:space="preserve"> </w:t>
      </w:r>
      <w:r>
        <w:t xml:space="preserve">CPAP Does Not Reduce Inflammatory Biomarkers in ...</w:t>
      </w:r>
    </w:p>
    <w:p>
      <w:pPr>
        <w:pStyle w:val="BodyText"/>
      </w:pPr>
      <w:hyperlink r:id="rId51">
        <w:r>
          <w:rPr>
            <w:rStyle w:val="Hyperlink"/>
          </w:rPr>
          <w:t xml:space="preserve">https://pubmed.ncbi.nlm.nih.gov/29029237/?utm_source=chatgpt.com</w:t>
        </w:r>
      </w:hyperlink>
    </w:p>
    <w:p>
      <w:pPr>
        <w:pStyle w:val="BodyText"/>
      </w:pPr>
      <w:hyperlink r:id="rId53">
        <w:r>
          <w:rPr>
            <w:rStyle w:val="Hyperlink"/>
          </w:rPr>
          <w:t xml:space="preserve">[56]</w:t>
        </w:r>
      </w:hyperlink>
      <w:r>
        <w:t xml:space="preserve"> </w:t>
      </w:r>
      <w:hyperlink r:id="rId53">
        <w:r>
          <w:rPr>
            <w:rStyle w:val="Hyperlink"/>
          </w:rPr>
          <w:t xml:space="preserve">[64]</w:t>
        </w:r>
      </w:hyperlink>
      <w:r>
        <w:t xml:space="preserve"> </w:t>
      </w:r>
      <w:r>
        <w:t xml:space="preserve">Chronic stress, glucocorticoid receptor resistance ... - PubMed</w:t>
      </w:r>
    </w:p>
    <w:p>
      <w:pPr>
        <w:pStyle w:val="BodyText"/>
      </w:pPr>
      <w:hyperlink r:id="rId53">
        <w:r>
          <w:rPr>
            <w:rStyle w:val="Hyperlink"/>
          </w:rPr>
          <w:t xml:space="preserve">https://pubmed.ncbi.nlm.nih.gov/22474371/?utm_source=chatgpt.com</w:t>
        </w:r>
      </w:hyperlink>
    </w:p>
    <w:p>
      <w:pPr>
        <w:pStyle w:val="BodyText"/>
      </w:pPr>
      <w:hyperlink r:id="rId56">
        <w:r>
          <w:rPr>
            <w:rStyle w:val="Hyperlink"/>
          </w:rPr>
          <w:t xml:space="preserve">[58]</w:t>
        </w:r>
      </w:hyperlink>
      <w:r>
        <w:t xml:space="preserve"> </w:t>
      </w:r>
      <w:hyperlink r:id="rId56">
        <w:r>
          <w:rPr>
            <w:rStyle w:val="Hyperlink"/>
          </w:rPr>
          <w:t xml:space="preserve">[81]</w:t>
        </w:r>
      </w:hyperlink>
      <w:r>
        <w:t xml:space="preserve"> </w:t>
      </w:r>
      <w:hyperlink r:id="rId56">
        <w:r>
          <w:rPr>
            <w:rStyle w:val="Hyperlink"/>
          </w:rPr>
          <w:t xml:space="preserve">[83]</w:t>
        </w:r>
      </w:hyperlink>
      <w:r>
        <w:t xml:space="preserve"> </w:t>
      </w:r>
      <w:hyperlink r:id="rId56">
        <w:r>
          <w:rPr>
            <w:rStyle w:val="Hyperlink"/>
          </w:rPr>
          <w:t xml:space="preserve">[92]</w:t>
        </w:r>
      </w:hyperlink>
      <w:r>
        <w:t xml:space="preserve"> </w:t>
      </w:r>
      <w:r>
        <w:t xml:space="preserve">https://pmc.ncbi.nlm.nih.gov/articles/PMC3671388/</w:t>
      </w:r>
    </w:p>
    <w:p>
      <w:pPr>
        <w:pStyle w:val="BodyText"/>
      </w:pPr>
      <w:hyperlink r:id="rId56">
        <w:r>
          <w:rPr>
            <w:rStyle w:val="Hyperlink"/>
          </w:rPr>
          <w:t xml:space="preserve">https://pmc.ncbi.nlm.nih.gov/articles/PMC3671388/</w:t>
        </w:r>
      </w:hyperlink>
    </w:p>
    <w:p>
      <w:pPr>
        <w:pStyle w:val="BodyText"/>
      </w:pPr>
      <w:hyperlink r:id="rId57">
        <w:r>
          <w:rPr>
            <w:rStyle w:val="Hyperlink"/>
          </w:rPr>
          <w:t xml:space="preserve">[59]</w:t>
        </w:r>
      </w:hyperlink>
      <w:r>
        <w:t xml:space="preserve"> </w:t>
      </w:r>
      <w:r>
        <w:t xml:space="preserve">https://www.sciencedirect.com/science/article/pii/S0022316623006946</w:t>
      </w:r>
    </w:p>
    <w:p>
      <w:pPr>
        <w:pStyle w:val="BodyText"/>
      </w:pPr>
      <w:hyperlink r:id="rId57">
        <w:r>
          <w:rPr>
            <w:rStyle w:val="Hyperlink"/>
          </w:rPr>
          <w:t xml:space="preserve">https://www.sciencedirect.com/science/article/pii/S0022316623006946</w:t>
        </w:r>
      </w:hyperlink>
    </w:p>
    <w:p>
      <w:pPr>
        <w:pStyle w:val="BodyText"/>
      </w:pPr>
      <w:hyperlink r:id="rId58">
        <w:r>
          <w:rPr>
            <w:rStyle w:val="Hyperlink"/>
          </w:rPr>
          <w:t xml:space="preserve">[60]</w:t>
        </w:r>
      </w:hyperlink>
      <w:r>
        <w:t xml:space="preserve"> </w:t>
      </w:r>
      <w:r>
        <w:t xml:space="preserve">A randomized controlled trial of the effects of n-3 fatty acids ...</w:t>
      </w:r>
    </w:p>
    <w:p>
      <w:pPr>
        <w:pStyle w:val="BodyText"/>
      </w:pPr>
      <w:hyperlink r:id="rId58">
        <w:r>
          <w:rPr>
            <w:rStyle w:val="Hyperlink"/>
          </w:rPr>
          <w:t xml:space="preserve">https://pubmed.ncbi.nlm.nih.gov/25908532/?utm_source=chatgpt.com</w:t>
        </w:r>
      </w:hyperlink>
    </w:p>
    <w:p>
      <w:pPr>
        <w:pStyle w:val="BodyText"/>
      </w:pPr>
      <w:hyperlink r:id="rId59">
        <w:r>
          <w:rPr>
            <w:rStyle w:val="Hyperlink"/>
          </w:rPr>
          <w:t xml:space="preserve">[61]</w:t>
        </w:r>
      </w:hyperlink>
      <w:r>
        <w:t xml:space="preserve"> </w:t>
      </w:r>
      <w:r>
        <w:t xml:space="preserve">https://www.cambridge.org/core/journals/british-journal-of-nutrition/article/consumption-of-ultraprocessed-foods-and-il6-in-two-cohorts-from-high-and-middleincome-countries/5E4EFBABC1E14D9BC1D3017964B09F4B</w:t>
      </w:r>
    </w:p>
    <w:p>
      <w:pPr>
        <w:pStyle w:val="BodyText"/>
      </w:pPr>
      <w:hyperlink r:id="rId59">
        <w:r>
          <w:rPr>
            <w:rStyle w:val="Hyperlink"/>
          </w:rPr>
          <w:t xml:space="preserve">https://www.cambridge.org/core/journals/british-journal-of-nutrition/article/consumption-of-ultraprocessed-foods-and-il6-in-two-cohorts-from-high-and-middleincome-countries/5E4EFBABC1E14D9BC1D3017964B09F4B</w:t>
        </w:r>
      </w:hyperlink>
    </w:p>
    <w:p>
      <w:pPr>
        <w:pStyle w:val="BodyText"/>
      </w:pPr>
      <w:hyperlink r:id="rId61">
        <w:r>
          <w:rPr>
            <w:rStyle w:val="Hyperlink"/>
          </w:rPr>
          <w:t xml:space="preserve">[62]</w:t>
        </w:r>
      </w:hyperlink>
      <w:r>
        <w:t xml:space="preserve"> </w:t>
      </w:r>
      <w:hyperlink r:id="rId61">
        <w:r>
          <w:rPr>
            <w:rStyle w:val="Hyperlink"/>
          </w:rPr>
          <w:t xml:space="preserve">[69]</w:t>
        </w:r>
      </w:hyperlink>
      <w:r>
        <w:t xml:space="preserve"> </w:t>
      </w:r>
      <w:r>
        <w:t xml:space="preserve">https://pmc.ncbi.nlm.nih.gov/articles/PMC2937015/</w:t>
      </w:r>
    </w:p>
    <w:p>
      <w:pPr>
        <w:pStyle w:val="BodyText"/>
      </w:pPr>
      <w:hyperlink r:id="rId61">
        <w:r>
          <w:rPr>
            <w:rStyle w:val="Hyperlink"/>
          </w:rPr>
          <w:t xml:space="preserve">https://pmc.ncbi.nlm.nih.gov/articles/PMC2937015/</w:t>
        </w:r>
      </w:hyperlink>
    </w:p>
    <w:p>
      <w:pPr>
        <w:pStyle w:val="BodyText"/>
      </w:pPr>
      <w:hyperlink r:id="rId62">
        <w:r>
          <w:rPr>
            <w:rStyle w:val="Hyperlink"/>
          </w:rPr>
          <w:t xml:space="preserve">[63]</w:t>
        </w:r>
      </w:hyperlink>
      <w:r>
        <w:t xml:space="preserve"> </w:t>
      </w:r>
      <w:r>
        <w:t xml:space="preserve">https://pmc.ncbi.nlm.nih.gov/articles/PMC2831955/</w:t>
      </w:r>
    </w:p>
    <w:p>
      <w:pPr>
        <w:pStyle w:val="BodyText"/>
      </w:pPr>
      <w:hyperlink r:id="rId62">
        <w:r>
          <w:rPr>
            <w:rStyle w:val="Hyperlink"/>
          </w:rPr>
          <w:t xml:space="preserve">https://pmc.ncbi.nlm.nih.gov/articles/PMC2831955/</w:t>
        </w:r>
      </w:hyperlink>
    </w:p>
    <w:p>
      <w:pPr>
        <w:pStyle w:val="BodyText"/>
      </w:pPr>
      <w:hyperlink r:id="rId77">
        <w:r>
          <w:rPr>
            <w:rStyle w:val="Hyperlink"/>
          </w:rPr>
          <w:t xml:space="preserve">[75]</w:t>
        </w:r>
      </w:hyperlink>
      <w:r>
        <w:t xml:space="preserve"> </w:t>
      </w:r>
      <w:r>
        <w:t xml:space="preserve">https://www.nature.com/articles/s41591-025-04136-1</w:t>
      </w:r>
    </w:p>
    <w:p>
      <w:pPr>
        <w:pStyle w:val="BodyText"/>
      </w:pPr>
      <w:hyperlink r:id="rId77">
        <w:r>
          <w:rPr>
            <w:rStyle w:val="Hyperlink"/>
          </w:rPr>
          <w:t xml:space="preserve">https://www.nature.com/articles/s41591-025-04136-1</w:t>
        </w:r>
      </w:hyperlink>
    </w:p>
    <w:p>
      <w:pPr>
        <w:pStyle w:val="BodyText"/>
      </w:pPr>
      <w:hyperlink r:id="rId78">
        <w:r>
          <w:rPr>
            <w:rStyle w:val="Hyperlink"/>
          </w:rPr>
          <w:t xml:space="preserve">[76]</w:t>
        </w:r>
      </w:hyperlink>
      <w:r>
        <w:t xml:space="preserve"> </w:t>
      </w:r>
      <w:r>
        <w:t xml:space="preserve">https://pmc.ncbi.nlm.nih.gov/articles/PMC12660460/</w:t>
      </w:r>
    </w:p>
    <w:p>
      <w:pPr>
        <w:pStyle w:val="BodyText"/>
      </w:pPr>
      <w:hyperlink r:id="rId78">
        <w:r>
          <w:rPr>
            <w:rStyle w:val="Hyperlink"/>
          </w:rPr>
          <w:t xml:space="preserve">https://pmc.ncbi.nlm.nih.gov/articles/PMC12660460/</w:t>
        </w:r>
      </w:hyperlink>
    </w:p>
    <w:p>
      <w:pPr>
        <w:pStyle w:val="BodyText"/>
      </w:pPr>
      <w:hyperlink r:id="rId79">
        <w:r>
          <w:rPr>
            <w:rStyle w:val="Hyperlink"/>
          </w:rPr>
          <w:t xml:space="preserve">[78]</w:t>
        </w:r>
      </w:hyperlink>
      <w:r>
        <w:t xml:space="preserve"> </w:t>
      </w:r>
      <w:r>
        <w:t xml:space="preserve">https://pmc.ncbi.nlm.nih.gov/articles/PMC13062146/</w:t>
      </w:r>
    </w:p>
    <w:p>
      <w:pPr>
        <w:pStyle w:val="BodyText"/>
      </w:pPr>
      <w:hyperlink r:id="rId79">
        <w:r>
          <w:rPr>
            <w:rStyle w:val="Hyperlink"/>
          </w:rPr>
          <w:t xml:space="preserve">https://pmc.ncbi.nlm.nih.gov/articles/PMC13062146/</w:t>
        </w:r>
      </w:hyperlink>
    </w:p>
    <w:p>
      <w:pPr>
        <w:pStyle w:val="BodyText"/>
      </w:pPr>
      <w:hyperlink r:id="rId80">
        <w:r>
          <w:rPr>
            <w:rStyle w:val="Hyperlink"/>
          </w:rPr>
          <w:t xml:space="preserve">[79]</w:t>
        </w:r>
      </w:hyperlink>
      <w:r>
        <w:t xml:space="preserve"> </w:t>
      </w:r>
      <w:r>
        <w:t xml:space="preserve">https://www.nature.com/articles/s41598-025-32810-4</w:t>
      </w:r>
    </w:p>
    <w:p>
      <w:pPr>
        <w:pStyle w:val="BodyText"/>
      </w:pPr>
      <w:hyperlink r:id="rId80">
        <w:r>
          <w:rPr>
            <w:rStyle w:val="Hyperlink"/>
          </w:rPr>
          <w:t xml:space="preserve">https://www.nature.com/articles/s41598-025-32810-4</w:t>
        </w:r>
      </w:hyperlink>
    </w:p>
    <w:p>
      <w:pPr>
        <w:pStyle w:val="BodyText"/>
      </w:pPr>
      <w:hyperlink r:id="rId81">
        <w:r>
          <w:rPr>
            <w:rStyle w:val="Hyperlink"/>
          </w:rPr>
          <w:t xml:space="preserve">[80]</w:t>
        </w:r>
      </w:hyperlink>
      <w:r>
        <w:t xml:space="preserve"> </w:t>
      </w:r>
      <w:hyperlink r:id="rId81">
        <w:r>
          <w:rPr>
            <w:rStyle w:val="Hyperlink"/>
          </w:rPr>
          <w:t xml:space="preserve">[93]</w:t>
        </w:r>
      </w:hyperlink>
      <w:r>
        <w:t xml:space="preserve"> </w:t>
      </w:r>
      <w:r>
        <w:t xml:space="preserve">https://pmc.ncbi.nlm.nih.gov/articles/PMC7063038/</w:t>
      </w:r>
    </w:p>
    <w:p>
      <w:pPr>
        <w:pStyle w:val="BodyText"/>
      </w:pPr>
      <w:hyperlink r:id="rId81">
        <w:r>
          <w:rPr>
            <w:rStyle w:val="Hyperlink"/>
          </w:rPr>
          <w:t xml:space="preserve">https://pmc.ncbi.nlm.nih.gov/articles/PMC7063038/</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8" Target="https://pmc.ncbi.nlm.nih.gov/articles/PMC12660460/" TargetMode="External" /><Relationship Type="http://schemas.openxmlformats.org/officeDocument/2006/relationships/hyperlink" Id="rId79" Target="https://pmc.ncbi.nlm.nih.gov/articles/PMC13062146/" TargetMode="External" /><Relationship Type="http://schemas.openxmlformats.org/officeDocument/2006/relationships/hyperlink" Id="rId20" Target="https://pmc.ncbi.nlm.nih.gov/articles/PMC1978405/" TargetMode="External" /><Relationship Type="http://schemas.openxmlformats.org/officeDocument/2006/relationships/hyperlink" Id="rId62" Target="https://pmc.ncbi.nlm.nih.gov/articles/PMC2831955/" TargetMode="External" /><Relationship Type="http://schemas.openxmlformats.org/officeDocument/2006/relationships/hyperlink" Id="rId61" Target="https://pmc.ncbi.nlm.nih.gov/articles/PMC2937015/" TargetMode="External" /><Relationship Type="http://schemas.openxmlformats.org/officeDocument/2006/relationships/hyperlink" Id="rId56" Target="https://pmc.ncbi.nlm.nih.gov/articles/PMC3671388/" TargetMode="External" /><Relationship Type="http://schemas.openxmlformats.org/officeDocument/2006/relationships/hyperlink" Id="rId27" Target="https://pmc.ncbi.nlm.nih.gov/articles/PMC4178953/" TargetMode="External" /><Relationship Type="http://schemas.openxmlformats.org/officeDocument/2006/relationships/hyperlink" Id="rId81" Target="https://pmc.ncbi.nlm.nih.gov/articles/PMC7063038/" TargetMode="External" /><Relationship Type="http://schemas.openxmlformats.org/officeDocument/2006/relationships/hyperlink" Id="rId41" Target="https://pmc.ncbi.nlm.nih.gov/articles/PMC8359910/" TargetMode="External" /><Relationship Type="http://schemas.openxmlformats.org/officeDocument/2006/relationships/hyperlink" Id="rId37" Target="https://pubmed.ncbi.nlm.nih.gov/10219766/?utm_source=chatgpt.com" TargetMode="External" /><Relationship Type="http://schemas.openxmlformats.org/officeDocument/2006/relationships/hyperlink" Id="rId39" Target="https://pubmed.ncbi.nlm.nih.gov/10708183/?utm_source=chatgpt.com" TargetMode="External" /><Relationship Type="http://schemas.openxmlformats.org/officeDocument/2006/relationships/hyperlink" Id="rId12" Target="https://pubmed.ncbi.nlm.nih.gov/12388119/?utm_source=chatgpt.com" TargetMode="External" /><Relationship Type="http://schemas.openxmlformats.org/officeDocument/2006/relationships/hyperlink" Id="rId13" Target="https://pubmed.ncbi.nlm.nih.gov/14679176/?utm_source=chatgpt.com" TargetMode="External" /><Relationship Type="http://schemas.openxmlformats.org/officeDocument/2006/relationships/hyperlink" Id="rId15" Target="https://pubmed.ncbi.nlm.nih.gov/17287468/?utm_source=chatgpt.com" TargetMode="External" /><Relationship Type="http://schemas.openxmlformats.org/officeDocument/2006/relationships/hyperlink" Id="rId19" Target="https://pubmed.ncbi.nlm.nih.gov/17329698/?utm_source=chatgpt.com" TargetMode="External" /><Relationship Type="http://schemas.openxmlformats.org/officeDocument/2006/relationships/hyperlink" Id="rId47" Target="https://pubmed.ncbi.nlm.nih.gov/17429083/?utm_source=chatgpt.com" TargetMode="External" /><Relationship Type="http://schemas.openxmlformats.org/officeDocument/2006/relationships/hyperlink" Id="rId23" Target="https://pubmed.ncbi.nlm.nih.gov/18292576/" TargetMode="External" /><Relationship Type="http://schemas.openxmlformats.org/officeDocument/2006/relationships/hyperlink" Id="rId43" Target="https://pubmed.ncbi.nlm.nih.gov/19950271/" TargetMode="External" /><Relationship Type="http://schemas.openxmlformats.org/officeDocument/2006/relationships/hyperlink" Id="rId53" Target="https://pubmed.ncbi.nlm.nih.gov/22474371/?utm_source=chatgpt.com" TargetMode="External" /><Relationship Type="http://schemas.openxmlformats.org/officeDocument/2006/relationships/hyperlink" Id="rId10" Target="https://pubmed.ncbi.nlm.nih.gov/2464504/?utm_source=chatgpt.com" TargetMode="External" /><Relationship Type="http://schemas.openxmlformats.org/officeDocument/2006/relationships/hyperlink" Id="rId40" Target="https://pubmed.ncbi.nlm.nih.gov/24767621/?utm_source=chatgpt.com" TargetMode="External" /><Relationship Type="http://schemas.openxmlformats.org/officeDocument/2006/relationships/hyperlink" Id="rId58" Target="https://pubmed.ncbi.nlm.nih.gov/25908532/?utm_source=chatgpt.com" TargetMode="External" /><Relationship Type="http://schemas.openxmlformats.org/officeDocument/2006/relationships/hyperlink" Id="rId33" Target="https://pubmed.ncbi.nlm.nih.gov/26990318/?utm_source=chatgpt.com" TargetMode="External" /><Relationship Type="http://schemas.openxmlformats.org/officeDocument/2006/relationships/hyperlink" Id="rId16" Target="https://pubmed.ncbi.nlm.nih.gov/28845751/" TargetMode="External" /><Relationship Type="http://schemas.openxmlformats.org/officeDocument/2006/relationships/hyperlink" Id="rId51" Target="https://pubmed.ncbi.nlm.nih.gov/29029237/?utm_source=chatgpt.com" TargetMode="External" /><Relationship Type="http://schemas.openxmlformats.org/officeDocument/2006/relationships/hyperlink" Id="rId17" Target="https://pubmed.ncbi.nlm.nih.gov/29324233/" TargetMode="External" /><Relationship Type="http://schemas.openxmlformats.org/officeDocument/2006/relationships/hyperlink" Id="rId18" Target="https://pubmed.ncbi.nlm.nih.gov/29459849/?utm_source=chatgpt.com" TargetMode="External" /><Relationship Type="http://schemas.openxmlformats.org/officeDocument/2006/relationships/hyperlink" Id="rId32" Target="https://pubmed.ncbi.nlm.nih.gov/30575798/?utm_source=chatgpt.com" TargetMode="External" /><Relationship Type="http://schemas.openxmlformats.org/officeDocument/2006/relationships/hyperlink" Id="rId24" Target="https://pubmed.ncbi.nlm.nih.gov/31504095/?utm_source=chatgpt.com" TargetMode="External" /><Relationship Type="http://schemas.openxmlformats.org/officeDocument/2006/relationships/hyperlink" Id="rId29" Target="https://pubmed.ncbi.nlm.nih.gov/31542391/" TargetMode="External" /><Relationship Type="http://schemas.openxmlformats.org/officeDocument/2006/relationships/hyperlink" Id="rId38" Target="https://pubmed.ncbi.nlm.nih.gov/32130578/" TargetMode="External" /><Relationship Type="http://schemas.openxmlformats.org/officeDocument/2006/relationships/hyperlink" Id="rId44" Target="https://pubmed.ncbi.nlm.nih.gov/32645077/" TargetMode="External" /><Relationship Type="http://schemas.openxmlformats.org/officeDocument/2006/relationships/hyperlink" Id="rId25" Target="https://pubmed.ncbi.nlm.nih.gov/36334015/?utm_source=chatgpt.com" TargetMode="External" /><Relationship Type="http://schemas.openxmlformats.org/officeDocument/2006/relationships/hyperlink" Id="rId31" Target="https://pubmed.ncbi.nlm.nih.gov/40067071/?utm_source=chatgpt.com" TargetMode="External" /><Relationship Type="http://schemas.openxmlformats.org/officeDocument/2006/relationships/hyperlink" Id="rId35" Target="https://pubmed.ncbi.nlm.nih.gov/4037939/?utm_source=chatgpt.com" TargetMode="External" /><Relationship Type="http://schemas.openxmlformats.org/officeDocument/2006/relationships/hyperlink" Id="rId14" Target="https://pubmed.ncbi.nlm.nih.gov/8473487/?utm_source=chatgpt.com" TargetMode="External" /><Relationship Type="http://schemas.openxmlformats.org/officeDocument/2006/relationships/hyperlink" Id="rId36" Target="https://pubmed.ncbi.nlm.nih.gov/9215292/?utm_source=chatgpt.com" TargetMode="External" /><Relationship Type="http://schemas.openxmlformats.org/officeDocument/2006/relationships/hyperlink" Id="rId30" Target="https://www.ahajournals.org/doi/10.1161/circulationaha.116.025684" TargetMode="External" /><Relationship Type="http://schemas.openxmlformats.org/officeDocument/2006/relationships/hyperlink" Id="rId59" Target="https://www.cambridge.org/core/journals/british-journal-of-nutrition/article/consumption-of-ultraprocessed-foods-and-il6-in-two-cohorts-from-high-and-middleincome-countries/5E4EFBABC1E14D9BC1D3017964B09F4B" TargetMode="External" /><Relationship Type="http://schemas.openxmlformats.org/officeDocument/2006/relationships/hyperlink" Id="rId42" Target="https://www.fda.gov/medical-devices/in-vitro-diagnostics/direct-consumer-tests?utm_source=chatgpt.com" TargetMode="External" /><Relationship Type="http://schemas.openxmlformats.org/officeDocument/2006/relationships/hyperlink" Id="rId11" Target="https://www.heart.org/en/health-topics/cholesterol/how-to-get-your-cholesterol-tested/high-sensitivity-c-reactive-protein" TargetMode="External" /><Relationship Type="http://schemas.openxmlformats.org/officeDocument/2006/relationships/hyperlink" Id="rId21" Target="https://www.idsociety.org/practice-guideline/new-fever-in-critically-ill-patients/" TargetMode="External" /><Relationship Type="http://schemas.openxmlformats.org/officeDocument/2006/relationships/hyperlink" Id="rId28" Target="https://www.nature.com/articles/s41392-021-00554-y" TargetMode="External" /><Relationship Type="http://schemas.openxmlformats.org/officeDocument/2006/relationships/hyperlink" Id="rId77" Target="https://www.nature.com/articles/s41591-025-04136-1" TargetMode="External" /><Relationship Type="http://schemas.openxmlformats.org/officeDocument/2006/relationships/hyperlink" Id="rId80" Target="https://www.nature.com/articles/s41598-025-32810-4" TargetMode="External" /><Relationship Type="http://schemas.openxmlformats.org/officeDocument/2006/relationships/hyperlink" Id="rId57" Target="https://www.sciencedirect.com/science/article/pii/S0022316623006946" TargetMode="External" /><Relationship Type="http://schemas.openxmlformats.org/officeDocument/2006/relationships/hyperlink" Id="rId26" Target="https://www.uniprot.org/citations/16407889" TargetMode="External" /></Relationships>
</file>

<file path=word/_rels/footnotes.xml.rels><?xml version="1.0" encoding="UTF-8"?><Relationships xmlns="http://schemas.openxmlformats.org/package/2006/relationships"><Relationship Type="http://schemas.openxmlformats.org/officeDocument/2006/relationships/hyperlink" Id="rId78" Target="https://pmc.ncbi.nlm.nih.gov/articles/PMC12660460/" TargetMode="External" /><Relationship Type="http://schemas.openxmlformats.org/officeDocument/2006/relationships/hyperlink" Id="rId79" Target="https://pmc.ncbi.nlm.nih.gov/articles/PMC13062146/" TargetMode="External" /><Relationship Type="http://schemas.openxmlformats.org/officeDocument/2006/relationships/hyperlink" Id="rId20" Target="https://pmc.ncbi.nlm.nih.gov/articles/PMC1978405/" TargetMode="External" /><Relationship Type="http://schemas.openxmlformats.org/officeDocument/2006/relationships/hyperlink" Id="rId62" Target="https://pmc.ncbi.nlm.nih.gov/articles/PMC2831955/" TargetMode="External" /><Relationship Type="http://schemas.openxmlformats.org/officeDocument/2006/relationships/hyperlink" Id="rId61" Target="https://pmc.ncbi.nlm.nih.gov/articles/PMC2937015/" TargetMode="External" /><Relationship Type="http://schemas.openxmlformats.org/officeDocument/2006/relationships/hyperlink" Id="rId56" Target="https://pmc.ncbi.nlm.nih.gov/articles/PMC3671388/" TargetMode="External" /><Relationship Type="http://schemas.openxmlformats.org/officeDocument/2006/relationships/hyperlink" Id="rId27" Target="https://pmc.ncbi.nlm.nih.gov/articles/PMC4178953/" TargetMode="External" /><Relationship Type="http://schemas.openxmlformats.org/officeDocument/2006/relationships/hyperlink" Id="rId81" Target="https://pmc.ncbi.nlm.nih.gov/articles/PMC7063038/" TargetMode="External" /><Relationship Type="http://schemas.openxmlformats.org/officeDocument/2006/relationships/hyperlink" Id="rId41" Target="https://pmc.ncbi.nlm.nih.gov/articles/PMC8359910/" TargetMode="External" /><Relationship Type="http://schemas.openxmlformats.org/officeDocument/2006/relationships/hyperlink" Id="rId37" Target="https://pubmed.ncbi.nlm.nih.gov/10219766/?utm_source=chatgpt.com" TargetMode="External" /><Relationship Type="http://schemas.openxmlformats.org/officeDocument/2006/relationships/hyperlink" Id="rId39" Target="https://pubmed.ncbi.nlm.nih.gov/10708183/?utm_source=chatgpt.com" TargetMode="External" /><Relationship Type="http://schemas.openxmlformats.org/officeDocument/2006/relationships/hyperlink" Id="rId12" Target="https://pubmed.ncbi.nlm.nih.gov/12388119/?utm_source=chatgpt.com" TargetMode="External" /><Relationship Type="http://schemas.openxmlformats.org/officeDocument/2006/relationships/hyperlink" Id="rId13" Target="https://pubmed.ncbi.nlm.nih.gov/14679176/?utm_source=chatgpt.com" TargetMode="External" /><Relationship Type="http://schemas.openxmlformats.org/officeDocument/2006/relationships/hyperlink" Id="rId15" Target="https://pubmed.ncbi.nlm.nih.gov/17287468/?utm_source=chatgpt.com" TargetMode="External" /><Relationship Type="http://schemas.openxmlformats.org/officeDocument/2006/relationships/hyperlink" Id="rId19" Target="https://pubmed.ncbi.nlm.nih.gov/17329698/?utm_source=chatgpt.com" TargetMode="External" /><Relationship Type="http://schemas.openxmlformats.org/officeDocument/2006/relationships/hyperlink" Id="rId47" Target="https://pubmed.ncbi.nlm.nih.gov/17429083/?utm_source=chatgpt.com" TargetMode="External" /><Relationship Type="http://schemas.openxmlformats.org/officeDocument/2006/relationships/hyperlink" Id="rId23" Target="https://pubmed.ncbi.nlm.nih.gov/18292576/" TargetMode="External" /><Relationship Type="http://schemas.openxmlformats.org/officeDocument/2006/relationships/hyperlink" Id="rId43" Target="https://pubmed.ncbi.nlm.nih.gov/19950271/" TargetMode="External" /><Relationship Type="http://schemas.openxmlformats.org/officeDocument/2006/relationships/hyperlink" Id="rId53" Target="https://pubmed.ncbi.nlm.nih.gov/22474371/?utm_source=chatgpt.com" TargetMode="External" /><Relationship Type="http://schemas.openxmlformats.org/officeDocument/2006/relationships/hyperlink" Id="rId10" Target="https://pubmed.ncbi.nlm.nih.gov/2464504/?utm_source=chatgpt.com" TargetMode="External" /><Relationship Type="http://schemas.openxmlformats.org/officeDocument/2006/relationships/hyperlink" Id="rId40" Target="https://pubmed.ncbi.nlm.nih.gov/24767621/?utm_source=chatgpt.com" TargetMode="External" /><Relationship Type="http://schemas.openxmlformats.org/officeDocument/2006/relationships/hyperlink" Id="rId58" Target="https://pubmed.ncbi.nlm.nih.gov/25908532/?utm_source=chatgpt.com" TargetMode="External" /><Relationship Type="http://schemas.openxmlformats.org/officeDocument/2006/relationships/hyperlink" Id="rId33" Target="https://pubmed.ncbi.nlm.nih.gov/26990318/?utm_source=chatgpt.com" TargetMode="External" /><Relationship Type="http://schemas.openxmlformats.org/officeDocument/2006/relationships/hyperlink" Id="rId16" Target="https://pubmed.ncbi.nlm.nih.gov/28845751/" TargetMode="External" /><Relationship Type="http://schemas.openxmlformats.org/officeDocument/2006/relationships/hyperlink" Id="rId51" Target="https://pubmed.ncbi.nlm.nih.gov/29029237/?utm_source=chatgpt.com" TargetMode="External" /><Relationship Type="http://schemas.openxmlformats.org/officeDocument/2006/relationships/hyperlink" Id="rId17" Target="https://pubmed.ncbi.nlm.nih.gov/29324233/" TargetMode="External" /><Relationship Type="http://schemas.openxmlformats.org/officeDocument/2006/relationships/hyperlink" Id="rId18" Target="https://pubmed.ncbi.nlm.nih.gov/29459849/?utm_source=chatgpt.com" TargetMode="External" /><Relationship Type="http://schemas.openxmlformats.org/officeDocument/2006/relationships/hyperlink" Id="rId32" Target="https://pubmed.ncbi.nlm.nih.gov/30575798/?utm_source=chatgpt.com" TargetMode="External" /><Relationship Type="http://schemas.openxmlformats.org/officeDocument/2006/relationships/hyperlink" Id="rId24" Target="https://pubmed.ncbi.nlm.nih.gov/31504095/?utm_source=chatgpt.com" TargetMode="External" /><Relationship Type="http://schemas.openxmlformats.org/officeDocument/2006/relationships/hyperlink" Id="rId29" Target="https://pubmed.ncbi.nlm.nih.gov/31542391/" TargetMode="External" /><Relationship Type="http://schemas.openxmlformats.org/officeDocument/2006/relationships/hyperlink" Id="rId38" Target="https://pubmed.ncbi.nlm.nih.gov/32130578/" TargetMode="External" /><Relationship Type="http://schemas.openxmlformats.org/officeDocument/2006/relationships/hyperlink" Id="rId44" Target="https://pubmed.ncbi.nlm.nih.gov/32645077/" TargetMode="External" /><Relationship Type="http://schemas.openxmlformats.org/officeDocument/2006/relationships/hyperlink" Id="rId25" Target="https://pubmed.ncbi.nlm.nih.gov/36334015/?utm_source=chatgpt.com" TargetMode="External" /><Relationship Type="http://schemas.openxmlformats.org/officeDocument/2006/relationships/hyperlink" Id="rId31" Target="https://pubmed.ncbi.nlm.nih.gov/40067071/?utm_source=chatgpt.com" TargetMode="External" /><Relationship Type="http://schemas.openxmlformats.org/officeDocument/2006/relationships/hyperlink" Id="rId35" Target="https://pubmed.ncbi.nlm.nih.gov/4037939/?utm_source=chatgpt.com" TargetMode="External" /><Relationship Type="http://schemas.openxmlformats.org/officeDocument/2006/relationships/hyperlink" Id="rId14" Target="https://pubmed.ncbi.nlm.nih.gov/8473487/?utm_source=chatgpt.com" TargetMode="External" /><Relationship Type="http://schemas.openxmlformats.org/officeDocument/2006/relationships/hyperlink" Id="rId36" Target="https://pubmed.ncbi.nlm.nih.gov/9215292/?utm_source=chatgpt.com" TargetMode="External" /><Relationship Type="http://schemas.openxmlformats.org/officeDocument/2006/relationships/hyperlink" Id="rId30" Target="https://www.ahajournals.org/doi/10.1161/circulationaha.116.025684" TargetMode="External" /><Relationship Type="http://schemas.openxmlformats.org/officeDocument/2006/relationships/hyperlink" Id="rId59" Target="https://www.cambridge.org/core/journals/british-journal-of-nutrition/article/consumption-of-ultraprocessed-foods-and-il6-in-two-cohorts-from-high-and-middleincome-countries/5E4EFBABC1E14D9BC1D3017964B09F4B" TargetMode="External" /><Relationship Type="http://schemas.openxmlformats.org/officeDocument/2006/relationships/hyperlink" Id="rId42" Target="https://www.fda.gov/medical-devices/in-vitro-diagnostics/direct-consumer-tests?utm_source=chatgpt.com" TargetMode="External" /><Relationship Type="http://schemas.openxmlformats.org/officeDocument/2006/relationships/hyperlink" Id="rId11" Target="https://www.heart.org/en/health-topics/cholesterol/how-to-get-your-cholesterol-tested/high-sensitivity-c-reactive-protein" TargetMode="External" /><Relationship Type="http://schemas.openxmlformats.org/officeDocument/2006/relationships/hyperlink" Id="rId21" Target="https://www.idsociety.org/practice-guideline/new-fever-in-critically-ill-patients/" TargetMode="External" /><Relationship Type="http://schemas.openxmlformats.org/officeDocument/2006/relationships/hyperlink" Id="rId28" Target="https://www.nature.com/articles/s41392-021-00554-y" TargetMode="External" /><Relationship Type="http://schemas.openxmlformats.org/officeDocument/2006/relationships/hyperlink" Id="rId77" Target="https://www.nature.com/articles/s41591-025-04136-1" TargetMode="External" /><Relationship Type="http://schemas.openxmlformats.org/officeDocument/2006/relationships/hyperlink" Id="rId80" Target="https://www.nature.com/articles/s41598-025-32810-4" TargetMode="External" /><Relationship Type="http://schemas.openxmlformats.org/officeDocument/2006/relationships/hyperlink" Id="rId57" Target="https://www.sciencedirect.com/science/article/pii/S0022316623006946" TargetMode="External" /><Relationship Type="http://schemas.openxmlformats.org/officeDocument/2006/relationships/hyperlink" Id="rId26" Target="https://www.uniprot.org/citations/164078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