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af23f1a68e60c9bd24614e8deb3c7b0e5da36e1"/>
    <w:p>
      <w:pPr>
        <w:pStyle w:val="Heading1"/>
      </w:pPr>
      <w:r>
        <w:t xml:space="preserve">Evidence-based approaches for motivating and supporting healthy change</w:t>
      </w:r>
    </w:p>
    <w:bookmarkStart w:id="29" w:name="executive-summary"/>
    <w:p>
      <w:pPr>
        <w:pStyle w:val="Heading2"/>
      </w:pPr>
      <w:r>
        <w:t xml:space="preserve">Executive summary</w:t>
      </w:r>
    </w:p>
    <w:p>
      <w:pPr>
        <w:pStyle w:val="FirstParagraph"/>
      </w:pPr>
      <w:r>
        <w:t xml:space="preserve">The strongest evidence suggests that people are most likely to change when five conditions come together: the costs of the current pattern become emotionally and personally salient; the person experiences the change as self-chosen rather than imposed; they have enough biological and psychological capacity to act; the environment makes the healthier behaviour easier to perform repeatedly; and the new behaviour becomes integrated into identity, routines, and relationships rather than relying on willpower alone. Across health psychology, addiction treatment, behavioural medicine, and coaching science, lasting change is less about “making people comply” and more about helping them move from ambivalence to ownership, from overload to capacity, and from isolated effort to supported repetition.</w:t>
      </w:r>
      <w:r>
        <w:t xml:space="preserve"> </w:t>
      </w:r>
      <w:hyperlink r:id="rId21">
        <w:r>
          <w:rPr>
            <w:rStyle w:val="Hyperlink"/>
          </w:rPr>
          <w:t xml:space="preserve">[1]</w:t>
        </w:r>
      </w:hyperlink>
    </w:p>
    <w:p>
      <w:pPr>
        <w:pStyle w:val="BodyText"/>
      </w:pPr>
      <w:r>
        <w:t xml:space="preserve">Readiness for change is usually not a binary trait. It often emerges when discrepancy becomes hard to ignore: a health scare, burnout, relational conflict, loss of control, repeated failure, or a “teachable moment” can make the current way of living feel incompatible with one’s values, goals, or identity. But salience alone is not enough. People also need hope and efficacy. Threat without efficacy can trigger defensiveness, avoidance, or reactance; discrepancy plus autonomy plus practical support is much more likely to produce self-directed change.</w:t>
      </w:r>
      <w:r>
        <w:t xml:space="preserve"> </w:t>
      </w:r>
      <w:hyperlink r:id="rId22">
        <w:r>
          <w:rPr>
            <w:rStyle w:val="Hyperlink"/>
          </w:rPr>
          <w:t xml:space="preserve">[2]</w:t>
        </w:r>
      </w:hyperlink>
    </w:p>
    <w:p>
      <w:pPr>
        <w:pStyle w:val="BodyText"/>
      </w:pPr>
      <w:r>
        <w:t xml:space="preserve">The best-supported interpersonal approach for increasing readiness is</w:t>
      </w:r>
      <w:r>
        <w:t xml:space="preserve"> </w:t>
      </w:r>
      <w:r>
        <w:rPr>
          <w:b/>
          <w:bCs/>
        </w:rPr>
        <w:t xml:space="preserve">Motivational Interviewing</w:t>
      </w:r>
      <w:r>
        <w:t xml:space="preserve">. Across randomized trials in medical settings, MI shows a modest but reliable benefit over comparison conditions, including for alcohol, tobacco, weight, adherence, and sedentary behaviour, and it appears to work largely by eliciting a person’s own reasons for change in an atmosphere of acceptance and empathy. Process research shows that “sustain talk” predicts poorer outcomes and that arguing for change can strengthen resistance.</w:t>
      </w:r>
      <w:r>
        <w:t xml:space="preserve"> </w:t>
      </w:r>
      <w:hyperlink r:id="rId23">
        <w:r>
          <w:rPr>
            <w:rStyle w:val="Hyperlink"/>
          </w:rPr>
          <w:t xml:space="preserve">[3]</w:t>
        </w:r>
      </w:hyperlink>
    </w:p>
    <w:p>
      <w:pPr>
        <w:pStyle w:val="BodyText"/>
      </w:pPr>
      <w:r>
        <w:t xml:space="preserve">The best-supported motivational framework is</w:t>
      </w:r>
      <w:r>
        <w:t xml:space="preserve"> </w:t>
      </w:r>
      <w:r>
        <w:rPr>
          <w:b/>
          <w:bCs/>
        </w:rPr>
        <w:t xml:space="preserve">Self-Determination Theory</w:t>
      </w:r>
      <w:r>
        <w:t xml:space="preserve">. SDT-based interventions have a small but significant average effect on health behaviour, and meta-analytic modelling supports the theory’s core claim: people do better when interventions increase</w:t>
      </w:r>
      <w:r>
        <w:t xml:space="preserve"> </w:t>
      </w:r>
      <w:r>
        <w:rPr>
          <w:b/>
          <w:bCs/>
        </w:rPr>
        <w:t xml:space="preserve">autonomous motivation</w:t>
      </w:r>
      <w:r>
        <w:t xml:space="preserve"> </w:t>
      </w:r>
      <w:r>
        <w:t xml:space="preserve">and</w:t>
      </w:r>
      <w:r>
        <w:t xml:space="preserve"> </w:t>
      </w:r>
      <w:r>
        <w:rPr>
          <w:b/>
          <w:bCs/>
        </w:rPr>
        <w:t xml:space="preserve">perceived competence</w:t>
      </w:r>
      <w:r>
        <w:t xml:space="preserve"> </w:t>
      </w:r>
      <w:r>
        <w:t xml:space="preserve">rather than controlled pressure. In broader health-context meta-analysis, autonomy support, need satisfaction, and autonomous motivation are consistently associated with better mental and physical health outcomes.</w:t>
      </w:r>
      <w:r>
        <w:t xml:space="preserve"> </w:t>
      </w:r>
      <w:hyperlink r:id="rId24">
        <w:r>
          <w:rPr>
            <w:rStyle w:val="Hyperlink"/>
          </w:rPr>
          <w:t xml:space="preserve">[4]</w:t>
        </w:r>
      </w:hyperlink>
    </w:p>
    <w:p>
      <w:pPr>
        <w:pStyle w:val="BodyText"/>
      </w:pPr>
      <w:r>
        <w:t xml:space="preserve">For action and maintenance, the evidence favours</w:t>
      </w:r>
      <w:r>
        <w:t xml:space="preserve"> </w:t>
      </w:r>
      <w:r>
        <w:rPr>
          <w:b/>
          <w:bCs/>
        </w:rPr>
        <w:t xml:space="preserve">implementation supports</w:t>
      </w:r>
      <w:r>
        <w:t xml:space="preserve">, not motivation alone. Implementation intentions, self-monitoring, action planning, prompts/cues, and environment redesign repeatedly improve the odds that intentions become behaviour. Habit formation matters, but the best evidence suggests wide variability: healthy habits can begin forming in about two months for some people, yet often take far longer, with substantial person-to-person variation. Identity and habit appear to be complementary, not competing, mechanisms: habit reduces cognitive load; identity helps the person keep going when the habit is weak, disrupted, or socially tested.</w:t>
      </w:r>
      <w:r>
        <w:t xml:space="preserve"> </w:t>
      </w:r>
      <w:hyperlink r:id="rId25">
        <w:r>
          <w:rPr>
            <w:rStyle w:val="Hyperlink"/>
          </w:rPr>
          <w:t xml:space="preserve">[5]</w:t>
        </w:r>
      </w:hyperlink>
    </w:p>
    <w:p>
      <w:pPr>
        <w:pStyle w:val="BodyText"/>
      </w:pPr>
      <w:r>
        <w:t xml:space="preserve">For entrenched substance use, the strongest treatment evidence includes</w:t>
      </w:r>
      <w:r>
        <w:t xml:space="preserve"> </w:t>
      </w:r>
      <w:r>
        <w:rPr>
          <w:b/>
          <w:bCs/>
        </w:rPr>
        <w:t xml:space="preserve">contingency management</w:t>
      </w:r>
      <w:r>
        <w:t xml:space="preserve">, medications where indicated, and structured psychosocial treatments such as MI, CBT, and increasingly ACT for some targets. Contingency management is especially notable because objective-abstinence meta-analysis shows effects that can persist up to a year after incentives end. ACT shows promising benefits for end-of-treatment and short-term abstinence in addictive behaviours, but the long-term evidence is still limited. Harm reduction is evidence-based for reducing overdose, infectious disease, and treatment disengagement; it is not “giving up on change,” but often the safest bridge toward it.</w:t>
      </w:r>
      <w:r>
        <w:t xml:space="preserve"> </w:t>
      </w:r>
      <w:hyperlink r:id="rId26">
        <w:r>
          <w:rPr>
            <w:rStyle w:val="Hyperlink"/>
          </w:rPr>
          <w:t xml:space="preserve">[6]</w:t>
        </w:r>
      </w:hyperlink>
    </w:p>
    <w:p>
      <w:pPr>
        <w:pStyle w:val="BodyText"/>
      </w:pPr>
      <w:r>
        <w:t xml:space="preserve">What does</w:t>
      </w:r>
      <w:r>
        <w:t xml:space="preserve"> </w:t>
      </w:r>
      <w:r>
        <w:rPr>
          <w:b/>
          <w:bCs/>
        </w:rPr>
        <w:t xml:space="preserve">not</w:t>
      </w:r>
      <w:r>
        <w:t xml:space="preserve"> </w:t>
      </w:r>
      <w:r>
        <w:t xml:space="preserve">work well for lasting change is also increasingly clear. Confrontation, shame, moralising, unsolicited advice, and controlling persuasion often produce short-term compliance at best and resistance or care avoidance at worst. Weight stigma and judgment worsen mental and physical outcomes and can delay help-seeking. Fear-based messaging can sometimes shift behaviour in public-health contexts when paired with strong efficacy information, but it is a poor default strategy for coaching ambivalent individuals because control threat and low efficacy increase reactance and defensive avoidance.</w:t>
      </w:r>
      <w:r>
        <w:t xml:space="preserve"> </w:t>
      </w:r>
      <w:hyperlink r:id="rId27">
        <w:r>
          <w:rPr>
            <w:rStyle w:val="Hyperlink"/>
          </w:rPr>
          <w:t xml:space="preserve">[7]</w:t>
        </w:r>
      </w:hyperlink>
    </w:p>
    <w:p>
      <w:pPr>
        <w:pStyle w:val="BodyText"/>
      </w:pPr>
      <w:r>
        <w:t xml:space="preserve">A critical practical implication is that many people who look “unmotivated” are actually</w:t>
      </w:r>
      <w:r>
        <w:t xml:space="preserve"> </w:t>
      </w:r>
      <w:r>
        <w:rPr>
          <w:b/>
          <w:bCs/>
        </w:rPr>
        <w:t xml:space="preserve">under-capacitated</w:t>
      </w:r>
      <w:r>
        <w:t xml:space="preserve">. Chronic stress, sleep deprivation, depression, trauma, burnout, withdrawal states, and executive dysfunction impair inhibitory control, planning, cognitive flexibility, and emotion regulation. In such cases, the immediate lever is often not more exhortation but more safety, sleep, relief, simplification, and structure. In other words, some people do not first need stronger reasons; they need a body and nervous system capable of carrying out the reasons they already have.</w:t>
      </w:r>
      <w:r>
        <w:t xml:space="preserve"> </w:t>
      </w:r>
      <w:hyperlink r:id="rId28">
        <w:r>
          <w:rPr>
            <w:rStyle w:val="Hyperlink"/>
          </w:rPr>
          <w:t xml:space="preserve">[8]</w:t>
        </w:r>
      </w:hyperlink>
    </w:p>
    <w:p>
      <w:pPr>
        <w:pStyle w:val="BodyText"/>
      </w:pPr>
      <w:r>
        <w:t xml:space="preserve">For coaching, the practical synthesis is straightforward: meet the person where they are; assume the behaviour serves a function; reduce shame; evoke self-authored reasons; build competence through tiny, credible steps; redesign the environment; recruit social reinforcement; and respond to relapse with analysis and compassion rather than blame. The minimum conditions for healthy change are</w:t>
      </w:r>
      <w:r>
        <w:t xml:space="preserve"> </w:t>
      </w:r>
      <w:r>
        <w:rPr>
          <w:b/>
          <w:bCs/>
        </w:rPr>
        <w:t xml:space="preserve">readiness, autonomy, safety/capacity, supportive environment, social reinforcement, and repeatable habit design</w:t>
      </w:r>
      <w:r>
        <w:t xml:space="preserve">. When any one of these is badly missing, change becomes less likely; when several are aligned, change becomes much more achievable and durable.</w:t>
      </w:r>
      <w:r>
        <w:t xml:space="preserve"> </w:t>
      </w:r>
      <w:hyperlink r:id="rId21">
        <w:r>
          <w:rPr>
            <w:rStyle w:val="Hyperlink"/>
          </w:rPr>
          <w:t xml:space="preserve">[9]</w:t>
        </w:r>
      </w:hyperlink>
    </w:p>
    <w:bookmarkEnd w:id="29"/>
    <w:bookmarkStart w:id="33" w:name="X99795b15edcdf56326cd67fda9a62c298e1c774"/>
    <w:p>
      <w:pPr>
        <w:pStyle w:val="Heading2"/>
      </w:pPr>
      <w:r>
        <w:t xml:space="preserve">Why readiness emerges and why people stay stuck</w:t>
      </w:r>
    </w:p>
    <w:p>
      <w:pPr>
        <w:pStyle w:val="FirstParagraph"/>
      </w:pPr>
      <w:r>
        <w:t xml:space="preserve">People usually become ready to change when their current way of living starts to feel</w:t>
      </w:r>
      <w:r>
        <w:t xml:space="preserve"> </w:t>
      </w:r>
      <w:r>
        <w:rPr>
          <w:b/>
          <w:bCs/>
        </w:rPr>
        <w:t xml:space="preserve">costly, unstable, or identity-incongruent</w:t>
      </w:r>
      <w:r>
        <w:t xml:space="preserve">. “Teachable moments” research suggests that naturally occurring events can trigger behaviour change when they increase risk perception, evoke strong emotional response, and alter a person’s view of self or social role. Health scares, pregnancy, diagnosis, exhaustion, a relationship rupture, or feeling “I can’t do this anymore” can all create this kind of readiness. These moments matter because they make the problem personally real, not merely intellectually understood.</w:t>
      </w:r>
      <w:r>
        <w:t xml:space="preserve"> </w:t>
      </w:r>
      <w:hyperlink r:id="rId22">
        <w:r>
          <w:rPr>
            <w:rStyle w:val="Hyperlink"/>
          </w:rPr>
          <w:t xml:space="preserve">[10]</w:t>
        </w:r>
      </w:hyperlink>
    </w:p>
    <w:p>
      <w:pPr>
        <w:pStyle w:val="BodyText"/>
      </w:pPr>
      <w:r>
        <w:t xml:space="preserve">Ambivalence is not a failure of character. It is often the normal cognitive-emotional state that appears when a harmful behaviour also solves a problem. Smoking may regulate stress. Alcohol may blunt shame or social anxiety. Overeating may soothe. Workaholism may preserve status or control. Avoidance of care may protect against fear, stigma, or bad news. Motivational interviewing is based on the well-supported idea that many people are not “unmotivated”; they are divided between reasons to change and reasons to stay the same. Lasting change becomes more likely when helpers understand the protective function of the behaviour before trying to remove it.</w:t>
      </w:r>
      <w:r>
        <w:t xml:space="preserve"> </w:t>
      </w:r>
      <w:hyperlink r:id="rId21">
        <w:r>
          <w:rPr>
            <w:rStyle w:val="Hyperlink"/>
          </w:rPr>
          <w:t xml:space="preserve">[11]</w:t>
        </w:r>
      </w:hyperlink>
    </w:p>
    <w:p>
      <w:pPr>
        <w:pStyle w:val="BodyText"/>
      </w:pPr>
      <w:r>
        <w:t xml:space="preserve">Readiness is also shaped by</w:t>
      </w:r>
      <w:r>
        <w:t xml:space="preserve"> </w:t>
      </w:r>
      <w:r>
        <w:rPr>
          <w:b/>
          <w:bCs/>
        </w:rPr>
        <w:t xml:space="preserve">self-efficacy and hope</w:t>
      </w:r>
      <w:r>
        <w:t xml:space="preserve">. Even when people admit there is a problem, they may not act if they believe they will fail again. This is one reason why small wins matter so much: they restore a sense of agency. SDT meta-analyses and implementation-intention research converge on the same point. Autonomous motivation helps people want to change, but perceived competence and specific if-then plans help them believe they can.</w:t>
      </w:r>
      <w:r>
        <w:t xml:space="preserve"> </w:t>
      </w:r>
      <w:hyperlink r:id="rId24">
        <w:r>
          <w:rPr>
            <w:rStyle w:val="Hyperlink"/>
          </w:rPr>
          <w:t xml:space="preserve">[12]</w:t>
        </w:r>
      </w:hyperlink>
    </w:p>
    <w:p>
      <w:pPr>
        <w:pStyle w:val="BodyText"/>
      </w:pPr>
      <w:r>
        <w:t xml:space="preserve">People stay stuck for at least three broad reasons, and distinguishing them is essential: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Barrier type</w:t>
            </w:r>
          </w:p>
        </w:tc>
        <w:tc>
          <w:tcPr/>
          <w:p>
            <w:pPr>
              <w:pStyle w:val="Compact"/>
            </w:pPr>
            <w:r>
              <w:t xml:space="preserve">What it means</w:t>
            </w:r>
          </w:p>
        </w:tc>
        <w:tc>
          <w:tcPr/>
          <w:p>
            <w:pPr>
              <w:pStyle w:val="Compact"/>
            </w:pPr>
            <w:r>
              <w:t xml:space="preserve">Typical signs</w:t>
            </w:r>
          </w:p>
        </w:tc>
        <w:tc>
          <w:tcPr/>
          <w:p>
            <w:pPr>
              <w:pStyle w:val="Compact"/>
            </w:pPr>
            <w:r>
              <w:t xml:space="preserve">Strongest lens</w:t>
            </w:r>
          </w:p>
        </w:tc>
      </w:tr>
      <w:tr>
        <w:tc>
          <w:tcPr/>
          <w:p>
            <w:pPr>
              <w:pStyle w:val="Compact"/>
            </w:pPr>
            <w:r>
              <w:rPr>
                <w:b/>
                <w:bCs/>
              </w:rPr>
              <w:t xml:space="preserve">Lack of motivation</w:t>
            </w:r>
          </w:p>
        </w:tc>
        <w:tc>
          <w:tcPr/>
          <w:p>
            <w:pPr>
              <w:pStyle w:val="Compact"/>
            </w:pPr>
            <w:r>
              <w:t xml:space="preserve">The person does not yet see change as worth it, congruent, or urgent</w:t>
            </w:r>
          </w:p>
        </w:tc>
        <w:tc>
          <w:tcPr/>
          <w:p>
            <w:pPr>
              <w:pStyle w:val="Compact"/>
            </w:pPr>
            <w:r>
              <w:t xml:space="preserve">Ambivalence, minimisation, “I know, but…”, low discrepancy</w:t>
            </w:r>
          </w:p>
        </w:tc>
        <w:tc>
          <w:tcPr/>
          <w:p>
            <w:pPr>
              <w:pStyle w:val="Compact"/>
            </w:pPr>
            <w:r>
              <w:t xml:space="preserve">MI, SDT, values clarification, harm reduction</w:t>
            </w:r>
            <w:r>
              <w:t xml:space="preserve"> </w:t>
            </w:r>
            <w:hyperlink r:id="rId21">
              <w:r>
                <w:rPr>
                  <w:rStyle w:val="Hyperlink"/>
                </w:rPr>
                <w:t xml:space="preserve">[13]</w:t>
              </w:r>
            </w:hyperlink>
          </w:p>
        </w:tc>
      </w:tr>
      <w:tr>
        <w:tc>
          <w:tcPr/>
          <w:p>
            <w:pPr>
              <w:pStyle w:val="Compact"/>
            </w:pPr>
            <w:r>
              <w:rPr>
                <w:b/>
                <w:bCs/>
              </w:rPr>
              <w:t xml:space="preserve">Lack of capacity</w:t>
            </w:r>
          </w:p>
        </w:tc>
        <w:tc>
          <w:tcPr/>
          <w:p>
            <w:pPr>
              <w:pStyle w:val="Compact"/>
            </w:pPr>
            <w:r>
              <w:t xml:space="preserve">The person wants change but cannot reliably execute it</w:t>
            </w:r>
          </w:p>
        </w:tc>
        <w:tc>
          <w:tcPr/>
          <w:p>
            <w:pPr>
              <w:pStyle w:val="Compact"/>
            </w:pPr>
            <w:r>
              <w:t xml:space="preserve">Burnout, sleep deprivation, overwhelm, depression, trauma, withdrawal, executive dysfunction</w:t>
            </w:r>
          </w:p>
        </w:tc>
        <w:tc>
          <w:tcPr/>
          <w:p>
            <w:pPr>
              <w:pStyle w:val="Compact"/>
            </w:pPr>
            <w:r>
              <w:t xml:space="preserve">Stress physiology, sleep science, CBT/ACT skills, simplification</w:t>
            </w:r>
            <w:r>
              <w:t xml:space="preserve"> </w:t>
            </w:r>
            <w:hyperlink r:id="rId28">
              <w:r>
                <w:rPr>
                  <w:rStyle w:val="Hyperlink"/>
                </w:rPr>
                <w:t xml:space="preserve">[14]</w:t>
              </w:r>
            </w:hyperlink>
          </w:p>
        </w:tc>
      </w:tr>
      <w:tr>
        <w:tc>
          <w:tcPr/>
          <w:p>
            <w:pPr>
              <w:pStyle w:val="Compact"/>
            </w:pPr>
            <w:r>
              <w:rPr>
                <w:b/>
                <w:bCs/>
              </w:rPr>
              <w:t xml:space="preserve">Lack of opportunity</w:t>
            </w:r>
          </w:p>
        </w:tc>
        <w:tc>
          <w:tcPr/>
          <w:p>
            <w:pPr>
              <w:pStyle w:val="Compact"/>
            </w:pPr>
            <w:r>
              <w:t xml:space="preserve">The environment and social context keep pulling behaviour back</w:t>
            </w:r>
          </w:p>
        </w:tc>
        <w:tc>
          <w:tcPr/>
          <w:p>
            <w:pPr>
              <w:pStyle w:val="Compact"/>
            </w:pPr>
            <w:r>
              <w:t xml:space="preserve">Easy access to cues, social norms, job design, isolation, cost, lack of time or services</w:t>
            </w:r>
          </w:p>
        </w:tc>
        <w:tc>
          <w:tcPr/>
          <w:p>
            <w:pPr>
              <w:pStyle w:val="Compact"/>
            </w:pPr>
            <w:r>
              <w:t xml:space="preserve">COM-B, BCW, peer/group support, digital and environmental redesign</w:t>
            </w:r>
            <w:r>
              <w:t xml:space="preserve"> </w:t>
            </w:r>
            <w:hyperlink r:id="rId30">
              <w:r>
                <w:rPr>
                  <w:rStyle w:val="Hyperlink"/>
                </w:rPr>
                <w:t xml:space="preserve">[15]</w:t>
              </w:r>
            </w:hyperlink>
          </w:p>
        </w:tc>
      </w:tr>
    </w:tbl>
    <w:p>
      <w:pPr>
        <w:pStyle w:val="BodyText"/>
      </w:pPr>
      <w:r>
        <w:t xml:space="preserve">When people “know what to do” yet still do not do it, the problem is often not knowledge. It is the</w:t>
      </w:r>
      <w:r>
        <w:t xml:space="preserve"> </w:t>
      </w:r>
      <w:r>
        <w:rPr>
          <w:b/>
          <w:bCs/>
        </w:rPr>
        <w:t xml:space="preserve">intention–behaviour gap</w:t>
      </w:r>
      <w:r>
        <w:t xml:space="preserve">. Sheeran and colleagues note directly that even high motivation and self-efficacy do not guarantee action because people still need to manage temptations, distractions, forgetting, unwanted emotions, and missed opportunities. This is why helpers who keep adding information often get diminishing returns.</w:t>
      </w:r>
      <w:r>
        <w:t xml:space="preserve"> </w:t>
      </w:r>
      <w:hyperlink r:id="rId24">
        <w:r>
          <w:rPr>
            <w:rStyle w:val="Hyperlink"/>
          </w:rPr>
          <w:t xml:space="preserve">[16]</w:t>
        </w:r>
      </w:hyperlink>
    </w:p>
    <w:p>
      <w:pPr>
        <w:pStyle w:val="BodyText"/>
      </w:pPr>
      <w:r>
        <w:t xml:space="preserve">Several forces keep behaviour locked in place. Habit loops and cue-driven responding reduce the need for conscious decision-making. Present bias and immediate reward make unhealthy behaviours feel easier now, while the benefits of change arrive later. Learned helplessness and repeated experiences of failure reduce effort. Chronic stress and sleep loss shift behaviour toward short-term coping and away from deliberate self-regulation. Addiction adds reward-learning, cue-reactivity, habit formation, and executive-control impairments that can overpower insight alone.</w:t>
      </w:r>
      <w:r>
        <w:t xml:space="preserve"> </w:t>
      </w:r>
      <w:hyperlink r:id="rId31">
        <w:r>
          <w:rPr>
            <w:rStyle w:val="Hyperlink"/>
          </w:rPr>
          <w:t xml:space="preserve">[17]</w:t>
        </w:r>
      </w:hyperlink>
    </w:p>
    <w:p>
      <w:pPr>
        <w:pStyle w:val="BodyText"/>
      </w:pPr>
      <w:r>
        <w:t xml:space="preserve">Psychological reactance is another major reason people do not change. When advice is experienced as controlling, freedom-threatening, or moralising, people often respond by defending the status quo more strongly. Reactance theory and MI process research both support the practical lesson: if the helper argues for change too hard, the client often argues for staying the same.</w:t>
      </w:r>
      <w:r>
        <w:t xml:space="preserve"> </w:t>
      </w:r>
      <w:hyperlink r:id="rId32">
        <w:r>
          <w:rPr>
            <w:rStyle w:val="Hyperlink"/>
          </w:rPr>
          <w:t xml:space="preserve">[18]</w:t>
        </w:r>
      </w:hyperlink>
    </w:p>
    <w:bookmarkEnd w:id="33"/>
    <w:bookmarkStart w:id="44" w:name="evidence-review-and-model-comparison"/>
    <w:p>
      <w:pPr>
        <w:pStyle w:val="Heading2"/>
      </w:pPr>
      <w:r>
        <w:t xml:space="preserve">Evidence review and model comparison</w:t>
      </w:r>
    </w:p>
    <w:p>
      <w:pPr>
        <w:pStyle w:val="FirstParagraph"/>
      </w:pPr>
      <w:r>
        <w:t xml:space="preserve">The table below compares the major approaches most relevant to ethically motivating and supporting health-related change. Evidence grades reflect the balance of systematic reviews, meta-analyses, RCTs, and guideline strength.</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Approach</w:t>
            </w:r>
          </w:p>
        </w:tc>
        <w:tc>
          <w:tcPr/>
          <w:p>
            <w:pPr>
              <w:pStyle w:val="Compact"/>
            </w:pPr>
            <w:r>
              <w:t xml:space="preserve">What it is</w:t>
            </w:r>
          </w:p>
        </w:tc>
        <w:tc>
          <w:tcPr/>
          <w:p>
            <w:pPr>
              <w:pStyle w:val="Compact"/>
            </w:pPr>
            <w:r>
              <w:t xml:space="preserve">Evidence strength</w:t>
            </w:r>
          </w:p>
        </w:tc>
        <w:tc>
          <w:tcPr/>
          <w:p>
            <w:pPr>
              <w:pStyle w:val="Compact"/>
            </w:pPr>
            <w:r>
              <w:t xml:space="preserve">Where it works best</w:t>
            </w:r>
          </w:p>
        </w:tc>
        <w:tc>
          <w:tcPr/>
          <w:p>
            <w:pPr>
              <w:pStyle w:val="Compact"/>
            </w:pPr>
            <w:r>
              <w:t xml:space="preserve">Main limitations and misuse risks</w:t>
            </w:r>
          </w:p>
        </w:tc>
        <w:tc>
          <w:tcPr/>
          <w:p>
            <w:pPr>
              <w:pStyle w:val="Compact"/>
            </w:pPr>
            <w:r>
              <w:t xml:space="preserve">Representative evidence</w:t>
            </w:r>
          </w:p>
        </w:tc>
      </w:tr>
      <w:tr>
        <w:tc>
          <w:tcPr/>
          <w:p>
            <w:pPr>
              <w:pStyle w:val="Compact"/>
            </w:pPr>
            <w:r>
              <w:rPr>
                <w:b/>
                <w:bCs/>
              </w:rPr>
              <w:t xml:space="preserve">Motivational Interviewing</w:t>
            </w:r>
          </w:p>
        </w:tc>
        <w:tc>
          <w:tcPr/>
          <w:p>
            <w:pPr>
              <w:pStyle w:val="Compact"/>
            </w:pPr>
            <w:r>
              <w:t xml:space="preserve">A collaborative, person-centred method for resolving ambivalence and eliciting the person’s own reasons for change</w:t>
            </w:r>
          </w:p>
        </w:tc>
        <w:tc>
          <w:tcPr/>
          <w:p>
            <w:pPr>
              <w:pStyle w:val="Compact"/>
            </w:pPr>
            <w:r>
              <w:rPr>
                <w:b/>
                <w:bCs/>
              </w:rPr>
              <w:t xml:space="preserve">Strong</w:t>
            </w:r>
            <w:r>
              <w:t xml:space="preserve"> </w:t>
            </w:r>
            <w:r>
              <w:t xml:space="preserve">for improving readiness and yielding modest behaviour gains across multiple health targets</w:t>
            </w:r>
          </w:p>
        </w:tc>
        <w:tc>
          <w:tcPr/>
          <w:p>
            <w:pPr>
              <w:pStyle w:val="Compact"/>
            </w:pPr>
            <w:r>
              <w:t xml:space="preserve">Substance use, smoking, adherence, weight, physical inactivity, primary care brief encounters</w:t>
            </w:r>
          </w:p>
        </w:tc>
        <w:tc>
          <w:tcPr/>
          <w:p>
            <w:pPr>
              <w:pStyle w:val="Compact"/>
            </w:pPr>
            <w:r>
              <w:t xml:space="preserve">Effects are usually modest; poor-fidelity MI degenerates into advice-giving with reflective language</w:t>
            </w:r>
          </w:p>
        </w:tc>
        <w:tc>
          <w:tcPr/>
          <w:p>
            <w:pPr>
              <w:pStyle w:val="Compact"/>
            </w:pPr>
            <w:r>
              <w:t xml:space="preserve">MI showed OR 1.55 across 48 medical-care RCTs and appears effective even in brief consultations.</w:t>
            </w:r>
            <w:r>
              <w:t xml:space="preserve"> </w:t>
            </w:r>
            <w:hyperlink r:id="rId23">
              <w:r>
                <w:rPr>
                  <w:rStyle w:val="Hyperlink"/>
                </w:rPr>
                <w:t xml:space="preserve">[19]</w:t>
              </w:r>
            </w:hyperlink>
          </w:p>
        </w:tc>
      </w:tr>
      <w:tr>
        <w:tc>
          <w:tcPr/>
          <w:p>
            <w:pPr>
              <w:pStyle w:val="Compact"/>
            </w:pPr>
            <w:r>
              <w:rPr>
                <w:b/>
                <w:bCs/>
              </w:rPr>
              <w:t xml:space="preserve">Self-Determination Theory</w:t>
            </w:r>
          </w:p>
        </w:tc>
        <w:tc>
          <w:tcPr/>
          <w:p>
            <w:pPr>
              <w:pStyle w:val="Compact"/>
            </w:pPr>
            <w:r>
              <w:t xml:space="preserve">A motivational theory stating that durable change is supported by autonomy, competence, and relatedness</w:t>
            </w:r>
          </w:p>
        </w:tc>
        <w:tc>
          <w:tcPr/>
          <w:p>
            <w:pPr>
              <w:pStyle w:val="Compact"/>
            </w:pPr>
            <w:r>
              <w:rPr>
                <w:b/>
                <w:bCs/>
              </w:rPr>
              <w:t xml:space="preserve">Strong</w:t>
            </w:r>
            <w:r>
              <w:t xml:space="preserve"> </w:t>
            </w:r>
            <w:r>
              <w:t xml:space="preserve">as an explanatory framework;</w:t>
            </w:r>
            <w:r>
              <w:t xml:space="preserve"> </w:t>
            </w:r>
            <w:r>
              <w:rPr>
                <w:b/>
                <w:bCs/>
              </w:rPr>
              <w:t xml:space="preserve">moderate-to-strong</w:t>
            </w:r>
            <w:r>
              <w:t xml:space="preserve"> </w:t>
            </w:r>
            <w:r>
              <w:t xml:space="preserve">for intervention effects</w:t>
            </w:r>
          </w:p>
        </w:tc>
        <w:tc>
          <w:tcPr/>
          <w:p>
            <w:pPr>
              <w:pStyle w:val="Compact"/>
            </w:pPr>
            <w:r>
              <w:t xml:space="preserve">Coaching, exercise, diet, chronic disease self-management, medication adherence</w:t>
            </w:r>
          </w:p>
        </w:tc>
        <w:tc>
          <w:tcPr/>
          <w:p>
            <w:pPr>
              <w:pStyle w:val="Compact"/>
            </w:pPr>
            <w:r>
              <w:t xml:space="preserve">Average intervention effects are small; motivation alone does not close the intention–behaviour gap</w:t>
            </w:r>
          </w:p>
        </w:tc>
        <w:tc>
          <w:tcPr/>
          <w:p>
            <w:pPr>
              <w:pStyle w:val="Compact"/>
            </w:pPr>
            <w:r>
              <w:t xml:space="preserve">SDT interventions had small but significant behaviour effects (d≈0.23) mediated by autonomous motivation and perceived competence.</w:t>
            </w:r>
            <w:r>
              <w:t xml:space="preserve"> </w:t>
            </w:r>
            <w:hyperlink r:id="rId24">
              <w:r>
                <w:rPr>
                  <w:rStyle w:val="Hyperlink"/>
                </w:rPr>
                <w:t xml:space="preserve">[20]</w:t>
              </w:r>
            </w:hyperlink>
          </w:p>
        </w:tc>
      </w:tr>
      <w:tr>
        <w:tc>
          <w:tcPr/>
          <w:p>
            <w:pPr>
              <w:pStyle w:val="Compact"/>
            </w:pPr>
            <w:r>
              <w:rPr>
                <w:b/>
                <w:bCs/>
              </w:rPr>
              <w:t xml:space="preserve">COM-B and Behaviour Change Wheel</w:t>
            </w:r>
          </w:p>
        </w:tc>
        <w:tc>
          <w:tcPr/>
          <w:p>
            <w:pPr>
              <w:pStyle w:val="Compact"/>
            </w:pPr>
            <w:r>
              <w:t xml:space="preserve">A diagnostic and design framework: behaviour requires capability, opportunity, and motivation</w:t>
            </w:r>
          </w:p>
        </w:tc>
        <w:tc>
          <w:tcPr/>
          <w:p>
            <w:pPr>
              <w:pStyle w:val="Compact"/>
            </w:pPr>
            <w:r>
              <w:rPr>
                <w:b/>
                <w:bCs/>
              </w:rPr>
              <w:t xml:space="preserve">Strong</w:t>
            </w:r>
            <w:r>
              <w:t xml:space="preserve"> </w:t>
            </w:r>
            <w:r>
              <w:t xml:space="preserve">as a design heuristic;</w:t>
            </w:r>
            <w:r>
              <w:t xml:space="preserve"> </w:t>
            </w:r>
            <w:r>
              <w:rPr>
                <w:b/>
                <w:bCs/>
              </w:rPr>
              <w:t xml:space="preserve">moderate</w:t>
            </w:r>
            <w:r>
              <w:t xml:space="preserve"> </w:t>
            </w:r>
            <w:r>
              <w:t xml:space="preserve">empirical support through broad application rather than one pooled effect size</w:t>
            </w:r>
          </w:p>
        </w:tc>
        <w:tc>
          <w:tcPr/>
          <w:p>
            <w:pPr>
              <w:pStyle w:val="Compact"/>
            </w:pPr>
            <w:r>
              <w:t xml:space="preserve">Complex behaviour diagnosis, service design, implementation, product design</w:t>
            </w:r>
          </w:p>
        </w:tc>
        <w:tc>
          <w:tcPr/>
          <w:p>
            <w:pPr>
              <w:pStyle w:val="Compact"/>
            </w:pPr>
            <w:r>
              <w:t xml:space="preserve">It is a framework, not a stand-alone treatment; overuse can become descriptive without producing concrete intervention choices</w:t>
            </w:r>
          </w:p>
        </w:tc>
        <w:tc>
          <w:tcPr/>
          <w:p>
            <w:pPr>
              <w:pStyle w:val="Compact"/>
            </w:pPr>
            <w:r>
              <w:t xml:space="preserve">BCW synthesised 19 frameworks; COM-B is widely used to identify what must change for behaviour to occur.</w:t>
            </w:r>
            <w:r>
              <w:t xml:space="preserve"> </w:t>
            </w:r>
            <w:hyperlink r:id="rId34">
              <w:r>
                <w:rPr>
                  <w:rStyle w:val="Hyperlink"/>
                </w:rPr>
                <w:t xml:space="preserve">[21]</w:t>
              </w:r>
            </w:hyperlink>
          </w:p>
        </w:tc>
      </w:tr>
      <w:tr>
        <w:tc>
          <w:tcPr/>
          <w:p>
            <w:pPr>
              <w:pStyle w:val="Compact"/>
            </w:pPr>
            <w:r>
              <w:rPr>
                <w:b/>
                <w:bCs/>
              </w:rPr>
              <w:t xml:space="preserve">Transtheoretical Model</w:t>
            </w:r>
          </w:p>
        </w:tc>
        <w:tc>
          <w:tcPr/>
          <w:p>
            <w:pPr>
              <w:pStyle w:val="Compact"/>
            </w:pPr>
            <w:r>
              <w:t xml:space="preserve">A staged readiness model from precontemplation to maintenance</w:t>
            </w:r>
          </w:p>
        </w:tc>
        <w:tc>
          <w:tcPr/>
          <w:p>
            <w:pPr>
              <w:pStyle w:val="Compact"/>
            </w:pPr>
            <w:r>
              <w:rPr>
                <w:b/>
                <w:bCs/>
              </w:rPr>
              <w:t xml:space="preserve">Mixed</w:t>
            </w:r>
          </w:p>
        </w:tc>
        <w:tc>
          <w:tcPr/>
          <w:p>
            <w:pPr>
              <w:pStyle w:val="Compact"/>
            </w:pPr>
            <w:r>
              <w:t xml:space="preserve">As a conversational heuristic for judging readiness and mismatched interventions</w:t>
            </w:r>
          </w:p>
        </w:tc>
        <w:tc>
          <w:tcPr/>
          <w:p>
            <w:pPr>
              <w:pStyle w:val="Compact"/>
            </w:pPr>
            <w:r>
              <w:t xml:space="preserve">Evidence that stage-based interventions outperform alternatives is weak; stages may be less discrete in reality than the model implies</w:t>
            </w:r>
          </w:p>
        </w:tc>
        <w:tc>
          <w:tcPr/>
          <w:p>
            <w:pPr>
              <w:pStyle w:val="Compact"/>
            </w:pPr>
            <w:r>
              <w:t xml:space="preserve">A major review found little evidence for stage-based intervention effectiveness, while later reviews still support its descriptive usefulness.</w:t>
            </w:r>
            <w:r>
              <w:t xml:space="preserve"> </w:t>
            </w:r>
            <w:hyperlink r:id="rId35">
              <w:r>
                <w:rPr>
                  <w:rStyle w:val="Hyperlink"/>
                </w:rPr>
                <w:t xml:space="preserve">[22]</w:t>
              </w:r>
            </w:hyperlink>
          </w:p>
        </w:tc>
      </w:tr>
      <w:tr>
        <w:tc>
          <w:tcPr/>
          <w:p>
            <w:pPr>
              <w:pStyle w:val="Compact"/>
            </w:pPr>
            <w:r>
              <w:rPr>
                <w:b/>
                <w:bCs/>
              </w:rPr>
              <w:t xml:space="preserve">Cognitive Behavioural Therapy</w:t>
            </w:r>
          </w:p>
        </w:tc>
        <w:tc>
          <w:tcPr/>
          <w:p>
            <w:pPr>
              <w:pStyle w:val="Compact"/>
            </w:pPr>
            <w:r>
              <w:t xml:space="preserve">Structured skills for changing thoughts, triggers, routines, and coping behaviours</w:t>
            </w:r>
          </w:p>
        </w:tc>
        <w:tc>
          <w:tcPr/>
          <w:p>
            <w:pPr>
              <w:pStyle w:val="Compact"/>
            </w:pPr>
            <w:r>
              <w:rPr>
                <w:b/>
                <w:bCs/>
              </w:rPr>
              <w:t xml:space="preserve">Strong</w:t>
            </w:r>
            <w:r>
              <w:t xml:space="preserve"> </w:t>
            </w:r>
            <w:r>
              <w:t xml:space="preserve">for many clinical targets;</w:t>
            </w:r>
            <w:r>
              <w:t xml:space="preserve"> </w:t>
            </w:r>
            <w:r>
              <w:rPr>
                <w:b/>
                <w:bCs/>
              </w:rPr>
              <w:t xml:space="preserve">moderate-to-strong</w:t>
            </w:r>
            <w:r>
              <w:t xml:space="preserve"> </w:t>
            </w:r>
            <w:r>
              <w:t xml:space="preserve">for lifestyle change support</w:t>
            </w:r>
          </w:p>
        </w:tc>
        <w:tc>
          <w:tcPr/>
          <w:p>
            <w:pPr>
              <w:pStyle w:val="Compact"/>
            </w:pPr>
            <w:r>
              <w:t xml:space="preserve">Weight management, diabetes self-management, smoking and substance treatment, relapse prevention</w:t>
            </w:r>
          </w:p>
        </w:tc>
        <w:tc>
          <w:tcPr/>
          <w:p>
            <w:pPr>
              <w:pStyle w:val="Compact"/>
            </w:pPr>
            <w:r>
              <w:t xml:space="preserve">Can feel overly cognitive if underlying trauma, shame, or autonomy issues are not addressed</w:t>
            </w:r>
          </w:p>
        </w:tc>
        <w:tc>
          <w:tcPr/>
          <w:p>
            <w:pPr>
              <w:pStyle w:val="Compact"/>
            </w:pPr>
            <w:r>
              <w:t xml:space="preserve">A systematic review found CBT effective for implementing lifestyle changes, especially weight loss and weight maintenance in obesity/T2D.</w:t>
            </w:r>
            <w:r>
              <w:t xml:space="preserve"> </w:t>
            </w:r>
            <w:hyperlink r:id="rId36">
              <w:r>
                <w:rPr>
                  <w:rStyle w:val="Hyperlink"/>
                </w:rPr>
                <w:t xml:space="preserve">[23]</w:t>
              </w:r>
            </w:hyperlink>
          </w:p>
        </w:tc>
      </w:tr>
      <w:tr>
        <w:tc>
          <w:tcPr/>
          <w:p>
            <w:pPr>
              <w:pStyle w:val="Compact"/>
            </w:pPr>
            <w:r>
              <w:rPr>
                <w:b/>
                <w:bCs/>
              </w:rPr>
              <w:t xml:space="preserve">Acceptance and Commitment Therapy</w:t>
            </w:r>
          </w:p>
        </w:tc>
        <w:tc>
          <w:tcPr/>
          <w:p>
            <w:pPr>
              <w:pStyle w:val="Compact"/>
            </w:pPr>
            <w:r>
              <w:t xml:space="preserve">Builds psychological flexibility: acceptance, defusion, values, and committed action</w:t>
            </w:r>
          </w:p>
        </w:tc>
        <w:tc>
          <w:tcPr/>
          <w:p>
            <w:pPr>
              <w:pStyle w:val="Compact"/>
            </w:pPr>
            <w:r>
              <w:rPr>
                <w:b/>
                <w:bCs/>
              </w:rPr>
              <w:t xml:space="preserve">Moderate</w:t>
            </w:r>
            <w:r>
              <w:t xml:space="preserve"> </w:t>
            </w:r>
            <w:r>
              <w:t xml:space="preserve">overall;</w:t>
            </w:r>
            <w:r>
              <w:t xml:space="preserve"> </w:t>
            </w:r>
            <w:r>
              <w:rPr>
                <w:b/>
                <w:bCs/>
              </w:rPr>
              <w:t xml:space="preserve">promising</w:t>
            </w:r>
            <w:r>
              <w:t xml:space="preserve"> </w:t>
            </w:r>
            <w:r>
              <w:t xml:space="preserve">for addictive behaviours and difficult internal barriers</w:t>
            </w:r>
          </w:p>
        </w:tc>
        <w:tc>
          <w:tcPr/>
          <w:p>
            <w:pPr>
              <w:pStyle w:val="Compact"/>
            </w:pPr>
            <w:r>
              <w:t xml:space="preserve">Emotional avoidance, craving, relapse vulnerability, values-based living</w:t>
            </w:r>
          </w:p>
        </w:tc>
        <w:tc>
          <w:tcPr/>
          <w:p>
            <w:pPr>
              <w:pStyle w:val="Compact"/>
            </w:pPr>
            <w:r>
              <w:t xml:space="preserve">Long-term superiority over CBT is not established; mechanisms are promising but still developing</w:t>
            </w:r>
          </w:p>
        </w:tc>
        <w:tc>
          <w:tcPr/>
          <w:p>
            <w:pPr>
              <w:pStyle w:val="Compact"/>
            </w:pPr>
            <w:r>
              <w:t xml:space="preserve">ACT improved abstinence at end of treatment and short-term follow-up, but not clearly long-term, in addictive behaviours.</w:t>
            </w:r>
            <w:r>
              <w:t xml:space="preserve"> </w:t>
            </w:r>
            <w:hyperlink r:id="rId37">
              <w:r>
                <w:rPr>
                  <w:rStyle w:val="Hyperlink"/>
                </w:rPr>
                <w:t xml:space="preserve">[24]</w:t>
              </w:r>
            </w:hyperlink>
          </w:p>
        </w:tc>
      </w:tr>
      <w:tr>
        <w:tc>
          <w:tcPr/>
          <w:p>
            <w:pPr>
              <w:pStyle w:val="Compact"/>
            </w:pPr>
            <w:r>
              <w:rPr>
                <w:b/>
                <w:bCs/>
              </w:rPr>
              <w:t xml:space="preserve">Contingency Management</w:t>
            </w:r>
          </w:p>
        </w:tc>
        <w:tc>
          <w:tcPr/>
          <w:p>
            <w:pPr>
              <w:pStyle w:val="Compact"/>
            </w:pPr>
            <w:r>
              <w:t xml:space="preserve">Tangible reinforcement for objectively verified target behaviours</w:t>
            </w:r>
          </w:p>
        </w:tc>
        <w:tc>
          <w:tcPr/>
          <w:p>
            <w:pPr>
              <w:pStyle w:val="Compact"/>
            </w:pPr>
            <w:r>
              <w:rPr>
                <w:b/>
                <w:bCs/>
              </w:rPr>
              <w:t xml:space="preserve">Strong</w:t>
            </w:r>
            <w:r>
              <w:t xml:space="preserve"> </w:t>
            </w:r>
            <w:r>
              <w:t xml:space="preserve">for substance use</w:t>
            </w:r>
          </w:p>
        </w:tc>
        <w:tc>
          <w:tcPr/>
          <w:p>
            <w:pPr>
              <w:pStyle w:val="Compact"/>
            </w:pPr>
            <w:r>
              <w:t xml:space="preserve">Stimulant use, smoking in some groups, treatment attendance, early recovery</w:t>
            </w:r>
          </w:p>
        </w:tc>
        <w:tc>
          <w:tcPr/>
          <w:p>
            <w:pPr>
              <w:pStyle w:val="Compact"/>
            </w:pPr>
            <w:r>
              <w:t xml:space="preserve">Requires infrastructure and safeguards; can be criticised as “external only,” though evidence does not support the claim that effects vanish immediately</w:t>
            </w:r>
          </w:p>
        </w:tc>
        <w:tc>
          <w:tcPr/>
          <w:p>
            <w:pPr>
              <w:pStyle w:val="Compact"/>
            </w:pPr>
            <w:r>
              <w:t xml:space="preserve">Meta-analysis using objective outcomes found CM benefits can persist up to 1 year after treatment.</w:t>
            </w:r>
            <w:r>
              <w:t xml:space="preserve"> </w:t>
            </w:r>
            <w:hyperlink r:id="rId26">
              <w:r>
                <w:rPr>
                  <w:rStyle w:val="Hyperlink"/>
                </w:rPr>
                <w:t xml:space="preserve">[25]</w:t>
              </w:r>
            </w:hyperlink>
          </w:p>
        </w:tc>
      </w:tr>
      <w:tr>
        <w:tc>
          <w:tcPr/>
          <w:p>
            <w:pPr>
              <w:pStyle w:val="Compact"/>
            </w:pPr>
            <w:r>
              <w:rPr>
                <w:b/>
                <w:bCs/>
              </w:rPr>
              <w:t xml:space="preserve">Health coaching</w:t>
            </w:r>
          </w:p>
        </w:tc>
        <w:tc>
          <w:tcPr/>
          <w:p>
            <w:pPr>
              <w:pStyle w:val="Compact"/>
            </w:pPr>
            <w:r>
              <w:t xml:space="preserve">Ongoing, goal-focused support using behaviour-change skills, often integrating MI/SDT/self-monitoring</w:t>
            </w:r>
          </w:p>
        </w:tc>
        <w:tc>
          <w:tcPr/>
          <w:p>
            <w:pPr>
              <w:pStyle w:val="Compact"/>
            </w:pPr>
            <w:r>
              <w:rPr>
                <w:b/>
                <w:bCs/>
              </w:rPr>
              <w:t xml:space="preserve">Moderate</w:t>
            </w:r>
          </w:p>
        </w:tc>
        <w:tc>
          <w:tcPr/>
          <w:p>
            <w:pPr>
              <w:pStyle w:val="Compact"/>
            </w:pPr>
            <w:r>
              <w:t xml:space="preserve">Cardiometabolic risk, physical activity, diet, stress management, chronic disease prevention</w:t>
            </w:r>
          </w:p>
        </w:tc>
        <w:tc>
          <w:tcPr/>
          <w:p>
            <w:pPr>
              <w:pStyle w:val="Compact"/>
            </w:pPr>
            <w:r>
              <w:t xml:space="preserve">Heterogeneous definitions and training standards; weaker evidence for smoking cessation as a stand-alone coaching target</w:t>
            </w:r>
          </w:p>
        </w:tc>
        <w:tc>
          <w:tcPr/>
          <w:p>
            <w:pPr>
              <w:pStyle w:val="Compact"/>
            </w:pPr>
            <w:r>
              <w:t xml:space="preserve">Meta-analysis found small but significant benefits for PA, diet, health responsibility, and stress management, but not smoking cessation.</w:t>
            </w:r>
            <w:r>
              <w:t xml:space="preserve"> </w:t>
            </w:r>
            <w:hyperlink r:id="rId38">
              <w:r>
                <w:rPr>
                  <w:rStyle w:val="Hyperlink"/>
                </w:rPr>
                <w:t xml:space="preserve">[26]</w:t>
              </w:r>
            </w:hyperlink>
          </w:p>
        </w:tc>
      </w:tr>
      <w:tr>
        <w:tc>
          <w:tcPr/>
          <w:p>
            <w:pPr>
              <w:pStyle w:val="Compact"/>
            </w:pPr>
            <w:r>
              <w:rPr>
                <w:b/>
                <w:bCs/>
              </w:rPr>
              <w:t xml:space="preserve">Habit formation protocols</w:t>
            </w:r>
          </w:p>
        </w:tc>
        <w:tc>
          <w:tcPr/>
          <w:p>
            <w:pPr>
              <w:pStyle w:val="Compact"/>
            </w:pPr>
            <w:r>
              <w:t xml:space="preserve">Repetition of a simple behaviour in a stable context until it becomes automatic</w:t>
            </w:r>
          </w:p>
        </w:tc>
        <w:tc>
          <w:tcPr/>
          <w:p>
            <w:pPr>
              <w:pStyle w:val="Compact"/>
            </w:pPr>
            <w:r>
              <w:rPr>
                <w:b/>
                <w:bCs/>
              </w:rPr>
              <w:t xml:space="preserve">Moderate</w:t>
            </w:r>
          </w:p>
        </w:tc>
        <w:tc>
          <w:tcPr/>
          <w:p>
            <w:pPr>
              <w:pStyle w:val="Compact"/>
            </w:pPr>
            <w:r>
              <w:t xml:space="preserve">Sleep routines, flossing, activity cues, medication, food routines</w:t>
            </w:r>
          </w:p>
        </w:tc>
        <w:tc>
          <w:tcPr/>
          <w:p>
            <w:pPr>
              <w:pStyle w:val="Compact"/>
            </w:pPr>
            <w:r>
              <w:t xml:space="preserve">Habits form variably; habit advice fails when the behaviour is emotionally loaded or the context is unstable</w:t>
            </w:r>
          </w:p>
        </w:tc>
        <w:tc>
          <w:tcPr/>
          <w:p>
            <w:pPr>
              <w:pStyle w:val="Compact"/>
            </w:pPr>
            <w:r>
              <w:t xml:space="preserve">Habit formation generally begins over months, not days, with large individual variability; prompts, cues and self-monitoring are common helpful components.</w:t>
            </w:r>
            <w:r>
              <w:t xml:space="preserve"> </w:t>
            </w:r>
            <w:hyperlink r:id="rId31">
              <w:r>
                <w:rPr>
                  <w:rStyle w:val="Hyperlink"/>
                </w:rPr>
                <w:t xml:space="preserve">[27]</w:t>
              </w:r>
            </w:hyperlink>
          </w:p>
        </w:tc>
      </w:tr>
      <w:tr>
        <w:tc>
          <w:tcPr/>
          <w:p>
            <w:pPr>
              <w:pStyle w:val="Compact"/>
            </w:pPr>
            <w:r>
              <w:rPr>
                <w:b/>
                <w:bCs/>
              </w:rPr>
              <w:t xml:space="preserve">Harm reduction</w:t>
            </w:r>
          </w:p>
        </w:tc>
        <w:tc>
          <w:tcPr/>
          <w:p>
            <w:pPr>
              <w:pStyle w:val="Compact"/>
            </w:pPr>
            <w:r>
              <w:t xml:space="preserve">Reducing immediate harm without requiring full abstinence first</w:t>
            </w:r>
          </w:p>
        </w:tc>
        <w:tc>
          <w:tcPr/>
          <w:p>
            <w:pPr>
              <w:pStyle w:val="Compact"/>
            </w:pPr>
            <w:r>
              <w:rPr>
                <w:b/>
                <w:bCs/>
              </w:rPr>
              <w:t xml:space="preserve">Strong</w:t>
            </w:r>
            <w:r>
              <w:t xml:space="preserve"> </w:t>
            </w:r>
            <w:r>
              <w:t xml:space="preserve">for specific substance-use harms;</w:t>
            </w:r>
            <w:r>
              <w:t xml:space="preserve"> </w:t>
            </w:r>
            <w:r>
              <w:rPr>
                <w:b/>
                <w:bCs/>
              </w:rPr>
              <w:t xml:space="preserve">moderate</w:t>
            </w:r>
            <w:r>
              <w:t xml:space="preserve"> </w:t>
            </w:r>
            <w:r>
              <w:t xml:space="preserve">as an engagement strategy</w:t>
            </w:r>
          </w:p>
        </w:tc>
        <w:tc>
          <w:tcPr/>
          <w:p>
            <w:pPr>
              <w:pStyle w:val="Compact"/>
            </w:pPr>
            <w:r>
              <w:t xml:space="preserve">Opioid and injection-drug harm, overdose prevention, low-readiness populations, care engagement</w:t>
            </w:r>
          </w:p>
        </w:tc>
        <w:tc>
          <w:tcPr/>
          <w:p>
            <w:pPr>
              <w:pStyle w:val="Compact"/>
            </w:pPr>
            <w:r>
              <w:t xml:space="preserve">Sometimes misunderstood as endorsing the behaviour; evidence strongest for specific interventions, not every harm-reduction idea equally</w:t>
            </w:r>
          </w:p>
        </w:tc>
        <w:tc>
          <w:tcPr/>
          <w:p>
            <w:pPr>
              <w:pStyle w:val="Compact"/>
            </w:pPr>
            <w:r>
              <w:t xml:space="preserve">Naloxone access reduces overdose mortality; syringe services do not increase crime and can increase treatment entry; MOUD reduces overdose mortality.</w:t>
            </w:r>
            <w:r>
              <w:t xml:space="preserve"> </w:t>
            </w:r>
            <w:hyperlink r:id="rId39">
              <w:r>
                <w:rPr>
                  <w:rStyle w:val="Hyperlink"/>
                </w:rPr>
                <w:t xml:space="preserve">[28]</w:t>
              </w:r>
            </w:hyperlink>
          </w:p>
        </w:tc>
      </w:tr>
      <w:tr>
        <w:tc>
          <w:tcPr/>
          <w:p>
            <w:pPr>
              <w:pStyle w:val="Compact"/>
            </w:pPr>
            <w:r>
              <w:rPr>
                <w:b/>
                <w:bCs/>
              </w:rPr>
              <w:t xml:space="preserve">Peer support and group-based approaches</w:t>
            </w:r>
          </w:p>
        </w:tc>
        <w:tc>
          <w:tcPr/>
          <w:p>
            <w:pPr>
              <w:pStyle w:val="Compact"/>
            </w:pPr>
            <w:r>
              <w:t xml:space="preserve">Support from people with shared experience or shared goals</w:t>
            </w:r>
          </w:p>
        </w:tc>
        <w:tc>
          <w:tcPr/>
          <w:p>
            <w:pPr>
              <w:pStyle w:val="Compact"/>
            </w:pPr>
            <w:r>
              <w:rPr>
                <w:b/>
                <w:bCs/>
              </w:rPr>
              <w:t xml:space="preserve">Moderate</w:t>
            </w:r>
            <w:r>
              <w:t xml:space="preserve"> </w:t>
            </w:r>
            <w:r>
              <w:t xml:space="preserve">overall; stronger for self-management and ongoing support than for all outcomes</w:t>
            </w:r>
          </w:p>
        </w:tc>
        <w:tc>
          <w:tcPr/>
          <w:p>
            <w:pPr>
              <w:pStyle w:val="Compact"/>
            </w:pPr>
            <w:r>
              <w:t xml:space="preserve">Diabetes prevention/management, behaviour maintenance, isolation, belonging, adherence</w:t>
            </w:r>
          </w:p>
        </w:tc>
        <w:tc>
          <w:tcPr/>
          <w:p>
            <w:pPr>
              <w:pStyle w:val="Compact"/>
            </w:pPr>
            <w:r>
              <w:t xml:space="preserve">Quality varies; not a substitute for clinical care in severe cases</w:t>
            </w:r>
          </w:p>
        </w:tc>
        <w:tc>
          <w:tcPr/>
          <w:p>
            <w:pPr>
              <w:pStyle w:val="Compact"/>
            </w:pPr>
            <w:r>
              <w:t xml:space="preserve">Peer support helps with complex sustained behaviours; groups enhance support, self-management, and belonging.</w:t>
            </w:r>
            <w:r>
              <w:t xml:space="preserve"> </w:t>
            </w:r>
            <w:hyperlink r:id="rId40">
              <w:r>
                <w:rPr>
                  <w:rStyle w:val="Hyperlink"/>
                </w:rPr>
                <w:t xml:space="preserve">[29]</w:t>
              </w:r>
            </w:hyperlink>
          </w:p>
        </w:tc>
      </w:tr>
      <w:tr>
        <w:tc>
          <w:tcPr/>
          <w:p>
            <w:pPr>
              <w:pStyle w:val="Compact"/>
            </w:pPr>
            <w:r>
              <w:rPr>
                <w:b/>
                <w:bCs/>
              </w:rPr>
              <w:t xml:space="preserve">Digital behaviour change interventions</w:t>
            </w:r>
          </w:p>
        </w:tc>
        <w:tc>
          <w:tcPr/>
          <w:p>
            <w:pPr>
              <w:pStyle w:val="Compact"/>
            </w:pPr>
            <w:r>
              <w:t xml:space="preserve">Apps, texts, wearables, portals, chatbots, or hybrid tools that deliver behaviour-change techniques at scale</w:t>
            </w:r>
          </w:p>
        </w:tc>
        <w:tc>
          <w:tcPr/>
          <w:p>
            <w:pPr>
              <w:pStyle w:val="Compact"/>
            </w:pPr>
            <w:r>
              <w:rPr>
                <w:b/>
                <w:bCs/>
              </w:rPr>
              <w:t xml:space="preserve">Moderate</w:t>
            </w:r>
          </w:p>
        </w:tc>
        <w:tc>
          <w:tcPr/>
          <w:p>
            <w:pPr>
              <w:pStyle w:val="Compact"/>
            </w:pPr>
            <w:r>
              <w:t xml:space="preserve">Self-monitoring, reminders, scaling support, just-in-time nudges, activity, medication, smoking adjuncts</w:t>
            </w:r>
          </w:p>
        </w:tc>
        <w:tc>
          <w:tcPr/>
          <w:p>
            <w:pPr>
              <w:pStyle w:val="Compact"/>
            </w:pPr>
            <w:r>
              <w:t xml:space="preserve">Engagement is the main Achilles’ heel; weak design easily becomes notification fatigue</w:t>
            </w:r>
          </w:p>
        </w:tc>
        <w:tc>
          <w:tcPr/>
          <w:p>
            <w:pPr>
              <w:pStyle w:val="Compact"/>
            </w:pPr>
            <w:r>
              <w:t xml:space="preserve">Effective digital components include action planning, self-monitoring, prompts/cues, credible source, social support, human coaching, and personalization.</w:t>
            </w:r>
            <w:r>
              <w:t xml:space="preserve"> </w:t>
            </w:r>
            <w:hyperlink r:id="rId41">
              <w:r>
                <w:rPr>
                  <w:rStyle w:val="Hyperlink"/>
                </w:rPr>
                <w:t xml:space="preserve">[30]</w:t>
              </w:r>
            </w:hyperlink>
          </w:p>
        </w:tc>
      </w:tr>
      <w:tr>
        <w:tc>
          <w:tcPr/>
          <w:p>
            <w:pPr>
              <w:pStyle w:val="Compact"/>
            </w:pPr>
            <w:r>
              <w:rPr>
                <w:b/>
                <w:bCs/>
              </w:rPr>
              <w:t xml:space="preserve">Social prescribing</w:t>
            </w:r>
          </w:p>
        </w:tc>
        <w:tc>
          <w:tcPr/>
          <w:p>
            <w:pPr>
              <w:pStyle w:val="Compact"/>
            </w:pPr>
            <w:r>
              <w:t xml:space="preserve">Linking people to community, practical, social, and meaningful activities that address non-medical drivers of health</w:t>
            </w:r>
          </w:p>
        </w:tc>
        <w:tc>
          <w:tcPr/>
          <w:p>
            <w:pPr>
              <w:pStyle w:val="Compact"/>
            </w:pPr>
            <w:r>
              <w:rPr>
                <w:b/>
                <w:bCs/>
              </w:rPr>
              <w:t xml:space="preserve">Emerging-to-moderate</w:t>
            </w:r>
          </w:p>
        </w:tc>
        <w:tc>
          <w:tcPr/>
          <w:p>
            <w:pPr>
              <w:pStyle w:val="Compact"/>
            </w:pPr>
            <w:r>
              <w:t xml:space="preserve">Loneliness, mild-to-moderate distress, long-term-condition support, community reconnection</w:t>
            </w:r>
          </w:p>
        </w:tc>
        <w:tc>
          <w:tcPr/>
          <w:p>
            <w:pPr>
              <w:pStyle w:val="Compact"/>
            </w:pPr>
            <w:r>
              <w:t xml:space="preserve">Evidence is heterogeneous, outcomes are inconsistent, and cost-effectiveness remains under-evaluated</w:t>
            </w:r>
          </w:p>
        </w:tc>
        <w:tc>
          <w:tcPr/>
          <w:p>
            <w:pPr>
              <w:pStyle w:val="Compact"/>
            </w:pPr>
            <w:r>
              <w:t xml:space="preserve">Reviews suggest benefits for wellbeing and some condition-specific outcomes, but risk of bias and heterogeneity remain substantial.</w:t>
            </w:r>
            <w:r>
              <w:t xml:space="preserve"> </w:t>
            </w:r>
            <w:hyperlink r:id="rId42">
              <w:r>
                <w:rPr>
                  <w:rStyle w:val="Hyperlink"/>
                </w:rPr>
                <w:t xml:space="preserve">[31]</w:t>
              </w:r>
            </w:hyperlink>
          </w:p>
        </w:tc>
      </w:tr>
    </w:tbl>
    <w:p>
      <w:pPr>
        <w:pStyle w:val="BodyText"/>
      </w:pPr>
      <w:r>
        <w:t xml:space="preserve">A few synthesis points stand out. First,</w:t>
      </w:r>
      <w:r>
        <w:t xml:space="preserve"> </w:t>
      </w:r>
      <w:r>
        <w:rPr>
          <w:b/>
          <w:bCs/>
        </w:rPr>
        <w:t xml:space="preserve">motivation-focused approaches</w:t>
      </w:r>
      <w:r>
        <w:t xml:space="preserve"> </w:t>
      </w:r>
      <w:r>
        <w:t xml:space="preserve">such as MI and SDT are best at increasing readiness and volitional quality. Second,</w:t>
      </w:r>
      <w:r>
        <w:t xml:space="preserve"> </w:t>
      </w:r>
      <w:r>
        <w:rPr>
          <w:b/>
          <w:bCs/>
        </w:rPr>
        <w:t xml:space="preserve">skills and coping approaches</w:t>
      </w:r>
      <w:r>
        <w:t xml:space="preserve"> </w:t>
      </w:r>
      <w:r>
        <w:t xml:space="preserve">such as CBT and ACT are best when the person is willing but repeatedly derailed by thoughts, cravings, emotions, or triggers. Third,</w:t>
      </w:r>
      <w:r>
        <w:t xml:space="preserve"> </w:t>
      </w:r>
      <w:r>
        <w:rPr>
          <w:b/>
          <w:bCs/>
        </w:rPr>
        <w:t xml:space="preserve">reinforcement and systems approaches</w:t>
      </w:r>
      <w:r>
        <w:t xml:space="preserve"> </w:t>
      </w:r>
      <w:r>
        <w:t xml:space="preserve">such as contingency management, COM-B-guided redesign, and habit/environment design are best when action is blocked by context, repetition failure, or poor cue structure. In practice, the most effective programmes usually combine elements from all three families.</w:t>
      </w:r>
      <w:r>
        <w:t xml:space="preserve"> </w:t>
      </w:r>
      <w:hyperlink r:id="rId21">
        <w:r>
          <w:rPr>
            <w:rStyle w:val="Hyperlink"/>
          </w:rPr>
          <w:t xml:space="preserve">[32]</w:t>
        </w:r>
      </w:hyperlink>
    </w:p>
    <w:p>
      <w:pPr>
        <w:pStyle w:val="BodyText"/>
      </w:pPr>
      <w:r>
        <w:t xml:space="preserve">The evidence also supports a useful corrective to a common myth:</w:t>
      </w:r>
      <w:r>
        <w:t xml:space="preserve"> </w:t>
      </w:r>
      <w:r>
        <w:rPr>
          <w:b/>
          <w:bCs/>
        </w:rPr>
        <w:t xml:space="preserve">identity-based change is important, but identity is not enough on its own</w:t>
      </w:r>
      <w:r>
        <w:t xml:space="preserve">. Identity can stabilise behaviour by shifting the question from “Should I do this?” to “Is this who I am now?” Yet meta-analytic and habit-formation evidence suggests that identity works best when it is paired with context stability, repetition, self-monitoring, and achievable routines. Identity helps decide; habits help repeat.</w:t>
      </w:r>
      <w:r>
        <w:t xml:space="preserve"> </w:t>
      </w:r>
      <w:hyperlink r:id="rId43">
        <w:r>
          <w:rPr>
            <w:rStyle w:val="Hyperlink"/>
          </w:rPr>
          <w:t xml:space="preserve">[33]</w:t>
        </w:r>
      </w:hyperlink>
    </w:p>
    <w:bookmarkEnd w:id="44"/>
    <w:bookmarkStart w:id="54" w:name="X66b16338d5320412f01f4b4137587482be0107f"/>
    <w:p>
      <w:pPr>
        <w:pStyle w:val="Heading2"/>
      </w:pPr>
      <w:r>
        <w:t xml:space="preserve">What works, what does not work, and how to support different stages</w:t>
      </w:r>
    </w:p>
    <w:p>
      <w:pPr>
        <w:pStyle w:val="FirstParagraph"/>
      </w:pPr>
      <w:r>
        <w:t xml:space="preserve">The best practical rule for working with ambivalence is simple:</w:t>
      </w:r>
      <w:r>
        <w:t xml:space="preserve"> </w:t>
      </w:r>
      <w:r>
        <w:rPr>
          <w:b/>
          <w:bCs/>
        </w:rPr>
        <w:t xml:space="preserve">do not fight it; surface it</w:t>
      </w:r>
      <w:r>
        <w:t xml:space="preserve">. MI process research suggests that reflective listening helps because it lowers defensiveness and lets the person hear their own mixed motives in clearer form. “Change talk” includes desires, reasons, ability, need, or commitment to change. “Sustain talk” protects the status quo. The helper’s job is not to crush sustain talk, but to understand it, soften it, and strengthen the person’s own self-authored movement toward change.</w:t>
      </w:r>
      <w:r>
        <w:t xml:space="preserve"> </w:t>
      </w:r>
      <w:hyperlink r:id="rId45">
        <w:r>
          <w:rPr>
            <w:rStyle w:val="Hyperlink"/>
          </w:rPr>
          <w:t xml:space="preserve">[34]</w:t>
        </w:r>
      </w:hyperlink>
    </w:p>
    <w:p>
      <w:pPr>
        <w:pStyle w:val="BodyText"/>
      </w:pPr>
      <w:r>
        <w:t xml:space="preserve">Practical examples:</w:t>
      </w:r>
    </w:p>
    <w:p>
      <w:pPr>
        <w:pStyle w:val="Compact"/>
        <w:numPr>
          <w:ilvl w:val="0"/>
          <w:numId w:val="1001"/>
        </w:numPr>
      </w:pPr>
      <w:r>
        <w:rPr>
          <w:b/>
          <w:bCs/>
        </w:rPr>
        <w:t xml:space="preserve">Reflective listening:</w:t>
      </w:r>
      <w:r>
        <w:t xml:space="preserve"> </w:t>
      </w:r>
      <w:r>
        <w:t xml:space="preserve">“Part of you uses alcohol to shut your mind off at night, and another part is getting scared by how dependent that has become.”</w:t>
      </w:r>
      <w:r>
        <w:t xml:space="preserve"> </w:t>
      </w:r>
      <w:hyperlink r:id="rId21">
        <w:r>
          <w:rPr>
            <w:rStyle w:val="Hyperlink"/>
          </w:rPr>
          <w:t xml:space="preserve">[35]</w:t>
        </w:r>
      </w:hyperlink>
    </w:p>
    <w:p>
      <w:pPr>
        <w:pStyle w:val="Compact"/>
        <w:numPr>
          <w:ilvl w:val="0"/>
          <w:numId w:val="1001"/>
        </w:numPr>
      </w:pPr>
      <w:r>
        <w:rPr>
          <w:b/>
          <w:bCs/>
        </w:rPr>
        <w:t xml:space="preserve">Autonomy support:</w:t>
      </w:r>
      <w:r>
        <w:t xml:space="preserve"> </w:t>
      </w:r>
      <w:r>
        <w:t xml:space="preserve">“It is completely your decision what, if anything, you want to change.”</w:t>
      </w:r>
      <w:r>
        <w:t xml:space="preserve"> </w:t>
      </w:r>
      <w:hyperlink r:id="rId21">
        <w:r>
          <w:rPr>
            <w:rStyle w:val="Hyperlink"/>
          </w:rPr>
          <w:t xml:space="preserve">[36]</w:t>
        </w:r>
      </w:hyperlink>
    </w:p>
    <w:p>
      <w:pPr>
        <w:pStyle w:val="Compact"/>
        <w:numPr>
          <w:ilvl w:val="0"/>
          <w:numId w:val="1001"/>
        </w:numPr>
      </w:pPr>
      <w:r>
        <w:rPr>
          <w:b/>
          <w:bCs/>
        </w:rPr>
        <w:t xml:space="preserve">Values clarification:</w:t>
      </w:r>
      <w:r>
        <w:t xml:space="preserve"> </w:t>
      </w:r>
      <w:r>
        <w:t xml:space="preserve">“What matters most to you that this pattern is getting in the way of?”</w:t>
      </w:r>
      <w:r>
        <w:t xml:space="preserve"> </w:t>
      </w:r>
      <w:hyperlink r:id="rId21">
        <w:r>
          <w:rPr>
            <w:rStyle w:val="Hyperlink"/>
          </w:rPr>
          <w:t xml:space="preserve">[36]</w:t>
        </w:r>
      </w:hyperlink>
    </w:p>
    <w:p>
      <w:pPr>
        <w:pStyle w:val="Compact"/>
        <w:numPr>
          <w:ilvl w:val="0"/>
          <w:numId w:val="1001"/>
        </w:numPr>
      </w:pPr>
      <w:r>
        <w:rPr>
          <w:b/>
          <w:bCs/>
        </w:rPr>
        <w:t xml:space="preserve">Change-talk prompt:</w:t>
      </w:r>
      <w:r>
        <w:t xml:space="preserve"> </w:t>
      </w:r>
      <w:r>
        <w:t xml:space="preserve">“If you did decide to change, what would be the strongest reason?”</w:t>
      </w:r>
      <w:r>
        <w:t xml:space="preserve"> </w:t>
      </w:r>
      <w:hyperlink r:id="rId21">
        <w:r>
          <w:rPr>
            <w:rStyle w:val="Hyperlink"/>
          </w:rPr>
          <w:t xml:space="preserve">[35]</w:t>
        </w:r>
      </w:hyperlink>
    </w:p>
    <w:bookmarkStart w:id="52" w:name="X5397c6d1653736db5178ce482518d5989e65142"/>
    <w:p>
      <w:pPr>
        <w:pStyle w:val="Heading3"/>
      </w:pPr>
      <w:r>
        <w:t xml:space="preserve">What tends to help and what tends to backfire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Tends to help lasting change</w:t>
            </w:r>
          </w:p>
        </w:tc>
        <w:tc>
          <w:tcPr/>
          <w:p>
            <w:pPr>
              <w:pStyle w:val="Compact"/>
            </w:pPr>
            <w:r>
              <w:t xml:space="preserve">Tends to backfire or produce only short-term compliance</w:t>
            </w:r>
          </w:p>
        </w:tc>
      </w:tr>
      <w:tr>
        <w:tc>
          <w:tcPr/>
          <w:p>
            <w:pPr>
              <w:pStyle w:val="Compact"/>
            </w:pPr>
            <w:r>
              <w:t xml:space="preserve">Empathy, autonomy support, and eliciting the person’s own reasons for change</w:t>
            </w:r>
            <w:r>
              <w:t xml:space="preserve"> </w:t>
            </w:r>
            <w:hyperlink r:id="rId21">
              <w:r>
                <w:rPr>
                  <w:rStyle w:val="Hyperlink"/>
                </w:rPr>
                <w:t xml:space="preserve">[36]</w:t>
              </w:r>
            </w:hyperlink>
          </w:p>
        </w:tc>
        <w:tc>
          <w:tcPr/>
          <w:p>
            <w:pPr>
              <w:pStyle w:val="Compact"/>
            </w:pPr>
            <w:r>
              <w:t xml:space="preserve">Confrontation, arguing, coercive persuasion, and “breaking denial” tactics, which increase defensiveness and reactance</w:t>
            </w:r>
            <w:r>
              <w:t xml:space="preserve"> </w:t>
            </w:r>
            <w:hyperlink r:id="rId27">
              <w:r>
                <w:rPr>
                  <w:rStyle w:val="Hyperlink"/>
                </w:rPr>
                <w:t xml:space="preserve">[37]</w:t>
              </w:r>
            </w:hyperlink>
          </w:p>
        </w:tc>
      </w:tr>
      <w:tr>
        <w:tc>
          <w:tcPr/>
          <w:p>
            <w:pPr>
              <w:pStyle w:val="Compact"/>
            </w:pPr>
            <w:r>
              <w:t xml:space="preserve">Collaborative goal-setting plus implementation intentions and self-monitoring</w:t>
            </w:r>
            <w:r>
              <w:t xml:space="preserve"> </w:t>
            </w:r>
            <w:hyperlink r:id="rId25">
              <w:r>
                <w:rPr>
                  <w:rStyle w:val="Hyperlink"/>
                </w:rPr>
                <w:t xml:space="preserve">[38]</w:t>
              </w:r>
            </w:hyperlink>
          </w:p>
        </w:tc>
        <w:tc>
          <w:tcPr/>
          <w:p>
            <w:pPr>
              <w:pStyle w:val="Compact"/>
            </w:pPr>
            <w:r>
              <w:t xml:space="preserve">Giving advice before readiness, or overwhelming people with information they cannot act on</w:t>
            </w:r>
            <w:r>
              <w:t xml:space="preserve"> </w:t>
            </w:r>
            <w:hyperlink r:id="rId46">
              <w:r>
                <w:rPr>
                  <w:rStyle w:val="Hyperlink"/>
                </w:rPr>
                <w:t xml:space="preserve">[39]</w:t>
              </w:r>
            </w:hyperlink>
          </w:p>
        </w:tc>
      </w:tr>
      <w:tr>
        <w:tc>
          <w:tcPr/>
          <w:p>
            <w:pPr>
              <w:pStyle w:val="Compact"/>
            </w:pPr>
            <w:r>
              <w:t xml:space="preserve">Small, credible steps that quickly increase competence and agency</w:t>
            </w:r>
            <w:r>
              <w:t xml:space="preserve"> </w:t>
            </w:r>
            <w:hyperlink r:id="rId24">
              <w:r>
                <w:rPr>
                  <w:rStyle w:val="Hyperlink"/>
                </w:rPr>
                <w:t xml:space="preserve">[40]</w:t>
              </w:r>
            </w:hyperlink>
          </w:p>
        </w:tc>
        <w:tc>
          <w:tcPr/>
          <w:p>
            <w:pPr>
              <w:pStyle w:val="Compact"/>
            </w:pPr>
            <w:r>
              <w:t xml:space="preserve">Unrealistic goals that create another failure memory and strengthen helplessness</w:t>
            </w:r>
            <w:r>
              <w:t xml:space="preserve"> </w:t>
            </w:r>
            <w:hyperlink r:id="rId47">
              <w:r>
                <w:rPr>
                  <w:rStyle w:val="Hyperlink"/>
                </w:rPr>
                <w:t xml:space="preserve">[41]</w:t>
              </w:r>
            </w:hyperlink>
          </w:p>
        </w:tc>
      </w:tr>
      <w:tr>
        <w:tc>
          <w:tcPr/>
          <w:p>
            <w:pPr>
              <w:pStyle w:val="Compact"/>
            </w:pPr>
            <w:r>
              <w:t xml:space="preserve">Non-judgmental language and reduced stigma</w:t>
            </w:r>
            <w:r>
              <w:t xml:space="preserve"> </w:t>
            </w:r>
            <w:hyperlink r:id="rId39">
              <w:r>
                <w:rPr>
                  <w:rStyle w:val="Hyperlink"/>
                </w:rPr>
                <w:t xml:space="preserve">[42]</w:t>
              </w:r>
            </w:hyperlink>
          </w:p>
        </w:tc>
        <w:tc>
          <w:tcPr/>
          <w:p>
            <w:pPr>
              <w:pStyle w:val="Compact"/>
            </w:pPr>
            <w:r>
              <w:t xml:space="preserve">Shame, moralising, weight stigma, and identity attacks, which reduce care-seeking and worsen outcomes</w:t>
            </w:r>
            <w:r>
              <w:t xml:space="preserve"> </w:t>
            </w:r>
            <w:hyperlink r:id="rId48">
              <w:r>
                <w:rPr>
                  <w:rStyle w:val="Hyperlink"/>
                </w:rPr>
                <w:t xml:space="preserve">[43]</w:t>
              </w:r>
            </w:hyperlink>
          </w:p>
        </w:tc>
      </w:tr>
      <w:tr>
        <w:tc>
          <w:tcPr/>
          <w:p>
            <w:pPr>
              <w:pStyle w:val="Compact"/>
            </w:pPr>
            <w:r>
              <w:t xml:space="preserve">Environment redesign, cue design, friction reduction, and social support</w:t>
            </w:r>
            <w:r>
              <w:t xml:space="preserve"> </w:t>
            </w:r>
            <w:hyperlink r:id="rId30">
              <w:r>
                <w:rPr>
                  <w:rStyle w:val="Hyperlink"/>
                </w:rPr>
                <w:t xml:space="preserve">[44]</w:t>
              </w:r>
            </w:hyperlink>
          </w:p>
        </w:tc>
        <w:tc>
          <w:tcPr/>
          <w:p>
            <w:pPr>
              <w:pStyle w:val="Compact"/>
            </w:pPr>
            <w:r>
              <w:t xml:space="preserve">Relying on willpower in cue-rich, high-friction environments</w:t>
            </w:r>
            <w:r>
              <w:t xml:space="preserve"> </w:t>
            </w:r>
            <w:hyperlink r:id="rId31">
              <w:r>
                <w:rPr>
                  <w:rStyle w:val="Hyperlink"/>
                </w:rPr>
                <w:t xml:space="preserve">[45]</w:t>
              </w:r>
            </w:hyperlink>
          </w:p>
        </w:tc>
      </w:tr>
      <w:tr>
        <w:tc>
          <w:tcPr/>
          <w:p>
            <w:pPr>
              <w:pStyle w:val="Compact"/>
            </w:pPr>
            <w:r>
              <w:t xml:space="preserve">Harm reduction when full change is not yet realistic</w:t>
            </w:r>
            <w:r>
              <w:t xml:space="preserve"> </w:t>
            </w:r>
            <w:hyperlink r:id="rId39">
              <w:r>
                <w:rPr>
                  <w:rStyle w:val="Hyperlink"/>
                </w:rPr>
                <w:t xml:space="preserve">[28]</w:t>
              </w:r>
            </w:hyperlink>
          </w:p>
        </w:tc>
        <w:tc>
          <w:tcPr/>
          <w:p>
            <w:pPr>
              <w:pStyle w:val="Compact"/>
            </w:pPr>
            <w:r>
              <w:t xml:space="preserve">All-or-nothing expectations that treat lapses as total failure</w:t>
            </w:r>
            <w:r>
              <w:t xml:space="preserve"> </w:t>
            </w:r>
            <w:hyperlink r:id="rId39">
              <w:r>
                <w:rPr>
                  <w:rStyle w:val="Hyperlink"/>
                </w:rPr>
                <w:t xml:space="preserve">[46]</w:t>
              </w:r>
            </w:hyperlink>
          </w:p>
        </w:tc>
      </w:tr>
      <w:tr>
        <w:tc>
          <w:tcPr/>
          <w:p>
            <w:pPr>
              <w:pStyle w:val="Compact"/>
            </w:pPr>
            <w:r>
              <w:t xml:space="preserve">If needed, sequential prioritisation of behaviour targets</w:t>
            </w:r>
            <w:r>
              <w:t xml:space="preserve"> </w:t>
            </w:r>
            <w:hyperlink r:id="rId49">
              <w:r>
                <w:rPr>
                  <w:rStyle w:val="Hyperlink"/>
                </w:rPr>
                <w:t xml:space="preserve">[47]</w:t>
              </w:r>
            </w:hyperlink>
          </w:p>
        </w:tc>
        <w:tc>
          <w:tcPr/>
          <w:p>
            <w:pPr>
              <w:pStyle w:val="Compact"/>
            </w:pPr>
            <w:r>
              <w:t xml:space="preserve">Trying to change too many behaviours at once without support; evidence is mixed overall, and smoking often does better when targeted separately or sequentially</w:t>
            </w:r>
            <w:r>
              <w:t xml:space="preserve"> </w:t>
            </w:r>
            <w:hyperlink r:id="rId50">
              <w:r>
                <w:rPr>
                  <w:rStyle w:val="Hyperlink"/>
                </w:rPr>
                <w:t xml:space="preserve">[48]</w:t>
              </w:r>
            </w:hyperlink>
          </w:p>
        </w:tc>
      </w:tr>
    </w:tbl>
    <w:p>
      <w:pPr>
        <w:pStyle w:val="BodyText"/>
      </w:pPr>
      <w:r>
        <w:t xml:space="preserve">Fear deserves a nuanced verdict. Meta-analyses show that fear appeals can influence attitudes, intentions, and behaviour, especially when the message also provides strong efficacy information. But that does</w:t>
      </w:r>
      <w:r>
        <w:t xml:space="preserve"> </w:t>
      </w:r>
      <w:r>
        <w:rPr>
          <w:b/>
          <w:bCs/>
        </w:rPr>
        <w:t xml:space="preserve">not</w:t>
      </w:r>
      <w:r>
        <w:t xml:space="preserve"> </w:t>
      </w:r>
      <w:r>
        <w:t xml:space="preserve">make fear-based coaching a best practice. In one-to-one change work, high-threat messaging without skill, agency, and autonomy can still provoke defensive avoidance or reactance. A useful rule is: if you evoke concern, immediately increase efficacy, choice, and support.</w:t>
      </w:r>
      <w:r>
        <w:t xml:space="preserve"> </w:t>
      </w:r>
      <w:hyperlink r:id="rId51">
        <w:r>
          <w:rPr>
            <w:rStyle w:val="Hyperlink"/>
          </w:rPr>
          <w:t xml:space="preserve">[49]</w:t>
        </w:r>
      </w:hyperlink>
    </w:p>
    <w:bookmarkEnd w:id="52"/>
    <w:bookmarkStart w:id="53" w:name="stage-based-intervention-map"/>
    <w:p>
      <w:pPr>
        <w:pStyle w:val="Heading3"/>
      </w:pPr>
      <w:r>
        <w:t xml:space="preserve">Stage-based intervention map</w:t>
      </w:r>
    </w:p>
    <w:p>
      <w:pPr>
        <w:pStyle w:val="FirstParagraph"/>
      </w:pPr>
      <w:r>
        <w:t xml:space="preserve">This map is best treated as a</w:t>
      </w:r>
      <w:r>
        <w:t xml:space="preserve"> </w:t>
      </w:r>
      <w:r>
        <w:rPr>
          <w:b/>
          <w:bCs/>
        </w:rPr>
        <w:t xml:space="preserve">pragmatic coaching heuristic</w:t>
      </w:r>
      <w:r>
        <w:t xml:space="preserve">, not a rigid law, because trials of stage-matched interventions have shown mixed results. It is still useful for avoiding common mismatches, such as action plans for someone who is not yet persuaded, or more education for someone who is already persuaded but exhausted.</w:t>
      </w:r>
      <w:r>
        <w:t xml:space="preserve"> </w:t>
      </w:r>
      <w:hyperlink r:id="rId35">
        <w:r>
          <w:rPr>
            <w:rStyle w:val="Hyperlink"/>
          </w:rPr>
          <w:t xml:space="preserve">[22]</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Stage</w:t>
            </w:r>
          </w:p>
        </w:tc>
        <w:tc>
          <w:tcPr/>
          <w:p>
            <w:pPr>
              <w:pStyle w:val="Compact"/>
            </w:pPr>
            <w:r>
              <w:t xml:space="preserve">Best communication style</w:t>
            </w:r>
          </w:p>
        </w:tc>
        <w:tc>
          <w:tcPr/>
          <w:p>
            <w:pPr>
              <w:pStyle w:val="Compact"/>
            </w:pPr>
            <w:r>
              <w:t xml:space="preserve">Best intervention focus</w:t>
            </w:r>
          </w:p>
        </w:tc>
        <w:tc>
          <w:tcPr/>
          <w:p>
            <w:pPr>
              <w:pStyle w:val="Compact"/>
            </w:pPr>
            <w:r>
              <w:t xml:space="preserve">Avoid</w:t>
            </w:r>
          </w:p>
        </w:tc>
        <w:tc>
          <w:tcPr/>
          <w:p>
            <w:pPr>
              <w:pStyle w:val="Compact"/>
            </w:pPr>
            <w:r>
              <w:t xml:space="preserve">Signs of progress</w:t>
            </w:r>
          </w:p>
        </w:tc>
      </w:tr>
      <w:tr>
        <w:tc>
          <w:tcPr/>
          <w:p>
            <w:pPr>
              <w:pStyle w:val="Compact"/>
            </w:pPr>
            <w:r>
              <w:rPr>
                <w:b/>
                <w:bCs/>
              </w:rPr>
              <w:t xml:space="preserve">Precontemplation</w:t>
            </w:r>
          </w:p>
        </w:tc>
        <w:tc>
          <w:tcPr/>
          <w:p>
            <w:pPr>
              <w:pStyle w:val="Compact"/>
            </w:pPr>
            <w:r>
              <w:t xml:space="preserve">Curious, non-judgmental, permission-based</w:t>
            </w:r>
          </w:p>
        </w:tc>
        <w:tc>
          <w:tcPr/>
          <w:p>
            <w:pPr>
              <w:pStyle w:val="Compact"/>
            </w:pPr>
            <w:r>
              <w:t xml:space="preserve">Build trust; explore the function of the behaviour; offer feedback only with permission; use harm reduction if needed</w:t>
            </w:r>
          </w:p>
        </w:tc>
        <w:tc>
          <w:tcPr/>
          <w:p>
            <w:pPr>
              <w:pStyle w:val="Compact"/>
            </w:pPr>
            <w:r>
              <w:t xml:space="preserve">Lecturing, diagnosing motives, forcing commitment</w:t>
            </w:r>
          </w:p>
        </w:tc>
        <w:tc>
          <w:tcPr/>
          <w:p>
            <w:pPr>
              <w:pStyle w:val="Compact"/>
            </w:pPr>
            <w:r>
              <w:t xml:space="preserve">More openness, less defensiveness, curiosity about consequences</w:t>
            </w:r>
            <w:r>
              <w:t xml:space="preserve"> </w:t>
            </w:r>
            <w:hyperlink r:id="rId21">
              <w:r>
                <w:rPr>
                  <w:rStyle w:val="Hyperlink"/>
                </w:rPr>
                <w:t xml:space="preserve">[50]</w:t>
              </w:r>
            </w:hyperlink>
          </w:p>
        </w:tc>
      </w:tr>
      <w:tr>
        <w:tc>
          <w:tcPr/>
          <w:p>
            <w:pPr>
              <w:pStyle w:val="Compact"/>
            </w:pPr>
            <w:r>
              <w:rPr>
                <w:b/>
                <w:bCs/>
              </w:rPr>
              <w:t xml:space="preserve">Contemplation</w:t>
            </w:r>
          </w:p>
        </w:tc>
        <w:tc>
          <w:tcPr/>
          <w:p>
            <w:pPr>
              <w:pStyle w:val="Compact"/>
            </w:pPr>
            <w:r>
              <w:t xml:space="preserve">Reflective, discrepancy-evoking</w:t>
            </w:r>
          </w:p>
        </w:tc>
        <w:tc>
          <w:tcPr/>
          <w:p>
            <w:pPr>
              <w:pStyle w:val="Compact"/>
            </w:pPr>
            <w:r>
              <w:t xml:space="preserve">Decisional balance; values clarification; explore ambivalence; elicit change talk</w:t>
            </w:r>
          </w:p>
        </w:tc>
        <w:tc>
          <w:tcPr/>
          <w:p>
            <w:pPr>
              <w:pStyle w:val="Compact"/>
            </w:pPr>
            <w:r>
              <w:t xml:space="preserve">Rushing plans before conviction exists</w:t>
            </w:r>
          </w:p>
        </w:tc>
        <w:tc>
          <w:tcPr/>
          <w:p>
            <w:pPr>
              <w:pStyle w:val="Compact"/>
            </w:pPr>
            <w:r>
              <w:t xml:space="preserve">“Maybe I need to do something”; clearer reasons for change</w:t>
            </w:r>
            <w:r>
              <w:t xml:space="preserve"> </w:t>
            </w:r>
            <w:hyperlink r:id="rId21">
              <w:r>
                <w:rPr>
                  <w:rStyle w:val="Hyperlink"/>
                </w:rPr>
                <w:t xml:space="preserve">[51]</w:t>
              </w:r>
            </w:hyperlink>
          </w:p>
        </w:tc>
      </w:tr>
      <w:tr>
        <w:tc>
          <w:tcPr/>
          <w:p>
            <w:pPr>
              <w:pStyle w:val="Compact"/>
            </w:pPr>
            <w:r>
              <w:rPr>
                <w:b/>
                <w:bCs/>
              </w:rPr>
              <w:t xml:space="preserve">Preparation</w:t>
            </w:r>
          </w:p>
        </w:tc>
        <w:tc>
          <w:tcPr/>
          <w:p>
            <w:pPr>
              <w:pStyle w:val="Compact"/>
            </w:pPr>
            <w:r>
              <w:t xml:space="preserve">Collaborative and concrete</w:t>
            </w:r>
          </w:p>
        </w:tc>
        <w:tc>
          <w:tcPr/>
          <w:p>
            <w:pPr>
              <w:pStyle w:val="Compact"/>
            </w:pPr>
            <w:r>
              <w:t xml:space="preserve">Choose one priority behaviour; set a specific first step; implementation intentions; reduce friction; arrange support</w:t>
            </w:r>
          </w:p>
        </w:tc>
        <w:tc>
          <w:tcPr/>
          <w:p>
            <w:pPr>
              <w:pStyle w:val="Compact"/>
            </w:pPr>
            <w:r>
              <w:t xml:space="preserve">Vague goals, over-ambition, changing everything at once</w:t>
            </w:r>
          </w:p>
        </w:tc>
        <w:tc>
          <w:tcPr/>
          <w:p>
            <w:pPr>
              <w:pStyle w:val="Compact"/>
            </w:pPr>
            <w:r>
              <w:t xml:space="preserve">Specific plan, start date, confidence rise, environmental adjustments</w:t>
            </w:r>
            <w:r>
              <w:t xml:space="preserve"> </w:t>
            </w:r>
            <w:hyperlink r:id="rId25">
              <w:r>
                <w:rPr>
                  <w:rStyle w:val="Hyperlink"/>
                </w:rPr>
                <w:t xml:space="preserve">[52]</w:t>
              </w:r>
            </w:hyperlink>
          </w:p>
        </w:tc>
      </w:tr>
      <w:tr>
        <w:tc>
          <w:tcPr/>
          <w:p>
            <w:pPr>
              <w:pStyle w:val="Compact"/>
            </w:pPr>
            <w:r>
              <w:rPr>
                <w:b/>
                <w:bCs/>
              </w:rPr>
              <w:t xml:space="preserve">Action</w:t>
            </w:r>
          </w:p>
        </w:tc>
        <w:tc>
          <w:tcPr/>
          <w:p>
            <w:pPr>
              <w:pStyle w:val="Compact"/>
            </w:pPr>
            <w:r>
              <w:t xml:space="preserve">Coaching plus troubleshooting</w:t>
            </w:r>
          </w:p>
        </w:tc>
        <w:tc>
          <w:tcPr/>
          <w:p>
            <w:pPr>
              <w:pStyle w:val="Compact"/>
            </w:pPr>
            <w:r>
              <w:t xml:space="preserve">Self-monitoring; reinforce effort; problem-solve barriers; add medication/CM/skills if indicated</w:t>
            </w:r>
          </w:p>
        </w:tc>
        <w:tc>
          <w:tcPr/>
          <w:p>
            <w:pPr>
              <w:pStyle w:val="Compact"/>
            </w:pPr>
            <w:r>
              <w:t xml:space="preserve">Assuming motivation will carry the process by itself</w:t>
            </w:r>
          </w:p>
        </w:tc>
        <w:tc>
          <w:tcPr/>
          <w:p>
            <w:pPr>
              <w:pStyle w:val="Compact"/>
            </w:pPr>
            <w:r>
              <w:t xml:space="preserve">Repeated behaviour performance, early wins, increasing self-efficacy</w:t>
            </w:r>
            <w:r>
              <w:t xml:space="preserve"> </w:t>
            </w:r>
            <w:hyperlink r:id="rId26">
              <w:r>
                <w:rPr>
                  <w:rStyle w:val="Hyperlink"/>
                </w:rPr>
                <w:t xml:space="preserve">[53]</w:t>
              </w:r>
            </w:hyperlink>
          </w:p>
        </w:tc>
      </w:tr>
      <w:tr>
        <w:tc>
          <w:tcPr/>
          <w:p>
            <w:pPr>
              <w:pStyle w:val="Compact"/>
            </w:pPr>
            <w:r>
              <w:rPr>
                <w:b/>
                <w:bCs/>
              </w:rPr>
              <w:t xml:space="preserve">Maintenance</w:t>
            </w:r>
          </w:p>
        </w:tc>
        <w:tc>
          <w:tcPr/>
          <w:p>
            <w:pPr>
              <w:pStyle w:val="Compact"/>
            </w:pPr>
            <w:r>
              <w:t xml:space="preserve">Identity- and context-focused</w:t>
            </w:r>
          </w:p>
        </w:tc>
        <w:tc>
          <w:tcPr/>
          <w:p>
            <w:pPr>
              <w:pStyle w:val="Compact"/>
            </w:pPr>
            <w:r>
              <w:t xml:space="preserve">Habit strengthening; relapse prevention; identity integration; social reinforcement; periodic review</w:t>
            </w:r>
          </w:p>
        </w:tc>
        <w:tc>
          <w:tcPr/>
          <w:p>
            <w:pPr>
              <w:pStyle w:val="Compact"/>
            </w:pPr>
            <w:r>
              <w:t xml:space="preserve">Complacency, removing supports too early</w:t>
            </w:r>
          </w:p>
        </w:tc>
        <w:tc>
          <w:tcPr/>
          <w:p>
            <w:pPr>
              <w:pStyle w:val="Compact"/>
            </w:pPr>
            <w:r>
              <w:t xml:space="preserve">New routines feel more normal; fewer deliberate decisions needed</w:t>
            </w:r>
            <w:r>
              <w:t xml:space="preserve"> </w:t>
            </w:r>
            <w:hyperlink r:id="rId31">
              <w:r>
                <w:rPr>
                  <w:rStyle w:val="Hyperlink"/>
                </w:rPr>
                <w:t xml:space="preserve">[54]</w:t>
              </w:r>
            </w:hyperlink>
          </w:p>
        </w:tc>
      </w:tr>
      <w:tr>
        <w:tc>
          <w:tcPr/>
          <w:p>
            <w:pPr>
              <w:pStyle w:val="Compact"/>
            </w:pPr>
            <w:r>
              <w:rPr>
                <w:b/>
                <w:bCs/>
              </w:rPr>
              <w:t xml:space="preserve">Relapse or slip</w:t>
            </w:r>
          </w:p>
        </w:tc>
        <w:tc>
          <w:tcPr/>
          <w:p>
            <w:pPr>
              <w:pStyle w:val="Compact"/>
            </w:pPr>
            <w:r>
              <w:t xml:space="preserve">Compassionate, analytical, non-catastrophising</w:t>
            </w:r>
          </w:p>
        </w:tc>
        <w:tc>
          <w:tcPr/>
          <w:p>
            <w:pPr>
              <w:pStyle w:val="Compact"/>
            </w:pPr>
            <w:r>
              <w:t xml:space="preserve">Functional analysis of what happened; restore safety; revise plan; shrink the next step; preserve self-efficacy</w:t>
            </w:r>
          </w:p>
        </w:tc>
        <w:tc>
          <w:tcPr/>
          <w:p>
            <w:pPr>
              <w:pStyle w:val="Compact"/>
            </w:pPr>
            <w:r>
              <w:t xml:space="preserve">Shame, starting over from zero, treating lapse as proof of failure</w:t>
            </w:r>
          </w:p>
        </w:tc>
        <w:tc>
          <w:tcPr/>
          <w:p>
            <w:pPr>
              <w:pStyle w:val="Compact"/>
            </w:pPr>
            <w:r>
              <w:t xml:space="preserve">Faster recovery, more accurate trigger awareness, better plan fit</w:t>
            </w:r>
            <w:r>
              <w:t xml:space="preserve"> </w:t>
            </w:r>
            <w:hyperlink r:id="rId36">
              <w:r>
                <w:rPr>
                  <w:rStyle w:val="Hyperlink"/>
                </w:rPr>
                <w:t xml:space="preserve">[55]</w:t>
              </w:r>
            </w:hyperlink>
          </w:p>
        </w:tc>
      </w:tr>
    </w:tbl>
    <w:bookmarkEnd w:id="53"/>
    <w:bookmarkEnd w:id="54"/>
    <w:bookmarkStart w:id="57" w:name="Xe488afc7381426183dff4d9ccf48e0de6b90601"/>
    <w:p>
      <w:pPr>
        <w:pStyle w:val="Heading2"/>
      </w:pPr>
      <w:r>
        <w:t xml:space="preserve">Body, emotion, relationships, and environment</w:t>
      </w:r>
    </w:p>
    <w:p>
      <w:pPr>
        <w:pStyle w:val="FirstParagraph"/>
      </w:pPr>
      <w:r>
        <w:t xml:space="preserve">A large share of unhealthy behaviour is sustained not only by psychology but by</w:t>
      </w:r>
      <w:r>
        <w:t xml:space="preserve"> </w:t>
      </w:r>
      <w:r>
        <w:rPr>
          <w:b/>
          <w:bCs/>
        </w:rPr>
        <w:t xml:space="preserve">state-dependent biology</w:t>
      </w:r>
      <w:r>
        <w:t xml:space="preserve">. Chronic stress impairs executive functions linked to the prefrontal cortex, including working memory, inhibition, attention, and cognitive flexibility. Sleep deprivation increases impulsivity, emotional dysregulation, and risk-taking. Allostatic load describes the cumulative wear-and-tear produced by repeated or prolonged stress activation. Trauma is associated with higher allostatic load and can bias behaviour toward threat management, avoidance, and immediate relief. This is why people under chronic strain often do not need a sermon about priorities; they need restoration of the physiology that makes prioritisation possible.</w:t>
      </w:r>
      <w:r>
        <w:t xml:space="preserve"> </w:t>
      </w:r>
      <w:hyperlink r:id="rId28">
        <w:r>
          <w:rPr>
            <w:rStyle w:val="Hyperlink"/>
          </w:rPr>
          <w:t xml:space="preserve">[56]</w:t>
        </w:r>
      </w:hyperlink>
    </w:p>
    <w:p>
      <w:pPr>
        <w:pStyle w:val="BodyText"/>
      </w:pPr>
      <w:r>
        <w:t xml:space="preserve">In addiction, the neuroscience is well established at a high level and often oversold in its details. What is solid: addictive behaviour involves dysregulation in reward, conditioning, habit, motivation, and executive-control circuits; drug-associated cues can powerfully trigger craving and relapse; and repeated use can shift behaviour from goal-directed to habitual or compulsive responding in at least a subset of individuals. What is</w:t>
      </w:r>
      <w:r>
        <w:t xml:space="preserve"> </w:t>
      </w:r>
      <w:r>
        <w:rPr>
          <w:b/>
          <w:bCs/>
        </w:rPr>
        <w:t xml:space="preserve">not</w:t>
      </w:r>
      <w:r>
        <w:t xml:space="preserve"> </w:t>
      </w:r>
      <w:r>
        <w:t xml:space="preserve">well supported is the popular simplification that addiction is “just dopamine.” Dopamine and reward prediction error matter, but the clinically relevant picture is broader: cue learning, habit circuitry, salience, stress systems, and weakened executive control all contribute.</w:t>
      </w:r>
      <w:r>
        <w:t xml:space="preserve"> </w:t>
      </w:r>
      <w:hyperlink r:id="rId55">
        <w:r>
          <w:rPr>
            <w:rStyle w:val="Hyperlink"/>
          </w:rPr>
          <w:t xml:space="preserve">[57]</w:t>
        </w:r>
      </w:hyperlink>
    </w:p>
    <w:p>
      <w:pPr>
        <w:pStyle w:val="BodyText"/>
      </w:pPr>
      <w:r>
        <w:t xml:space="preserve">Memory reconsolidation is a good example of where the science is promising but not yet ready for routine behavioural claims. Basic and translational work suggests maladaptive cue-drug memories may be updatable under certain retrieval and prediction-error conditions, and this has clear therapeutic potential. But procedure sensitivity, mixed retrieval-extinction findings, and uncertain translation mean it should still be treated as</w:t>
      </w:r>
      <w:r>
        <w:t xml:space="preserve"> </w:t>
      </w:r>
      <w:r>
        <w:rPr>
          <w:b/>
          <w:bCs/>
        </w:rPr>
        <w:t xml:space="preserve">emerging</w:t>
      </w:r>
      <w:r>
        <w:t xml:space="preserve">, not a general-purpose explanation for everyday coaching change.</w:t>
      </w:r>
      <w:r>
        <w:t xml:space="preserve"> </w:t>
      </w:r>
      <w:hyperlink r:id="rId56">
        <w:r>
          <w:rPr>
            <w:rStyle w:val="Hyperlink"/>
          </w:rPr>
          <w:t xml:space="preserve">[58]</w:t>
        </w:r>
      </w:hyperlink>
    </w:p>
    <w:p>
      <w:pPr>
        <w:pStyle w:val="BodyText"/>
      </w:pPr>
      <w:r>
        <w:t xml:space="preserve">Emotion is not a side issue. It is often the engine of the whole process. Hope, relief, curiosity, self-compassion, belonging, and meaning usually facilitate exploration, persistence, and recovery from setbacks. Shame, hopelessness, and harsh self-judgment more often narrow attention, promote avoidance, and strengthen identity fusion with the problem. The evidence on stigma, experiential avoidance, and addiction supports the same conclusion: people tend not to heal when every setback becomes evidence that they are broken.</w:t>
      </w:r>
      <w:r>
        <w:t xml:space="preserve"> </w:t>
      </w:r>
      <w:hyperlink r:id="rId48">
        <w:r>
          <w:rPr>
            <w:rStyle w:val="Hyperlink"/>
          </w:rPr>
          <w:t xml:space="preserve">[59]</w:t>
        </w:r>
      </w:hyperlink>
    </w:p>
    <w:p>
      <w:pPr>
        <w:pStyle w:val="BodyText"/>
      </w:pPr>
      <w:r>
        <w:t xml:space="preserve">Relationships and environments matter because behaviour is socially and physically scaffolded. Peer support helps with complex, sustained behaviours that professionals alone often struggle to support continuously. Group-based interventions can strengthen belonging, accountability, and self-management. Social prescribing is increasingly used to reconnect people with community resources that address loneliness, meaning, practical need, and social participation, though the evaluation literature is still heterogeneous. Choice architecture and nudges can help, especially for one-off or low-effort behaviours, but their effects are context-dependent and usually insufficient without broader motivation and capability support.</w:t>
      </w:r>
      <w:r>
        <w:t xml:space="preserve"> </w:t>
      </w:r>
      <w:hyperlink r:id="rId40">
        <w:r>
          <w:rPr>
            <w:rStyle w:val="Hyperlink"/>
          </w:rPr>
          <w:t xml:space="preserve">[60]</w:t>
        </w:r>
      </w:hyperlink>
    </w:p>
    <w:p>
      <w:pPr>
        <w:pStyle w:val="BodyText"/>
      </w:pPr>
      <w:r>
        <w:t xml:space="preserve">Digital environments can support change when they do more than nag. The better evidence points toward self-monitoring, prompts/cues, goal setting, action planning, personalization, credible guidance, and sometimes human coaching layered onto the digital tool. The weaker digital interventions are the ones that try to substitute notifications for relationship, context fit, or behavioural design.</w:t>
      </w:r>
      <w:r>
        <w:t xml:space="preserve"> </w:t>
      </w:r>
      <w:hyperlink r:id="rId41">
        <w:r>
          <w:rPr>
            <w:rStyle w:val="Hyperlink"/>
          </w:rPr>
          <w:t xml:space="preserve">[61]</w:t>
        </w:r>
      </w:hyperlink>
    </w:p>
    <w:bookmarkEnd w:id="57"/>
    <w:bookmarkStart w:id="61" w:name="X68303210f5f0b2eb1cd088343e47bfdd53400b0"/>
    <w:p>
      <w:pPr>
        <w:pStyle w:val="Heading2"/>
      </w:pPr>
      <w:r>
        <w:t xml:space="preserve">Ethical coaching protocol and implications for executive healthspan and O!Sapiens</w:t>
      </w:r>
    </w:p>
    <w:p>
      <w:pPr>
        <w:pStyle w:val="FirstParagraph"/>
      </w:pPr>
      <w:r>
        <w:t xml:space="preserve">Ethical behaviour-change support should be organised around a few non-negotiables: respect autonomy, reduce shame, assume the behaviour serves a function, distinguish motivation from capacity, use harm reduction when needed, and escalate to clinical care when risk or disorder severity exceeds coaching scope. MI, SDT, harm reduction, and behaviour-change guidelines all converge on these principles.</w:t>
      </w:r>
      <w:r>
        <w:t xml:space="preserve"> </w:t>
      </w:r>
      <w:hyperlink r:id="rId21">
        <w:r>
          <w:rPr>
            <w:rStyle w:val="Hyperlink"/>
          </w:rPr>
          <w:t xml:space="preserve">[62]</w:t>
        </w:r>
      </w:hyperlink>
    </w:p>
    <w:bookmarkStart w:id="60" w:name="Xe349d5af3afd8139c133a5a66464bbfb981d683"/>
    <w:p>
      <w:pPr>
        <w:pStyle w:val="Heading3"/>
      </w:pPr>
      <w:r>
        <w:t xml:space="preserve">A practical coaching conversation 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Aim</w:t>
            </w:r>
          </w:p>
        </w:tc>
        <w:tc>
          <w:tcPr/>
          <w:p>
            <w:pPr>
              <w:pStyle w:val="Compact"/>
            </w:pPr>
            <w:r>
              <w:t xml:space="preserve">Example prompts</w:t>
            </w:r>
          </w:p>
        </w:tc>
      </w:tr>
      <w:tr>
        <w:tc>
          <w:tcPr/>
          <w:p>
            <w:pPr>
              <w:pStyle w:val="Compact"/>
            </w:pPr>
            <w:r>
              <w:rPr>
                <w:b/>
                <w:bCs/>
              </w:rPr>
              <w:t xml:space="preserve">Engage</w:t>
            </w:r>
          </w:p>
        </w:tc>
        <w:tc>
          <w:tcPr/>
          <w:p>
            <w:pPr>
              <w:pStyle w:val="Compact"/>
            </w:pPr>
            <w:r>
              <w:t xml:space="preserve">Create safety and reduce reactance</w:t>
            </w:r>
          </w:p>
        </w:tc>
        <w:tc>
          <w:tcPr/>
          <w:p>
            <w:pPr>
              <w:pStyle w:val="Compact"/>
            </w:pPr>
            <w:r>
              <w:t xml:space="preserve">“Would it be okay if we explored this together?” “What feels most important to talk about today?”</w:t>
            </w:r>
            <w:r>
              <w:t xml:space="preserve"> </w:t>
            </w:r>
            <w:hyperlink r:id="rId21">
              <w:r>
                <w:rPr>
                  <w:rStyle w:val="Hyperlink"/>
                </w:rPr>
                <w:t xml:space="preserve">[36]</w:t>
              </w:r>
            </w:hyperlink>
          </w:p>
        </w:tc>
      </w:tr>
      <w:tr>
        <w:tc>
          <w:tcPr/>
          <w:p>
            <w:pPr>
              <w:pStyle w:val="Compact"/>
            </w:pPr>
            <w:r>
              <w:rPr>
                <w:b/>
                <w:bCs/>
              </w:rPr>
              <w:t xml:space="preserve">Understand the function of the behaviour</w:t>
            </w:r>
          </w:p>
        </w:tc>
        <w:tc>
          <w:tcPr/>
          <w:p>
            <w:pPr>
              <w:pStyle w:val="Compact"/>
            </w:pPr>
            <w:r>
              <w:t xml:space="preserve">Find the need the behaviour is serving</w:t>
            </w:r>
          </w:p>
        </w:tc>
        <w:tc>
          <w:tcPr/>
          <w:p>
            <w:pPr>
              <w:pStyle w:val="Compact"/>
            </w:pPr>
            <w:r>
              <w:t xml:space="preserve">“What does this behaviour do for you in the moment?” “What problem is it helping you solve?”</w:t>
            </w:r>
            <w:r>
              <w:t xml:space="preserve"> </w:t>
            </w:r>
            <w:hyperlink r:id="rId58">
              <w:r>
                <w:rPr>
                  <w:rStyle w:val="Hyperlink"/>
                </w:rPr>
                <w:t xml:space="preserve">[63]</w:t>
              </w:r>
            </w:hyperlink>
          </w:p>
        </w:tc>
      </w:tr>
      <w:tr>
        <w:tc>
          <w:tcPr/>
          <w:p>
            <w:pPr>
              <w:pStyle w:val="Compact"/>
            </w:pPr>
            <w:r>
              <w:rPr>
                <w:b/>
                <w:bCs/>
              </w:rPr>
              <w:t xml:space="preserve">Assess readiness, capacity, and opportunity separately</w:t>
            </w:r>
          </w:p>
        </w:tc>
        <w:tc>
          <w:tcPr/>
          <w:p>
            <w:pPr>
              <w:pStyle w:val="Compact"/>
            </w:pPr>
            <w:r>
              <w:t xml:space="preserve">Avoid mistaking exhaustion or constraint for apathy</w:t>
            </w:r>
          </w:p>
        </w:tc>
        <w:tc>
          <w:tcPr/>
          <w:p>
            <w:pPr>
              <w:pStyle w:val="Compact"/>
            </w:pPr>
            <w:r>
              <w:t xml:space="preserve">“How much do you want this to change?” “How able do you feel to act right now?” “What in your environment makes this hard?”</w:t>
            </w:r>
            <w:r>
              <w:t xml:space="preserve"> </w:t>
            </w:r>
            <w:hyperlink r:id="rId30">
              <w:r>
                <w:rPr>
                  <w:rStyle w:val="Hyperlink"/>
                </w:rPr>
                <w:t xml:space="preserve">[64]</w:t>
              </w:r>
            </w:hyperlink>
          </w:p>
        </w:tc>
      </w:tr>
      <w:tr>
        <w:tc>
          <w:tcPr/>
          <w:p>
            <w:pPr>
              <w:pStyle w:val="Compact"/>
            </w:pPr>
            <w:r>
              <w:rPr>
                <w:b/>
                <w:bCs/>
              </w:rPr>
              <w:t xml:space="preserve">Clarify values and discrepancy</w:t>
            </w:r>
          </w:p>
        </w:tc>
        <w:tc>
          <w:tcPr/>
          <w:p>
            <w:pPr>
              <w:pStyle w:val="Compact"/>
            </w:pPr>
            <w:r>
              <w:t xml:space="preserve">Connect change to identity and meaning</w:t>
            </w:r>
          </w:p>
        </w:tc>
        <w:tc>
          <w:tcPr/>
          <w:p>
            <w:pPr>
              <w:pStyle w:val="Compact"/>
            </w:pPr>
            <w:r>
              <w:t xml:space="preserve">“What matters most that this is getting in the way of?” “Who do you want to be in this area of life?”</w:t>
            </w:r>
            <w:r>
              <w:t xml:space="preserve"> </w:t>
            </w:r>
            <w:hyperlink r:id="rId21">
              <w:r>
                <w:rPr>
                  <w:rStyle w:val="Hyperlink"/>
                </w:rPr>
                <w:t xml:space="preserve">[36]</w:t>
              </w:r>
            </w:hyperlink>
          </w:p>
        </w:tc>
      </w:tr>
      <w:tr>
        <w:tc>
          <w:tcPr/>
          <w:p>
            <w:pPr>
              <w:pStyle w:val="Compact"/>
            </w:pPr>
            <w:r>
              <w:rPr>
                <w:b/>
                <w:bCs/>
              </w:rPr>
              <w:t xml:space="preserve">Elicit change talk</w:t>
            </w:r>
          </w:p>
        </w:tc>
        <w:tc>
          <w:tcPr/>
          <w:p>
            <w:pPr>
              <w:pStyle w:val="Compact"/>
            </w:pPr>
            <w:r>
              <w:t xml:space="preserve">Strengthen self-authored motivation</w:t>
            </w:r>
          </w:p>
        </w:tc>
        <w:tc>
          <w:tcPr/>
          <w:p>
            <w:pPr>
              <w:pStyle w:val="Compact"/>
            </w:pPr>
            <w:r>
              <w:t xml:space="preserve">“What worries you most if nothing changes?” “If you did make a change, what benefits would matter most?”</w:t>
            </w:r>
            <w:r>
              <w:t xml:space="preserve"> </w:t>
            </w:r>
            <w:hyperlink r:id="rId45">
              <w:r>
                <w:rPr>
                  <w:rStyle w:val="Hyperlink"/>
                </w:rPr>
                <w:t xml:space="preserve">[65]</w:t>
              </w:r>
            </w:hyperlink>
          </w:p>
        </w:tc>
      </w:tr>
      <w:tr>
        <w:tc>
          <w:tcPr/>
          <w:p>
            <w:pPr>
              <w:pStyle w:val="Compact"/>
            </w:pPr>
            <w:r>
              <w:rPr>
                <w:b/>
                <w:bCs/>
              </w:rPr>
              <w:t xml:space="preserve">Build efficacy</w:t>
            </w:r>
          </w:p>
        </w:tc>
        <w:tc>
          <w:tcPr/>
          <w:p>
            <w:pPr>
              <w:pStyle w:val="Compact"/>
            </w:pPr>
            <w:r>
              <w:t xml:space="preserve">Make change feel possible</w:t>
            </w:r>
          </w:p>
        </w:tc>
        <w:tc>
          <w:tcPr/>
          <w:p>
            <w:pPr>
              <w:pStyle w:val="Compact"/>
            </w:pPr>
            <w:r>
              <w:t xml:space="preserve">“What is one step small enough that you could do it even on a hard day?” “When have you handled something like this before?”</w:t>
            </w:r>
            <w:r>
              <w:t xml:space="preserve"> </w:t>
            </w:r>
            <w:hyperlink r:id="rId24">
              <w:r>
                <w:rPr>
                  <w:rStyle w:val="Hyperlink"/>
                </w:rPr>
                <w:t xml:space="preserve">[66]</w:t>
              </w:r>
            </w:hyperlink>
          </w:p>
        </w:tc>
      </w:tr>
      <w:tr>
        <w:tc>
          <w:tcPr/>
          <w:p>
            <w:pPr>
              <w:pStyle w:val="Compact"/>
            </w:pPr>
            <w:r>
              <w:rPr>
                <w:b/>
                <w:bCs/>
              </w:rPr>
              <w:t xml:space="preserve">Plan for action</w:t>
            </w:r>
          </w:p>
        </w:tc>
        <w:tc>
          <w:tcPr/>
          <w:p>
            <w:pPr>
              <w:pStyle w:val="Compact"/>
            </w:pPr>
            <w:r>
              <w:t xml:space="preserve">Convert intention into behaviour</w:t>
            </w:r>
          </w:p>
        </w:tc>
        <w:tc>
          <w:tcPr/>
          <w:p>
            <w:pPr>
              <w:pStyle w:val="Compact"/>
            </w:pPr>
            <w:r>
              <w:t xml:space="preserve">“If it is 10 pm and you want a third drink, then what will you do instead?” “What needs to change in your environment for this to be easier?”</w:t>
            </w:r>
            <w:r>
              <w:t xml:space="preserve"> </w:t>
            </w:r>
            <w:hyperlink r:id="rId25">
              <w:r>
                <w:rPr>
                  <w:rStyle w:val="Hyperlink"/>
                </w:rPr>
                <w:t xml:space="preserve">[67]</w:t>
              </w:r>
            </w:hyperlink>
          </w:p>
        </w:tc>
      </w:tr>
      <w:tr>
        <w:tc>
          <w:tcPr/>
          <w:p>
            <w:pPr>
              <w:pStyle w:val="Compact"/>
            </w:pPr>
            <w:r>
              <w:rPr>
                <w:b/>
                <w:bCs/>
              </w:rPr>
              <w:t xml:space="preserve">Respond to lapses skilfully</w:t>
            </w:r>
          </w:p>
        </w:tc>
        <w:tc>
          <w:tcPr/>
          <w:p>
            <w:pPr>
              <w:pStyle w:val="Compact"/>
            </w:pPr>
            <w:r>
              <w:t xml:space="preserve">Preserve agency after setback</w:t>
            </w:r>
          </w:p>
        </w:tc>
        <w:tc>
          <w:tcPr/>
          <w:p>
            <w:pPr>
              <w:pStyle w:val="Compact"/>
            </w:pPr>
            <w:r>
              <w:t xml:space="preserve">“What did the lapse teach us?” “What condition was missing: readiness, capacity, support, or design?”</w:t>
            </w:r>
            <w:r>
              <w:t xml:space="preserve"> </w:t>
            </w:r>
            <w:hyperlink r:id="rId36">
              <w:r>
                <w:rPr>
                  <w:rStyle w:val="Hyperlink"/>
                </w:rPr>
                <w:t xml:space="preserve">[55]</w:t>
              </w:r>
            </w:hyperlink>
          </w:p>
        </w:tc>
      </w:tr>
    </w:tbl>
    <w:p>
      <w:pPr>
        <w:pStyle w:val="BodyText"/>
      </w:pPr>
      <w:r>
        <w:t xml:space="preserve">For founders and senior leaders, the evidence suggests that delay around health behaviour change often reflects a specific combination of factors: high external functioning masking depleted internal capacity; professional identities built around sacrifice, stimulation, and invulnerability; environments that reward short-term performance over long-term physiology; and private use of food, alcohol, screens, or work itself as regulation strategies. In that context, intelligence and resources do not automatically help. They can even make rationalisation more sophisticated. This is an inference from stress, executive-function, workplace-culture, and burnout evidence rather than a single direct executive-specific meta-analysis.</w:t>
      </w:r>
      <w:r>
        <w:t xml:space="preserve"> </w:t>
      </w:r>
      <w:hyperlink r:id="rId28">
        <w:r>
          <w:rPr>
            <w:rStyle w:val="Hyperlink"/>
          </w:rPr>
          <w:t xml:space="preserve">[68]</w:t>
        </w:r>
      </w:hyperlink>
    </w:p>
    <w:p>
      <w:pPr>
        <w:pStyle w:val="BodyText"/>
      </w:pPr>
      <w:r>
        <w:t xml:space="preserve">The most promising executive-healthspan interventions are those that fit high-pressure reality rather than pretending it does not exist: brief but regular check-ins; confidential coaching; sleep and stress-load protection as early priorities; one high-leverage behaviour at a time; objective feedback; frictionless defaults in calendar, travel, food, and alcohol environments; identity framing around stewardship and sustained performance; and relapse plans built for travel, launches, crises, and social obligations.</w:t>
      </w:r>
      <w:r>
        <w:t xml:space="preserve"> </w:t>
      </w:r>
      <w:hyperlink r:id="rId59">
        <w:r>
          <w:rPr>
            <w:rStyle w:val="Hyperlink"/>
          </w:rPr>
          <w:t xml:space="preserve">[69]</w:t>
        </w:r>
      </w:hyperlink>
    </w:p>
    <w:p>
      <w:pPr>
        <w:pStyle w:val="BodyText"/>
      </w:pPr>
      <w:r>
        <w:t xml:space="preserve">For</w:t>
      </w:r>
      <w:r>
        <w:t xml:space="preserve"> </w:t>
      </w:r>
      <w:r>
        <w:rPr>
          <w:b/>
          <w:bCs/>
        </w:rPr>
        <w:t xml:space="preserve">O!Sapiens / Sapiens OS Healthspan</w:t>
      </w:r>
      <w:r>
        <w:t xml:space="preserve">, the evidence implies several product and service design principles. Onboarding should assess not just goals, but</w:t>
      </w:r>
      <w:r>
        <w:t xml:space="preserve"> </w:t>
      </w:r>
      <w:r>
        <w:rPr>
          <w:b/>
          <w:bCs/>
        </w:rPr>
        <w:t xml:space="preserve">readiness, capacity, opportunity, and behavioural function</w:t>
      </w:r>
      <w:r>
        <w:t xml:space="preserve">. The system should offer different pathways for “not ready,” “exploring,” “preparing,” “acting,” and “recovering from a slip.” AI messaging should be permission-based, reflective, and non-moralising. Nudges should be paired with personalization, self-monitoring, and clear efficacy support. The platform should privilege small, credible wins, context-aware planning, social reinforcement, and rapid recovery after lapse, while escalating to clinicians when severe depression, trauma, or substance dependence exceeds coaching scope.</w:t>
      </w:r>
      <w:r>
        <w:t xml:space="preserve"> </w:t>
      </w:r>
      <w:hyperlink r:id="rId30">
        <w:r>
          <w:rPr>
            <w:rStyle w:val="Hyperlink"/>
          </w:rPr>
          <w:t xml:space="preserve">[70]</w:t>
        </w:r>
      </w:hyperlink>
    </w:p>
    <w:bookmarkEnd w:id="60"/>
    <w:bookmarkEnd w:id="61"/>
    <w:bookmarkStart w:id="72" w:name="X4bdd66d13435aaeb98f2cafe3fe5226f54df6d7"/>
    <w:p>
      <w:pPr>
        <w:pStyle w:val="Heading2"/>
      </w:pPr>
      <w:r>
        <w:t xml:space="preserve">Integrated framework, key papers, and annotated bibliography</w:t>
      </w:r>
    </w:p>
    <w:bookmarkStart w:id="63" w:name="X7a6dc96e7e46e6fb51c050ad4c0e4447448a14e"/>
    <w:p>
      <w:pPr>
        <w:pStyle w:val="Heading3"/>
      </w:pPr>
      <w:r>
        <w:t xml:space="preserve">The minimum conditions that make healthy change more likely</w:t>
      </w:r>
    </w:p>
    <w:p>
      <w:pPr>
        <w:pStyle w:val="FirstParagraph"/>
      </w:pPr>
      <w:r>
        <w:t xml:space="preserve">The smallest evidence-based explanatory model I would use is this: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What must be present</w:t>
            </w:r>
          </w:p>
        </w:tc>
        <w:tc>
          <w:tcPr/>
          <w:p>
            <w:pPr>
              <w:pStyle w:val="Compact"/>
            </w:pPr>
            <w:r>
              <w:t xml:space="preserve">What it changes</w:t>
            </w:r>
          </w:p>
        </w:tc>
      </w:tr>
      <w:tr>
        <w:tc>
          <w:tcPr/>
          <w:p>
            <w:pPr>
              <w:pStyle w:val="Compact"/>
            </w:pPr>
            <w:r>
              <w:rPr>
                <w:b/>
                <w:bCs/>
              </w:rPr>
              <w:t xml:space="preserve">Readiness</w:t>
            </w:r>
          </w:p>
        </w:tc>
        <w:tc>
          <w:tcPr/>
          <w:p>
            <w:pPr>
              <w:pStyle w:val="Compact"/>
            </w:pPr>
            <w:r>
              <w:t xml:space="preserve">The current pattern feels costly enough to question and personally relevant enough to matter</w:t>
            </w:r>
          </w:p>
        </w:tc>
        <w:tc>
          <w:tcPr/>
          <w:p>
            <w:pPr>
              <w:pStyle w:val="Compact"/>
            </w:pPr>
            <w:r>
              <w:t xml:space="preserve">Opens the door to considering change at all</w:t>
            </w:r>
            <w:r>
              <w:t xml:space="preserve"> </w:t>
            </w:r>
            <w:hyperlink r:id="rId22">
              <w:r>
                <w:rPr>
                  <w:rStyle w:val="Hyperlink"/>
                </w:rPr>
                <w:t xml:space="preserve">[71]</w:t>
              </w:r>
            </w:hyperlink>
          </w:p>
        </w:tc>
      </w:tr>
      <w:tr>
        <w:tc>
          <w:tcPr/>
          <w:p>
            <w:pPr>
              <w:pStyle w:val="Compact"/>
            </w:pPr>
            <w:r>
              <w:rPr>
                <w:b/>
                <w:bCs/>
              </w:rPr>
              <w:t xml:space="preserve">Autonomy</w:t>
            </w:r>
          </w:p>
        </w:tc>
        <w:tc>
          <w:tcPr/>
          <w:p>
            <w:pPr>
              <w:pStyle w:val="Compact"/>
            </w:pPr>
            <w:r>
              <w:t xml:space="preserve">The person experiences choice, ownership, and self-authored reasons</w:t>
            </w:r>
          </w:p>
        </w:tc>
        <w:tc>
          <w:tcPr/>
          <w:p>
            <w:pPr>
              <w:pStyle w:val="Compact"/>
            </w:pPr>
            <w:r>
              <w:t xml:space="preserve">Increases commitment quality and reduces reactance</w:t>
            </w:r>
            <w:r>
              <w:t xml:space="preserve"> </w:t>
            </w:r>
            <w:hyperlink r:id="rId62">
              <w:r>
                <w:rPr>
                  <w:rStyle w:val="Hyperlink"/>
                </w:rPr>
                <w:t xml:space="preserve">[72]</w:t>
              </w:r>
            </w:hyperlink>
          </w:p>
        </w:tc>
      </w:tr>
      <w:tr>
        <w:tc>
          <w:tcPr/>
          <w:p>
            <w:pPr>
              <w:pStyle w:val="Compact"/>
            </w:pPr>
            <w:r>
              <w:rPr>
                <w:b/>
                <w:bCs/>
              </w:rPr>
              <w:t xml:space="preserve">Safety and capacity</w:t>
            </w:r>
          </w:p>
        </w:tc>
        <w:tc>
          <w:tcPr/>
          <w:p>
            <w:pPr>
              <w:pStyle w:val="Compact"/>
            </w:pPr>
            <w:r>
              <w:t xml:space="preserve">Stress load, sleep loss, trauma burden, withdrawal, or depression are addressed enough to permit self-regulation</w:t>
            </w:r>
          </w:p>
        </w:tc>
        <w:tc>
          <w:tcPr/>
          <w:p>
            <w:pPr>
              <w:pStyle w:val="Compact"/>
            </w:pPr>
            <w:r>
              <w:t xml:space="preserve">Makes action executable rather than merely desirable</w:t>
            </w:r>
            <w:r>
              <w:t xml:space="preserve"> </w:t>
            </w:r>
            <w:hyperlink r:id="rId28">
              <w:r>
                <w:rPr>
                  <w:rStyle w:val="Hyperlink"/>
                </w:rPr>
                <w:t xml:space="preserve">[73]</w:t>
              </w:r>
            </w:hyperlink>
          </w:p>
        </w:tc>
      </w:tr>
      <w:tr>
        <w:tc>
          <w:tcPr/>
          <w:p>
            <w:pPr>
              <w:pStyle w:val="Compact"/>
            </w:pPr>
            <w:r>
              <w:rPr>
                <w:b/>
                <w:bCs/>
              </w:rPr>
              <w:t xml:space="preserve">Scaffolding</w:t>
            </w:r>
          </w:p>
        </w:tc>
        <w:tc>
          <w:tcPr/>
          <w:p>
            <w:pPr>
              <w:pStyle w:val="Compact"/>
            </w:pPr>
            <w:r>
              <w:t xml:space="preserve">Environment, cues, defaults, tools, and social context support the new behaviour</w:t>
            </w:r>
          </w:p>
        </w:tc>
        <w:tc>
          <w:tcPr/>
          <w:p>
            <w:pPr>
              <w:pStyle w:val="Compact"/>
            </w:pPr>
            <w:r>
              <w:t xml:space="preserve">Lowers friction and increases repetition</w:t>
            </w:r>
            <w:r>
              <w:t xml:space="preserve"> </w:t>
            </w:r>
            <w:hyperlink r:id="rId30">
              <w:r>
                <w:rPr>
                  <w:rStyle w:val="Hyperlink"/>
                </w:rPr>
                <w:t xml:space="preserve">[74]</w:t>
              </w:r>
            </w:hyperlink>
          </w:p>
        </w:tc>
      </w:tr>
      <w:tr>
        <w:tc>
          <w:tcPr/>
          <w:p>
            <w:pPr>
              <w:pStyle w:val="Compact"/>
            </w:pPr>
            <w:r>
              <w:rPr>
                <w:b/>
                <w:bCs/>
              </w:rPr>
              <w:t xml:space="preserve">Identity and habit embedding</w:t>
            </w:r>
          </w:p>
        </w:tc>
        <w:tc>
          <w:tcPr/>
          <w:p>
            <w:pPr>
              <w:pStyle w:val="Compact"/>
            </w:pPr>
            <w:r>
              <w:t xml:space="preserve">Repeated action becomes increasingly normal, automatic, and identity-congruent</w:t>
            </w:r>
          </w:p>
        </w:tc>
        <w:tc>
          <w:tcPr/>
          <w:p>
            <w:pPr>
              <w:pStyle w:val="Compact"/>
            </w:pPr>
            <w:r>
              <w:t xml:space="preserve">Sustains change with less dependence on willpower</w:t>
            </w:r>
            <w:r>
              <w:t xml:space="preserve"> </w:t>
            </w:r>
            <w:hyperlink r:id="rId31">
              <w:r>
                <w:rPr>
                  <w:rStyle w:val="Hyperlink"/>
                </w:rPr>
                <w:t xml:space="preserve">[75]</w:t>
              </w:r>
            </w:hyperlink>
          </w:p>
        </w:tc>
      </w:tr>
      <w:tr>
        <w:tc>
          <w:tcPr/>
          <w:p>
            <w:pPr>
              <w:pStyle w:val="Compact"/>
            </w:pPr>
            <w:r>
              <w:rPr>
                <w:b/>
                <w:bCs/>
              </w:rPr>
              <w:t xml:space="preserve">Compassionate recovery from setbacks</w:t>
            </w:r>
          </w:p>
        </w:tc>
        <w:tc>
          <w:tcPr/>
          <w:p>
            <w:pPr>
              <w:pStyle w:val="Compact"/>
            </w:pPr>
            <w:r>
              <w:t xml:space="preserve">Lapses are analysed, not moralised</w:t>
            </w:r>
          </w:p>
        </w:tc>
        <w:tc>
          <w:tcPr/>
          <w:p>
            <w:pPr>
              <w:pStyle w:val="Compact"/>
            </w:pPr>
            <w:r>
              <w:t xml:space="preserve">Prevents the abstinence-violation effect and preserves agency</w:t>
            </w:r>
            <w:r>
              <w:t xml:space="preserve"> </w:t>
            </w:r>
            <w:hyperlink r:id="rId36">
              <w:r>
                <w:rPr>
                  <w:rStyle w:val="Hyperlink"/>
                </w:rPr>
                <w:t xml:space="preserve">[55]</w:t>
              </w:r>
            </w:hyperlink>
          </w:p>
        </w:tc>
      </w:tr>
    </w:tbl>
    <w:p>
      <w:pPr>
        <w:pStyle w:val="BodyText"/>
      </w:pPr>
      <w:r>
        <w:t xml:space="preserve">Put plainly:</w:t>
      </w:r>
      <w:r>
        <w:t xml:space="preserve"> </w:t>
      </w:r>
      <w:r>
        <w:rPr>
          <w:b/>
          <w:bCs/>
        </w:rPr>
        <w:t xml:space="preserve">people change when change becomes meaningful, self-chosen, possible, easy enough to repeat, socially supported, and forgivable when imperfect</w:t>
      </w:r>
      <w:r>
        <w:t xml:space="preserve">. That is the most compact account that explains most successful behaviour change across the evidence reviewed here.</w:t>
      </w:r>
      <w:r>
        <w:t xml:space="preserve"> </w:t>
      </w:r>
      <w:hyperlink r:id="rId21">
        <w:r>
          <w:rPr>
            <w:rStyle w:val="Hyperlink"/>
          </w:rPr>
          <w:t xml:space="preserve">[76]</w:t>
        </w:r>
      </w:hyperlink>
    </w:p>
    <w:bookmarkEnd w:id="63"/>
    <w:bookmarkStart w:id="65" w:name="key-formulations-and-foundational-papers"/>
    <w:p>
      <w:pPr>
        <w:pStyle w:val="Heading3"/>
      </w:pPr>
      <w:r>
        <w:t xml:space="preserve">Key formulations and foundational papers</w:t>
      </w:r>
    </w:p>
    <w:p>
      <w:pPr>
        <w:pStyle w:val="FirstParagraph"/>
      </w:pPr>
      <w:r>
        <w:t xml:space="preserve">A few formulations have shaped the field and remain highly usable in coaching practice:</w:t>
      </w:r>
    </w:p>
    <w:p>
      <w:pPr>
        <w:pStyle w:val="Compact"/>
        <w:numPr>
          <w:ilvl w:val="0"/>
          <w:numId w:val="1002"/>
        </w:numPr>
      </w:pPr>
      <w:r>
        <w:t xml:space="preserve">MI aims to help people</w:t>
      </w:r>
      <w:r>
        <w:t xml:space="preserve"> </w:t>
      </w:r>
      <w:r>
        <w:rPr>
          <w:b/>
          <w:bCs/>
        </w:rPr>
        <w:t xml:space="preserve">“resolve ambivalence”</w:t>
      </w:r>
      <w:r>
        <w:t xml:space="preserve"> </w:t>
      </w:r>
      <w:r>
        <w:t xml:space="preserve">and strengthen</w:t>
      </w:r>
      <w:r>
        <w:t xml:space="preserve"> </w:t>
      </w:r>
      <w:r>
        <w:rPr>
          <w:b/>
          <w:bCs/>
        </w:rPr>
        <w:t xml:space="preserve">“their own reasons for change.”</w:t>
      </w:r>
      <w:r>
        <w:t xml:space="preserve"> </w:t>
      </w:r>
      <w:hyperlink r:id="rId21">
        <w:r>
          <w:rPr>
            <w:rStyle w:val="Hyperlink"/>
          </w:rPr>
          <w:t xml:space="preserve">[35]</w:t>
        </w:r>
      </w:hyperlink>
    </w:p>
    <w:p>
      <w:pPr>
        <w:pStyle w:val="Compact"/>
        <w:numPr>
          <w:ilvl w:val="0"/>
          <w:numId w:val="1002"/>
        </w:numPr>
      </w:pPr>
      <w:r>
        <w:t xml:space="preserve">SDT argues that durable change depends on</w:t>
      </w:r>
      <w:r>
        <w:t xml:space="preserve"> </w:t>
      </w:r>
      <w:r>
        <w:rPr>
          <w:b/>
          <w:bCs/>
        </w:rPr>
        <w:t xml:space="preserve">autonomy, competence, and relatedness</w:t>
      </w:r>
      <w:r>
        <w:t xml:space="preserve">.</w:t>
      </w:r>
      <w:r>
        <w:t xml:space="preserve"> </w:t>
      </w:r>
      <w:hyperlink r:id="rId64">
        <w:r>
          <w:rPr>
            <w:rStyle w:val="Hyperlink"/>
          </w:rPr>
          <w:t xml:space="preserve">[77]</w:t>
        </w:r>
      </w:hyperlink>
    </w:p>
    <w:p>
      <w:pPr>
        <w:pStyle w:val="Compact"/>
        <w:numPr>
          <w:ilvl w:val="0"/>
          <w:numId w:val="1002"/>
        </w:numPr>
      </w:pPr>
      <w:r>
        <w:t xml:space="preserve">COM-B’s practical core is that behaviour requires</w:t>
      </w:r>
      <w:r>
        <w:t xml:space="preserve"> </w:t>
      </w:r>
      <w:r>
        <w:rPr>
          <w:b/>
          <w:bCs/>
        </w:rPr>
        <w:t xml:space="preserve">capability, opportunity, and motivation</w:t>
      </w:r>
      <w:r>
        <w:t xml:space="preserve">.</w:t>
      </w:r>
      <w:r>
        <w:t xml:space="preserve"> </w:t>
      </w:r>
      <w:hyperlink r:id="rId30">
        <w:r>
          <w:rPr>
            <w:rStyle w:val="Hyperlink"/>
          </w:rPr>
          <w:t xml:space="preserve">[78]</w:t>
        </w:r>
      </w:hyperlink>
    </w:p>
    <w:p>
      <w:pPr>
        <w:pStyle w:val="Compact"/>
        <w:numPr>
          <w:ilvl w:val="0"/>
          <w:numId w:val="1002"/>
        </w:numPr>
      </w:pPr>
      <w:r>
        <w:t xml:space="preserve">Implementation intentions work by specifying</w:t>
      </w:r>
      <w:r>
        <w:t xml:space="preserve"> </w:t>
      </w:r>
      <w:r>
        <w:rPr>
          <w:b/>
          <w:bCs/>
        </w:rPr>
        <w:t xml:space="preserve">if–then plans</w:t>
      </w:r>
      <w:r>
        <w:t xml:space="preserve">.</w:t>
      </w:r>
      <w:r>
        <w:t xml:space="preserve"> </w:t>
      </w:r>
      <w:hyperlink r:id="rId24">
        <w:r>
          <w:rPr>
            <w:rStyle w:val="Hyperlink"/>
          </w:rPr>
          <w:t xml:space="preserve">[16]</w:t>
        </w:r>
      </w:hyperlink>
    </w:p>
    <w:p>
      <w:pPr>
        <w:pStyle w:val="Compact"/>
        <w:numPr>
          <w:ilvl w:val="0"/>
          <w:numId w:val="1002"/>
        </w:numPr>
      </w:pPr>
      <w:r>
        <w:t xml:space="preserve">Harm reduction works by</w:t>
      </w:r>
      <w:r>
        <w:t xml:space="preserve"> </w:t>
      </w:r>
      <w:r>
        <w:rPr>
          <w:b/>
          <w:bCs/>
        </w:rPr>
        <w:t xml:space="preserve">meeting people where they are</w:t>
      </w:r>
      <w:r>
        <w:t xml:space="preserve"> </w:t>
      </w:r>
      <w:r>
        <w:t xml:space="preserve">rather than forcing abstinence as the only acceptable first step.</w:t>
      </w:r>
      <w:r>
        <w:t xml:space="preserve"> </w:t>
      </w:r>
      <w:hyperlink r:id="rId39">
        <w:r>
          <w:rPr>
            <w:rStyle w:val="Hyperlink"/>
          </w:rPr>
          <w:t xml:space="preserve">[79]</w:t>
        </w:r>
      </w:hyperlink>
    </w:p>
    <w:bookmarkEnd w:id="65"/>
    <w:bookmarkStart w:id="70" w:name="annotated-bibliography"/>
    <w:p>
      <w:pPr>
        <w:pStyle w:val="Heading3"/>
      </w:pPr>
      <w:r>
        <w:t xml:space="preserve">Annotated bibliography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Study or review</w:t>
            </w:r>
          </w:p>
        </w:tc>
        <w:tc>
          <w:tcPr/>
          <w:p>
            <w:pPr>
              <w:pStyle w:val="Compact"/>
            </w:pPr>
            <w:r>
              <w:t xml:space="preserve">Why it matters</w:t>
            </w:r>
          </w:p>
        </w:tc>
      </w:tr>
      <w:tr>
        <w:tc>
          <w:tcPr/>
          <w:p>
            <w:pPr>
              <w:pStyle w:val="Compact"/>
            </w:pPr>
            <w:r>
              <w:rPr>
                <w:b/>
                <w:bCs/>
              </w:rPr>
              <w:t xml:space="preserve">Lundahl et al., 2013, meta-analysis of MI in medical care</w:t>
            </w:r>
            <w:r>
              <w:t xml:space="preserve"> </w:t>
            </w:r>
            <w:hyperlink r:id="rId23">
              <w:r>
                <w:rPr>
                  <w:rStyle w:val="Hyperlink"/>
                </w:rPr>
                <w:t xml:space="preserve">[80]</w:t>
              </w:r>
            </w:hyperlink>
          </w:p>
        </w:tc>
        <w:tc>
          <w:tcPr/>
          <w:p>
            <w:pPr>
              <w:pStyle w:val="Compact"/>
            </w:pPr>
            <w:r>
              <w:t xml:space="preserve">Landmark synthesis showing MI has a modest but reliable effect across health behaviours in medical settings and can work in brief encounters.</w:t>
            </w:r>
          </w:p>
        </w:tc>
      </w:tr>
      <w:tr>
        <w:tc>
          <w:tcPr/>
          <w:p>
            <w:pPr>
              <w:pStyle w:val="Compact"/>
            </w:pPr>
            <w:r>
              <w:rPr>
                <w:b/>
                <w:bCs/>
              </w:rPr>
              <w:t xml:space="preserve">Bischof et al., 2021, MI in medical practice review</w:t>
            </w:r>
            <w:r>
              <w:t xml:space="preserve"> </w:t>
            </w:r>
            <w:hyperlink r:id="rId21">
              <w:r>
                <w:rPr>
                  <w:rStyle w:val="Hyperlink"/>
                </w:rPr>
                <w:t xml:space="preserve">[35]</w:t>
              </w:r>
            </w:hyperlink>
          </w:p>
        </w:tc>
        <w:tc>
          <w:tcPr/>
          <w:p>
            <w:pPr>
              <w:pStyle w:val="Compact"/>
            </w:pPr>
            <w:r>
              <w:t xml:space="preserve">Excellent clinically oriented review of MI principles, mechanisms, autonomy, and reactance.</w:t>
            </w:r>
          </w:p>
        </w:tc>
      </w:tr>
      <w:tr>
        <w:tc>
          <w:tcPr/>
          <w:p>
            <w:pPr>
              <w:pStyle w:val="Compact"/>
            </w:pPr>
            <w:r>
              <w:rPr>
                <w:b/>
                <w:bCs/>
              </w:rPr>
              <w:t xml:space="preserve">Magill et al., 2018, MI process meta-analysis</w:t>
            </w:r>
            <w:r>
              <w:t xml:space="preserve"> </w:t>
            </w:r>
            <w:hyperlink r:id="rId45">
              <w:r>
                <w:rPr>
                  <w:rStyle w:val="Hyperlink"/>
                </w:rPr>
                <w:t xml:space="preserve">[81]</w:t>
              </w:r>
            </w:hyperlink>
          </w:p>
        </w:tc>
        <w:tc>
          <w:tcPr/>
          <w:p>
            <w:pPr>
              <w:pStyle w:val="Compact"/>
            </w:pPr>
            <w:r>
              <w:t xml:space="preserve">Important mechanism paper showing sustain talk predicts poorer outcomes and clarifying how MI works in conversation.</w:t>
            </w:r>
          </w:p>
        </w:tc>
      </w:tr>
      <w:tr>
        <w:tc>
          <w:tcPr/>
          <w:p>
            <w:pPr>
              <w:pStyle w:val="Compact"/>
            </w:pPr>
            <w:r>
              <w:rPr>
                <w:b/>
                <w:bCs/>
              </w:rPr>
              <w:t xml:space="preserve">Sheeran et al., 2020, SDT interventions meta-analysis</w:t>
            </w:r>
            <w:r>
              <w:t xml:space="preserve"> </w:t>
            </w:r>
            <w:hyperlink r:id="rId24">
              <w:r>
                <w:rPr>
                  <w:rStyle w:val="Hyperlink"/>
                </w:rPr>
                <w:t xml:space="preserve">[82]</w:t>
              </w:r>
            </w:hyperlink>
          </w:p>
        </w:tc>
        <w:tc>
          <w:tcPr/>
          <w:p>
            <w:pPr>
              <w:pStyle w:val="Compact"/>
            </w:pPr>
            <w:r>
              <w:t xml:space="preserve">Best direct synthesis of SDT-based health interventions; shows small but significant effects mediated by autonomous motivation and perceived competence.</w:t>
            </w:r>
          </w:p>
        </w:tc>
      </w:tr>
      <w:tr>
        <w:tc>
          <w:tcPr/>
          <w:p>
            <w:pPr>
              <w:pStyle w:val="Compact"/>
            </w:pPr>
            <w:r>
              <w:rPr>
                <w:b/>
                <w:bCs/>
              </w:rPr>
              <w:t xml:space="preserve">Ng et al., 2012, SDT applied to health contexts</w:t>
            </w:r>
            <w:r>
              <w:t xml:space="preserve"> </w:t>
            </w:r>
            <w:hyperlink r:id="rId62">
              <w:r>
                <w:rPr>
                  <w:rStyle w:val="Hyperlink"/>
                </w:rPr>
                <w:t xml:space="preserve">[83]</w:t>
              </w:r>
            </w:hyperlink>
          </w:p>
        </w:tc>
        <w:tc>
          <w:tcPr/>
          <w:p>
            <w:pPr>
              <w:pStyle w:val="Compact"/>
            </w:pPr>
            <w:r>
              <w:t xml:space="preserve">Major meta-analysis showing autonomy support, need satisfaction, and autonomous motivation track better health outcomes.</w:t>
            </w:r>
          </w:p>
        </w:tc>
      </w:tr>
      <w:tr>
        <w:tc>
          <w:tcPr/>
          <w:p>
            <w:pPr>
              <w:pStyle w:val="Compact"/>
            </w:pPr>
            <w:r>
              <w:rPr>
                <w:b/>
                <w:bCs/>
              </w:rPr>
              <w:t xml:space="preserve">Michie et al., 2011, Behaviour Change Wheel</w:t>
            </w:r>
            <w:r>
              <w:t xml:space="preserve"> </w:t>
            </w:r>
            <w:hyperlink r:id="rId34">
              <w:r>
                <w:rPr>
                  <w:rStyle w:val="Hyperlink"/>
                </w:rPr>
                <w:t xml:space="preserve">[84]</w:t>
              </w:r>
            </w:hyperlink>
          </w:p>
        </w:tc>
        <w:tc>
          <w:tcPr/>
          <w:p>
            <w:pPr>
              <w:pStyle w:val="Compact"/>
            </w:pPr>
            <w:r>
              <w:t xml:space="preserve">Foundational design framework explaining why diagnosis of capability, opportunity, and motivation is central to intervention design.</w:t>
            </w:r>
          </w:p>
        </w:tc>
      </w:tr>
      <w:tr>
        <w:tc>
          <w:tcPr/>
          <w:p>
            <w:pPr>
              <w:pStyle w:val="Compact"/>
            </w:pPr>
            <w:r>
              <w:rPr>
                <w:b/>
                <w:bCs/>
              </w:rPr>
              <w:t xml:space="preserve">West and Michie, 2020, brief COM-B introduction</w:t>
            </w:r>
            <w:r>
              <w:t xml:space="preserve"> </w:t>
            </w:r>
            <w:hyperlink r:id="rId30">
              <w:r>
                <w:rPr>
                  <w:rStyle w:val="Hyperlink"/>
                </w:rPr>
                <w:t xml:space="preserve">[78]</w:t>
              </w:r>
            </w:hyperlink>
          </w:p>
        </w:tc>
        <w:tc>
          <w:tcPr/>
          <w:p>
            <w:pPr>
              <w:pStyle w:val="Compact"/>
            </w:pPr>
            <w:r>
              <w:t xml:space="preserve">Clear summary of COM-B as a dynamic system and why it is useful for practical intervention design.</w:t>
            </w:r>
          </w:p>
        </w:tc>
      </w:tr>
      <w:tr>
        <w:tc>
          <w:tcPr/>
          <w:p>
            <w:pPr>
              <w:pStyle w:val="Compact"/>
            </w:pPr>
            <w:r>
              <w:rPr>
                <w:b/>
                <w:bCs/>
              </w:rPr>
              <w:t xml:space="preserve">Bridle et al., 2005, TTM effectiveness review</w:t>
            </w:r>
            <w:r>
              <w:t xml:space="preserve"> </w:t>
            </w:r>
            <w:hyperlink r:id="rId35">
              <w:r>
                <w:rPr>
                  <w:rStyle w:val="Hyperlink"/>
                </w:rPr>
                <w:t xml:space="preserve">[85]</w:t>
              </w:r>
            </w:hyperlink>
          </w:p>
        </w:tc>
        <w:tc>
          <w:tcPr/>
          <w:p>
            <w:pPr>
              <w:pStyle w:val="Compact"/>
            </w:pPr>
            <w:r>
              <w:t xml:space="preserve">Essential corrective showing that stage-based interventions have weaker causal support than the model’s popularity implies.</w:t>
            </w:r>
          </w:p>
        </w:tc>
      </w:tr>
      <w:tr>
        <w:tc>
          <w:tcPr/>
          <w:p>
            <w:pPr>
              <w:pStyle w:val="Compact"/>
            </w:pPr>
            <w:r>
              <w:rPr>
                <w:b/>
                <w:bCs/>
              </w:rPr>
              <w:t xml:space="preserve">Hashemzadeh et al., 2019, TTM review</w:t>
            </w:r>
            <w:r>
              <w:t xml:space="preserve"> </w:t>
            </w:r>
            <w:hyperlink r:id="rId66">
              <w:r>
                <w:rPr>
                  <w:rStyle w:val="Hyperlink"/>
                </w:rPr>
                <w:t xml:space="preserve">[86]</w:t>
              </w:r>
            </w:hyperlink>
          </w:p>
        </w:tc>
        <w:tc>
          <w:tcPr/>
          <w:p>
            <w:pPr>
              <w:pStyle w:val="Compact"/>
            </w:pPr>
            <w:r>
              <w:t xml:space="preserve">Useful counterweight showing TTM remains descriptively and practically influential, even if intervention superiority is mixed.</w:t>
            </w:r>
          </w:p>
        </w:tc>
      </w:tr>
      <w:tr>
        <w:tc>
          <w:tcPr/>
          <w:p>
            <w:pPr>
              <w:pStyle w:val="Compact"/>
            </w:pPr>
            <w:r>
              <w:rPr>
                <w:b/>
                <w:bCs/>
              </w:rPr>
              <w:t xml:space="preserve">Krotter et al., 2024, ACT for addictive behaviours</w:t>
            </w:r>
            <w:r>
              <w:t xml:space="preserve"> </w:t>
            </w:r>
            <w:hyperlink r:id="rId37">
              <w:r>
                <w:rPr>
                  <w:rStyle w:val="Hyperlink"/>
                </w:rPr>
                <w:t xml:space="preserve">[24]</w:t>
              </w:r>
            </w:hyperlink>
          </w:p>
        </w:tc>
        <w:tc>
          <w:tcPr/>
          <w:p>
            <w:pPr>
              <w:pStyle w:val="Compact"/>
            </w:pPr>
            <w:r>
              <w:t xml:space="preserve">Best current meta-analysis on ACT in addiction: promising for end-of-treatment and short-term abstinence, uncertain in the long term.</w:t>
            </w:r>
          </w:p>
        </w:tc>
      </w:tr>
      <w:tr>
        <w:tc>
          <w:tcPr/>
          <w:p>
            <w:pPr>
              <w:pStyle w:val="Compact"/>
            </w:pPr>
            <w:r>
              <w:rPr>
                <w:b/>
                <w:bCs/>
              </w:rPr>
              <w:t xml:space="preserve">CBT for lifestyle change in obesity/T2D, 2023</w:t>
            </w:r>
            <w:r>
              <w:t xml:space="preserve"> </w:t>
            </w:r>
            <w:hyperlink r:id="rId36">
              <w:r>
                <w:rPr>
                  <w:rStyle w:val="Hyperlink"/>
                </w:rPr>
                <w:t xml:space="preserve">[23]</w:t>
              </w:r>
            </w:hyperlink>
          </w:p>
        </w:tc>
        <w:tc>
          <w:tcPr/>
          <w:p>
            <w:pPr>
              <w:pStyle w:val="Compact"/>
            </w:pPr>
            <w:r>
              <w:t xml:space="preserve">Supports CBT’s role in implementing and maintaining lifestyle change when habits and cognitions repeatedly derail progress.</w:t>
            </w:r>
          </w:p>
        </w:tc>
      </w:tr>
      <w:tr>
        <w:tc>
          <w:tcPr/>
          <w:p>
            <w:pPr>
              <w:pStyle w:val="Compact"/>
            </w:pPr>
            <w:r>
              <w:rPr>
                <w:b/>
                <w:bCs/>
              </w:rPr>
              <w:t xml:space="preserve">Ginley et al., 2021, long-term contingency management</w:t>
            </w:r>
            <w:r>
              <w:t xml:space="preserve"> </w:t>
            </w:r>
            <w:hyperlink r:id="rId26">
              <w:r>
                <w:rPr>
                  <w:rStyle w:val="Hyperlink"/>
                </w:rPr>
                <w:t xml:space="preserve">[25]</w:t>
              </w:r>
            </w:hyperlink>
          </w:p>
        </w:tc>
        <w:tc>
          <w:tcPr/>
          <w:p>
            <w:pPr>
              <w:pStyle w:val="Compact"/>
            </w:pPr>
            <w:r>
              <w:t xml:space="preserve">Important because it addresses a common criticism of CM and shows benefits can persist after incentives end.</w:t>
            </w:r>
          </w:p>
        </w:tc>
      </w:tr>
      <w:tr>
        <w:tc>
          <w:tcPr/>
          <w:p>
            <w:pPr>
              <w:pStyle w:val="Compact"/>
            </w:pPr>
            <w:r>
              <w:rPr>
                <w:b/>
                <w:bCs/>
              </w:rPr>
              <w:t xml:space="preserve">An and Song, 2020, health coaching meta-analysis</w:t>
            </w:r>
            <w:r>
              <w:t xml:space="preserve"> </w:t>
            </w:r>
            <w:hyperlink r:id="rId38">
              <w:r>
                <w:rPr>
                  <w:rStyle w:val="Hyperlink"/>
                </w:rPr>
                <w:t xml:space="preserve">[26]</w:t>
              </w:r>
            </w:hyperlink>
          </w:p>
        </w:tc>
        <w:tc>
          <w:tcPr/>
          <w:p>
            <w:pPr>
              <w:pStyle w:val="Compact"/>
            </w:pPr>
            <w:r>
              <w:t xml:space="preserve">Best concise synthesis showing health coaching can produce small but meaningful gains in several cardiometabolic behaviours.</w:t>
            </w:r>
          </w:p>
        </w:tc>
      </w:tr>
      <w:tr>
        <w:tc>
          <w:tcPr/>
          <w:p>
            <w:pPr>
              <w:pStyle w:val="Compact"/>
            </w:pPr>
            <w:r>
              <w:rPr>
                <w:b/>
                <w:bCs/>
              </w:rPr>
              <w:t xml:space="preserve">Mair et al., 2023, digital health umbrella review</w:t>
            </w:r>
            <w:r>
              <w:t xml:space="preserve"> </w:t>
            </w:r>
            <w:hyperlink r:id="rId41">
              <w:r>
                <w:rPr>
                  <w:rStyle w:val="Hyperlink"/>
                </w:rPr>
                <w:t xml:space="preserve">[87]</w:t>
              </w:r>
            </w:hyperlink>
          </w:p>
        </w:tc>
        <w:tc>
          <w:tcPr/>
          <w:p>
            <w:pPr>
              <w:pStyle w:val="Compact"/>
            </w:pPr>
            <w:r>
              <w:t xml:space="preserve">Valuable for product design; identifies which digital behaviour-change techniques repeatedly show promise.</w:t>
            </w:r>
          </w:p>
        </w:tc>
      </w:tr>
      <w:tr>
        <w:tc>
          <w:tcPr/>
          <w:p>
            <w:pPr>
              <w:pStyle w:val="Compact"/>
            </w:pPr>
            <w:r>
              <w:rPr>
                <w:b/>
                <w:bCs/>
              </w:rPr>
              <w:t xml:space="preserve">Zhu et al., 2024, digital habit-formation review</w:t>
            </w:r>
            <w:r>
              <w:t xml:space="preserve"> </w:t>
            </w:r>
            <w:hyperlink r:id="rId67">
              <w:r>
                <w:rPr>
                  <w:rStyle w:val="Hyperlink"/>
                </w:rPr>
                <w:t xml:space="preserve">[88]</w:t>
              </w:r>
            </w:hyperlink>
          </w:p>
        </w:tc>
        <w:tc>
          <w:tcPr/>
          <w:p>
            <w:pPr>
              <w:pStyle w:val="Compact"/>
            </w:pPr>
            <w:r>
              <w:t xml:space="preserve">Useful for translating habit science into app and protocol design.</w:t>
            </w:r>
          </w:p>
        </w:tc>
      </w:tr>
      <w:tr>
        <w:tc>
          <w:tcPr/>
          <w:p>
            <w:pPr>
              <w:pStyle w:val="Compact"/>
            </w:pPr>
            <w:r>
              <w:rPr>
                <w:b/>
                <w:bCs/>
              </w:rPr>
              <w:t xml:space="preserve">Singh et al., 2024, time-to-form-a-habit meta-analysis</w:t>
            </w:r>
            <w:r>
              <w:t xml:space="preserve"> </w:t>
            </w:r>
            <w:hyperlink r:id="rId31">
              <w:r>
                <w:rPr>
                  <w:rStyle w:val="Hyperlink"/>
                </w:rPr>
                <w:t xml:space="preserve">[89]</w:t>
              </w:r>
            </w:hyperlink>
          </w:p>
        </w:tc>
        <w:tc>
          <w:tcPr/>
          <w:p>
            <w:pPr>
              <w:pStyle w:val="Compact"/>
            </w:pPr>
            <w:r>
              <w:t xml:space="preserve">Important myth-buster: habits do not reliably form in 21 days and vary greatly by person and behaviour.</w:t>
            </w:r>
          </w:p>
        </w:tc>
      </w:tr>
      <w:tr>
        <w:tc>
          <w:tcPr/>
          <w:p>
            <w:pPr>
              <w:pStyle w:val="Compact"/>
            </w:pPr>
            <w:r>
              <w:rPr>
                <w:b/>
                <w:bCs/>
              </w:rPr>
              <w:t xml:space="preserve">Fisher et al., 2017, peer support review</w:t>
            </w:r>
            <w:r>
              <w:t xml:space="preserve"> </w:t>
            </w:r>
            <w:hyperlink r:id="rId40">
              <w:r>
                <w:rPr>
                  <w:rStyle w:val="Hyperlink"/>
                </w:rPr>
                <w:t xml:space="preserve">[90]</w:t>
              </w:r>
            </w:hyperlink>
          </w:p>
        </w:tc>
        <w:tc>
          <w:tcPr/>
          <w:p>
            <w:pPr>
              <w:pStyle w:val="Compact"/>
            </w:pPr>
            <w:r>
              <w:t xml:space="preserve">Strong rationale for peer and community support with complex sustained behaviours.</w:t>
            </w:r>
          </w:p>
        </w:tc>
      </w:tr>
      <w:tr>
        <w:tc>
          <w:tcPr/>
          <w:p>
            <w:pPr>
              <w:pStyle w:val="Compact"/>
            </w:pPr>
            <w:r>
              <w:rPr>
                <w:b/>
                <w:bCs/>
              </w:rPr>
              <w:t xml:space="preserve">Tran et al., 2024, group-based lifestyle medicine</w:t>
            </w:r>
            <w:r>
              <w:t xml:space="preserve"> </w:t>
            </w:r>
            <w:hyperlink r:id="rId68">
              <w:r>
                <w:rPr>
                  <w:rStyle w:val="Hyperlink"/>
                </w:rPr>
                <w:t xml:space="preserve">[91]</w:t>
              </w:r>
            </w:hyperlink>
          </w:p>
        </w:tc>
        <w:tc>
          <w:tcPr/>
          <w:p>
            <w:pPr>
              <w:pStyle w:val="Compact"/>
            </w:pPr>
            <w:r>
              <w:t xml:space="preserve">Shows why belonging and group process are not “nice extras” but part of the mechanism of change.</w:t>
            </w:r>
          </w:p>
        </w:tc>
      </w:tr>
      <w:tr>
        <w:tc>
          <w:tcPr/>
          <w:p>
            <w:pPr>
              <w:pStyle w:val="Compact"/>
            </w:pPr>
            <w:r>
              <w:rPr>
                <w:b/>
                <w:bCs/>
              </w:rPr>
              <w:t xml:space="preserve">O’Sullivan et al., 2024, social prescribing review</w:t>
            </w:r>
            <w:r>
              <w:t xml:space="preserve"> </w:t>
            </w:r>
            <w:hyperlink r:id="rId42">
              <w:r>
                <w:rPr>
                  <w:rStyle w:val="Hyperlink"/>
                </w:rPr>
                <w:t xml:space="preserve">[92]</w:t>
              </w:r>
            </w:hyperlink>
          </w:p>
        </w:tc>
        <w:tc>
          <w:tcPr/>
          <w:p>
            <w:pPr>
              <w:pStyle w:val="Compact"/>
            </w:pPr>
            <w:r>
              <w:t xml:space="preserve">Good current view of social prescribing: promising, but evaluation quality and consistency still need improvement.</w:t>
            </w:r>
          </w:p>
        </w:tc>
      </w:tr>
      <w:tr>
        <w:tc>
          <w:tcPr/>
          <w:p>
            <w:pPr>
              <w:pStyle w:val="Compact"/>
            </w:pPr>
            <w:r>
              <w:rPr>
                <w:b/>
                <w:bCs/>
              </w:rPr>
              <w:t xml:space="preserve">Salisbury-Afshar et al., 2024, AHRQ harm reduction review</w:t>
            </w:r>
            <w:r>
              <w:t xml:space="preserve"> </w:t>
            </w:r>
            <w:hyperlink r:id="rId39">
              <w:r>
                <w:rPr>
                  <w:rStyle w:val="Hyperlink"/>
                </w:rPr>
                <w:t xml:space="preserve">[79]</w:t>
              </w:r>
            </w:hyperlink>
          </w:p>
        </w:tc>
        <w:tc>
          <w:tcPr/>
          <w:p>
            <w:pPr>
              <w:pStyle w:val="Compact"/>
            </w:pPr>
            <w:r>
              <w:t xml:space="preserve">Clear, practice-oriented summary of why harm reduction is compatible with dignity, safety, and later change.</w:t>
            </w:r>
          </w:p>
        </w:tc>
      </w:tr>
      <w:tr>
        <w:tc>
          <w:tcPr/>
          <w:p>
            <w:pPr>
              <w:pStyle w:val="Compact"/>
            </w:pPr>
            <w:r>
              <w:rPr>
                <w:b/>
                <w:bCs/>
              </w:rPr>
              <w:t xml:space="preserve">Volkow and colleagues, 2011 and 2019, addiction neuroscience reviews</w:t>
            </w:r>
            <w:r>
              <w:t xml:space="preserve"> </w:t>
            </w:r>
            <w:hyperlink r:id="rId69">
              <w:r>
                <w:rPr>
                  <w:rStyle w:val="Hyperlink"/>
                </w:rPr>
                <w:t xml:space="preserve">[93]</w:t>
              </w:r>
            </w:hyperlink>
          </w:p>
        </w:tc>
        <w:tc>
          <w:tcPr/>
          <w:p>
            <w:pPr>
              <w:pStyle w:val="Compact"/>
            </w:pPr>
            <w:r>
              <w:t xml:space="preserve">Foundational for understanding addiction beyond simplistic “bad choices” narratives.</w:t>
            </w:r>
          </w:p>
        </w:tc>
      </w:tr>
      <w:tr>
        <w:tc>
          <w:tcPr/>
          <w:p>
            <w:pPr>
              <w:pStyle w:val="Compact"/>
            </w:pPr>
            <w:r>
              <w:rPr>
                <w:b/>
                <w:bCs/>
              </w:rPr>
              <w:t xml:space="preserve">Girotti et al., 2018, stress and executive function review</w:t>
            </w:r>
            <w:r>
              <w:t xml:space="preserve"> </w:t>
            </w:r>
            <w:hyperlink r:id="rId28">
              <w:r>
                <w:rPr>
                  <w:rStyle w:val="Hyperlink"/>
                </w:rPr>
                <w:t xml:space="preserve">[94]</w:t>
              </w:r>
            </w:hyperlink>
          </w:p>
        </w:tc>
        <w:tc>
          <w:tcPr/>
          <w:p>
            <w:pPr>
              <w:pStyle w:val="Compact"/>
            </w:pPr>
            <w:r>
              <w:t xml:space="preserve">Essential for understanding why behavioural failure under stress is often a capacity problem, not a moral one.</w:t>
            </w:r>
          </w:p>
        </w:tc>
      </w:tr>
      <w:tr>
        <w:tc>
          <w:tcPr/>
          <w:p>
            <w:pPr>
              <w:pStyle w:val="Compact"/>
            </w:pPr>
            <w:r>
              <w:rPr>
                <w:b/>
                <w:bCs/>
              </w:rPr>
              <w:t xml:space="preserve">Tannenbaum et al., 2015, fear appeal meta-analysis</w:t>
            </w:r>
            <w:r>
              <w:t xml:space="preserve"> </w:t>
            </w:r>
            <w:hyperlink r:id="rId51">
              <w:r>
                <w:rPr>
                  <w:rStyle w:val="Hyperlink"/>
                </w:rPr>
                <w:t xml:space="preserve">[95]</w:t>
              </w:r>
            </w:hyperlink>
          </w:p>
        </w:tc>
        <w:tc>
          <w:tcPr/>
          <w:p>
            <w:pPr>
              <w:pStyle w:val="Compact"/>
            </w:pPr>
            <w:r>
              <w:t xml:space="preserve">Important nuance: fear can shift behaviour, but coaching still needs efficacy and autonomy to avoid defensive effects.</w:t>
            </w:r>
          </w:p>
        </w:tc>
      </w:tr>
    </w:tbl>
    <w:bookmarkEnd w:id="70"/>
    <w:bookmarkStart w:id="71" w:name="open-questions-and-limitations"/>
    <w:p>
      <w:pPr>
        <w:pStyle w:val="Heading3"/>
      </w:pPr>
      <w:r>
        <w:t xml:space="preserve">Open questions and limitations</w:t>
      </w:r>
    </w:p>
    <w:p>
      <w:pPr>
        <w:pStyle w:val="FirstParagraph"/>
      </w:pPr>
      <w:r>
        <w:t xml:space="preserve">Some areas remain unsettled. Evidence for</w:t>
      </w:r>
      <w:r>
        <w:t xml:space="preserve"> </w:t>
      </w:r>
      <w:r>
        <w:rPr>
          <w:b/>
          <w:bCs/>
        </w:rPr>
        <w:t xml:space="preserve">stage-matched interventions</w:t>
      </w:r>
      <w:r>
        <w:t xml:space="preserve"> </w:t>
      </w:r>
      <w:r>
        <w:t xml:space="preserve">remains mixed despite the practical usefulness of readiness concepts.</w:t>
      </w:r>
      <w:r>
        <w:t xml:space="preserve"> </w:t>
      </w:r>
      <w:r>
        <w:rPr>
          <w:b/>
          <w:bCs/>
        </w:rPr>
        <w:t xml:space="preserve">Identity-based interventions</w:t>
      </w:r>
      <w:r>
        <w:t xml:space="preserve"> </w:t>
      </w:r>
      <w:r>
        <w:t xml:space="preserve">are promising, but direct causal evidence is still less mature than evidence for autonomy support, self-monitoring, and habit formation.</w:t>
      </w:r>
      <w:r>
        <w:t xml:space="preserve"> </w:t>
      </w:r>
      <w:r>
        <w:rPr>
          <w:b/>
          <w:bCs/>
        </w:rPr>
        <w:t xml:space="preserve">Digital interventions</w:t>
      </w:r>
      <w:r>
        <w:t xml:space="preserve"> </w:t>
      </w:r>
      <w:r>
        <w:t xml:space="preserve">work on average, but long-term engagement remains a major weak point.</w:t>
      </w:r>
      <w:r>
        <w:t xml:space="preserve"> </w:t>
      </w:r>
      <w:r>
        <w:rPr>
          <w:b/>
          <w:bCs/>
        </w:rPr>
        <w:t xml:space="preserve">Social prescribing</w:t>
      </w:r>
      <w:r>
        <w:t xml:space="preserve"> </w:t>
      </w:r>
      <w:r>
        <w:t xml:space="preserve">is promising but methodologically heterogeneous.</w:t>
      </w:r>
      <w:r>
        <w:t xml:space="preserve"> </w:t>
      </w:r>
      <w:r>
        <w:rPr>
          <w:b/>
          <w:bCs/>
        </w:rPr>
        <w:t xml:space="preserve">Memory reconsolidation</w:t>
      </w:r>
      <w:r>
        <w:t xml:space="preserve"> </w:t>
      </w:r>
      <w:r>
        <w:t xml:space="preserve">and other transformational mechanisms remain scientifically interesting but should still be treated as emerging rather than standard explanatory tools for coaching practice.</w:t>
      </w:r>
      <w:r>
        <w:t xml:space="preserve"> </w:t>
      </w:r>
      <w:hyperlink r:id="rId35">
        <w:r>
          <w:rPr>
            <w:rStyle w:val="Hyperlink"/>
          </w:rPr>
          <w:t xml:space="preserve">[96]</w:t>
        </w:r>
      </w:hyperlink>
    </w:p>
    <w:bookmarkEnd w:id="71"/>
    <w:bookmarkEnd w:id="72"/>
    <w:bookmarkEnd w:id="73"/>
    <w:bookmarkEnd w:id="74"/>
    <w:p>
      <w:r>
        <w:pict>
          <v:rect style="width:0;height:1.5pt" o:hralign="center" o:hrstd="t" o:hr="t"/>
        </w:pict>
      </w:r>
    </w:p>
    <w:bookmarkStart w:id="75" w:name="citations"/>
    <w:p>
      <w:pPr>
        <w:pStyle w:val="FirstParagraph"/>
      </w:pPr>
      <w:hyperlink r:id="rId21">
        <w:r>
          <w:rPr>
            <w:rStyle w:val="Hyperlink"/>
          </w:rPr>
          <w:t xml:space="preserve">[1]</w:t>
        </w:r>
      </w:hyperlink>
      <w:r>
        <w:t xml:space="preserve"> </w:t>
      </w:r>
      <w:hyperlink r:id="rId21">
        <w:r>
          <w:rPr>
            <w:rStyle w:val="Hyperlink"/>
          </w:rPr>
          <w:t xml:space="preserve">[9]</w:t>
        </w:r>
      </w:hyperlink>
      <w:r>
        <w:t xml:space="preserve"> </w:t>
      </w:r>
      <w:hyperlink r:id="rId21">
        <w:r>
          <w:rPr>
            <w:rStyle w:val="Hyperlink"/>
          </w:rPr>
          <w:t xml:space="preserve">[11]</w:t>
        </w:r>
      </w:hyperlink>
      <w:r>
        <w:t xml:space="preserve"> </w:t>
      </w:r>
      <w:hyperlink r:id="rId21">
        <w:r>
          <w:rPr>
            <w:rStyle w:val="Hyperlink"/>
          </w:rPr>
          <w:t xml:space="preserve">[13]</w:t>
        </w:r>
      </w:hyperlink>
      <w:r>
        <w:t xml:space="preserve"> </w:t>
      </w:r>
      <w:hyperlink r:id="rId21">
        <w:r>
          <w:rPr>
            <w:rStyle w:val="Hyperlink"/>
          </w:rPr>
          <w:t xml:space="preserve">[32]</w:t>
        </w:r>
      </w:hyperlink>
      <w:r>
        <w:t xml:space="preserve"> </w:t>
      </w:r>
      <w:hyperlink r:id="rId21">
        <w:r>
          <w:rPr>
            <w:rStyle w:val="Hyperlink"/>
          </w:rPr>
          <w:t xml:space="preserve">[35]</w:t>
        </w:r>
      </w:hyperlink>
      <w:r>
        <w:t xml:space="preserve"> </w:t>
      </w:r>
      <w:hyperlink r:id="rId21">
        <w:r>
          <w:rPr>
            <w:rStyle w:val="Hyperlink"/>
          </w:rPr>
          <w:t xml:space="preserve">[36]</w:t>
        </w:r>
      </w:hyperlink>
      <w:r>
        <w:t xml:space="preserve"> </w:t>
      </w:r>
      <w:hyperlink r:id="rId21">
        <w:r>
          <w:rPr>
            <w:rStyle w:val="Hyperlink"/>
          </w:rPr>
          <w:t xml:space="preserve">[50]</w:t>
        </w:r>
      </w:hyperlink>
      <w:r>
        <w:t xml:space="preserve"> </w:t>
      </w:r>
      <w:hyperlink r:id="rId21">
        <w:r>
          <w:rPr>
            <w:rStyle w:val="Hyperlink"/>
          </w:rPr>
          <w:t xml:space="preserve">[51]</w:t>
        </w:r>
      </w:hyperlink>
      <w:r>
        <w:t xml:space="preserve"> </w:t>
      </w:r>
      <w:hyperlink r:id="rId21">
        <w:r>
          <w:rPr>
            <w:rStyle w:val="Hyperlink"/>
          </w:rPr>
          <w:t xml:space="preserve">[62]</w:t>
        </w:r>
      </w:hyperlink>
      <w:r>
        <w:t xml:space="preserve"> </w:t>
      </w:r>
      <w:hyperlink r:id="rId21">
        <w:r>
          <w:rPr>
            <w:rStyle w:val="Hyperlink"/>
          </w:rPr>
          <w:t xml:space="preserve">[76]</w:t>
        </w:r>
      </w:hyperlink>
      <w:r>
        <w:t xml:space="preserve"> </w:t>
      </w:r>
      <w:r>
        <w:t xml:space="preserve">https://pmc.ncbi.nlm.nih.gov/articles/PMC8200683/</w:t>
      </w:r>
    </w:p>
    <w:p>
      <w:pPr>
        <w:pStyle w:val="BodyText"/>
      </w:pPr>
      <w:hyperlink r:id="rId21">
        <w:r>
          <w:rPr>
            <w:rStyle w:val="Hyperlink"/>
          </w:rPr>
          <w:t xml:space="preserve">https://pmc.ncbi.nlm.nih.gov/articles/PMC8200683/</w:t>
        </w:r>
      </w:hyperlink>
    </w:p>
    <w:p>
      <w:pPr>
        <w:pStyle w:val="BodyText"/>
      </w:pPr>
      <w:hyperlink r:id="rId22">
        <w:r>
          <w:rPr>
            <w:rStyle w:val="Hyperlink"/>
          </w:rPr>
          <w:t xml:space="preserve">[2]</w:t>
        </w:r>
      </w:hyperlink>
      <w:r>
        <w:t xml:space="preserve"> </w:t>
      </w:r>
      <w:hyperlink r:id="rId22">
        <w:r>
          <w:rPr>
            <w:rStyle w:val="Hyperlink"/>
          </w:rPr>
          <w:t xml:space="preserve">[10]</w:t>
        </w:r>
      </w:hyperlink>
      <w:r>
        <w:t xml:space="preserve"> </w:t>
      </w:r>
      <w:hyperlink r:id="rId22">
        <w:r>
          <w:rPr>
            <w:rStyle w:val="Hyperlink"/>
          </w:rPr>
          <w:t xml:space="preserve">[71]</w:t>
        </w:r>
      </w:hyperlink>
      <w:r>
        <w:t xml:space="preserve"> </w:t>
      </w:r>
      <w:r>
        <w:t xml:space="preserve">https://ohsu.elsevierpure.com/en/publications/teachable-moments-for-health-behavior-change-a-concept-analysis/</w:t>
      </w:r>
    </w:p>
    <w:p>
      <w:pPr>
        <w:pStyle w:val="BodyText"/>
      </w:pPr>
      <w:hyperlink r:id="rId22">
        <w:r>
          <w:rPr>
            <w:rStyle w:val="Hyperlink"/>
          </w:rPr>
          <w:t xml:space="preserve">https://ohsu.elsevierpure.com/en/publications/teachable-moments-for-health-behavior-change-a-concept-analysis/</w:t>
        </w:r>
      </w:hyperlink>
    </w:p>
    <w:p>
      <w:pPr>
        <w:pStyle w:val="BodyText"/>
      </w:pPr>
      <w:hyperlink r:id="rId23">
        <w:r>
          <w:rPr>
            <w:rStyle w:val="Hyperlink"/>
          </w:rPr>
          <w:t xml:space="preserve">[3]</w:t>
        </w:r>
      </w:hyperlink>
      <w:r>
        <w:t xml:space="preserve"> </w:t>
      </w:r>
      <w:hyperlink r:id="rId23">
        <w:r>
          <w:rPr>
            <w:rStyle w:val="Hyperlink"/>
          </w:rPr>
          <w:t xml:space="preserve">[19]</w:t>
        </w:r>
      </w:hyperlink>
      <w:r>
        <w:t xml:space="preserve"> </w:t>
      </w:r>
      <w:hyperlink r:id="rId23">
        <w:r>
          <w:rPr>
            <w:rStyle w:val="Hyperlink"/>
          </w:rPr>
          <w:t xml:space="preserve">[80]</w:t>
        </w:r>
      </w:hyperlink>
      <w:r>
        <w:t xml:space="preserve"> </w:t>
      </w:r>
      <w:r>
        <w:t xml:space="preserve">https://pubmed.ncbi.nlm.nih.gov/24001658/</w:t>
      </w:r>
    </w:p>
    <w:p>
      <w:pPr>
        <w:pStyle w:val="BodyText"/>
      </w:pPr>
      <w:hyperlink r:id="rId23">
        <w:r>
          <w:rPr>
            <w:rStyle w:val="Hyperlink"/>
          </w:rPr>
          <w:t xml:space="preserve">https://pubmed.ncbi.nlm.nih.gov/24001658/</w:t>
        </w:r>
      </w:hyperlink>
    </w:p>
    <w:p>
      <w:pPr>
        <w:pStyle w:val="BodyText"/>
      </w:pPr>
      <w:hyperlink r:id="rId24">
        <w:r>
          <w:rPr>
            <w:rStyle w:val="Hyperlink"/>
          </w:rPr>
          <w:t xml:space="preserve">[4]</w:t>
        </w:r>
      </w:hyperlink>
      <w:r>
        <w:t xml:space="preserve"> </w:t>
      </w:r>
      <w:hyperlink r:id="rId24">
        <w:r>
          <w:rPr>
            <w:rStyle w:val="Hyperlink"/>
          </w:rPr>
          <w:t xml:space="preserve">[12]</w:t>
        </w:r>
      </w:hyperlink>
      <w:r>
        <w:t xml:space="preserve"> </w:t>
      </w:r>
      <w:hyperlink r:id="rId24">
        <w:r>
          <w:rPr>
            <w:rStyle w:val="Hyperlink"/>
          </w:rPr>
          <w:t xml:space="preserve">[16]</w:t>
        </w:r>
      </w:hyperlink>
      <w:r>
        <w:t xml:space="preserve"> </w:t>
      </w:r>
      <w:hyperlink r:id="rId24">
        <w:r>
          <w:rPr>
            <w:rStyle w:val="Hyperlink"/>
          </w:rPr>
          <w:t xml:space="preserve">[20]</w:t>
        </w:r>
      </w:hyperlink>
      <w:r>
        <w:t xml:space="preserve"> </w:t>
      </w:r>
      <w:hyperlink r:id="rId24">
        <w:r>
          <w:rPr>
            <w:rStyle w:val="Hyperlink"/>
          </w:rPr>
          <w:t xml:space="preserve">[40]</w:t>
        </w:r>
      </w:hyperlink>
      <w:r>
        <w:t xml:space="preserve"> </w:t>
      </w:r>
      <w:hyperlink r:id="rId24">
        <w:r>
          <w:rPr>
            <w:rStyle w:val="Hyperlink"/>
          </w:rPr>
          <w:t xml:space="preserve">[66]</w:t>
        </w:r>
      </w:hyperlink>
      <w:r>
        <w:t xml:space="preserve"> </w:t>
      </w:r>
      <w:hyperlink r:id="rId24">
        <w:r>
          <w:rPr>
            <w:rStyle w:val="Hyperlink"/>
          </w:rPr>
          <w:t xml:space="preserve">[82]</w:t>
        </w:r>
      </w:hyperlink>
      <w:r>
        <w:t xml:space="preserve"> </w:t>
      </w:r>
      <w:r>
        <w:t xml:space="preserve">https://selfdeterminationtheory.org/wp-content/uploads/2020/11/2020_SheeranWrightEtAl_SDTInterventions.pdf</w:t>
      </w:r>
    </w:p>
    <w:p>
      <w:pPr>
        <w:pStyle w:val="BodyText"/>
      </w:pPr>
      <w:hyperlink r:id="rId24">
        <w:r>
          <w:rPr>
            <w:rStyle w:val="Hyperlink"/>
          </w:rPr>
          <w:t xml:space="preserve">https://selfdeterminationtheory.org/wp-content/uploads/2020/11/2020_SheeranWrightEtAl_SDTInterventions.pdf</w:t>
        </w:r>
      </w:hyperlink>
    </w:p>
    <w:p>
      <w:pPr>
        <w:pStyle w:val="BodyText"/>
      </w:pPr>
      <w:hyperlink r:id="rId25">
        <w:r>
          <w:rPr>
            <w:rStyle w:val="Hyperlink"/>
          </w:rPr>
          <w:t xml:space="preserve">[5]</w:t>
        </w:r>
      </w:hyperlink>
      <w:r>
        <w:t xml:space="preserve"> </w:t>
      </w:r>
      <w:hyperlink r:id="rId25">
        <w:r>
          <w:rPr>
            <w:rStyle w:val="Hyperlink"/>
          </w:rPr>
          <w:t xml:space="preserve">[38]</w:t>
        </w:r>
      </w:hyperlink>
      <w:r>
        <w:t xml:space="preserve"> </w:t>
      </w:r>
      <w:hyperlink r:id="rId25">
        <w:r>
          <w:rPr>
            <w:rStyle w:val="Hyperlink"/>
          </w:rPr>
          <w:t xml:space="preserve">[52]</w:t>
        </w:r>
      </w:hyperlink>
      <w:r>
        <w:t xml:space="preserve"> </w:t>
      </w:r>
      <w:hyperlink r:id="rId25">
        <w:r>
          <w:rPr>
            <w:rStyle w:val="Hyperlink"/>
          </w:rPr>
          <w:t xml:space="preserve">[67]</w:t>
        </w:r>
      </w:hyperlink>
      <w:r>
        <w:t xml:space="preserve"> </w:t>
      </w:r>
      <w:r>
        <w:t xml:space="preserve">https://www.researchgate.net/publication/37367696_Implementation_Intentions_and_Goal_Achievement_A_Meta-Analysis_of_Effects_and_Processes</w:t>
      </w:r>
    </w:p>
    <w:p>
      <w:pPr>
        <w:pStyle w:val="BodyText"/>
      </w:pPr>
      <w:hyperlink r:id="rId25">
        <w:r>
          <w:rPr>
            <w:rStyle w:val="Hyperlink"/>
          </w:rPr>
          <w:t xml:space="preserve">https://www.researchgate.net/publication/37367696_Implementation_Intentions_and_Goal_Achievement_A_Meta-Analysis_of_Effects_and_Processes</w:t>
        </w:r>
      </w:hyperlink>
    </w:p>
    <w:p>
      <w:pPr>
        <w:pStyle w:val="BodyText"/>
      </w:pPr>
      <w:hyperlink r:id="rId26">
        <w:r>
          <w:rPr>
            <w:rStyle w:val="Hyperlink"/>
          </w:rPr>
          <w:t xml:space="preserve">[6]</w:t>
        </w:r>
      </w:hyperlink>
      <w:r>
        <w:t xml:space="preserve"> </w:t>
      </w:r>
      <w:hyperlink r:id="rId26">
        <w:r>
          <w:rPr>
            <w:rStyle w:val="Hyperlink"/>
          </w:rPr>
          <w:t xml:space="preserve">[25]</w:t>
        </w:r>
      </w:hyperlink>
      <w:r>
        <w:t xml:space="preserve"> </w:t>
      </w:r>
      <w:hyperlink r:id="rId26">
        <w:r>
          <w:rPr>
            <w:rStyle w:val="Hyperlink"/>
          </w:rPr>
          <w:t xml:space="preserve">[53]</w:t>
        </w:r>
      </w:hyperlink>
      <w:r>
        <w:t xml:space="preserve"> </w:t>
      </w:r>
      <w:r>
        <w:t xml:space="preserve">https://pmc.ncbi.nlm.nih.gov/articles/PMC8034391/</w:t>
      </w:r>
    </w:p>
    <w:p>
      <w:pPr>
        <w:pStyle w:val="BodyText"/>
      </w:pPr>
      <w:hyperlink r:id="rId26">
        <w:r>
          <w:rPr>
            <w:rStyle w:val="Hyperlink"/>
          </w:rPr>
          <w:t xml:space="preserve">https://pmc.ncbi.nlm.nih.gov/articles/PMC8034391/</w:t>
        </w:r>
      </w:hyperlink>
    </w:p>
    <w:p>
      <w:pPr>
        <w:pStyle w:val="BodyText"/>
      </w:pPr>
      <w:hyperlink r:id="rId27">
        <w:r>
          <w:rPr>
            <w:rStyle w:val="Hyperlink"/>
          </w:rPr>
          <w:t xml:space="preserve">[7]</w:t>
        </w:r>
      </w:hyperlink>
      <w:r>
        <w:t xml:space="preserve"> </w:t>
      </w:r>
      <w:hyperlink r:id="rId27">
        <w:r>
          <w:rPr>
            <w:rStyle w:val="Hyperlink"/>
          </w:rPr>
          <w:t xml:space="preserve">[37]</w:t>
        </w:r>
      </w:hyperlink>
      <w:r>
        <w:t xml:space="preserve"> </w:t>
      </w:r>
      <w:r>
        <w:t xml:space="preserve">https://www.ncbi.nlm.nih.gov/books/NBK571073/box/ch1.b5/?report=objectonly</w:t>
      </w:r>
    </w:p>
    <w:p>
      <w:pPr>
        <w:pStyle w:val="BodyText"/>
      </w:pPr>
      <w:hyperlink r:id="rId27">
        <w:r>
          <w:rPr>
            <w:rStyle w:val="Hyperlink"/>
          </w:rPr>
          <w:t xml:space="preserve">https://www.ncbi.nlm.nih.gov/books/NBK571073/box/ch1.b5/?report=objectonly</w:t>
        </w:r>
      </w:hyperlink>
    </w:p>
    <w:p>
      <w:pPr>
        <w:pStyle w:val="BodyText"/>
      </w:pPr>
      <w:hyperlink r:id="rId28">
        <w:r>
          <w:rPr>
            <w:rStyle w:val="Hyperlink"/>
          </w:rPr>
          <w:t xml:space="preserve">[8]</w:t>
        </w:r>
      </w:hyperlink>
      <w:r>
        <w:t xml:space="preserve"> </w:t>
      </w:r>
      <w:hyperlink r:id="rId28">
        <w:r>
          <w:rPr>
            <w:rStyle w:val="Hyperlink"/>
          </w:rPr>
          <w:t xml:space="preserve">[14]</w:t>
        </w:r>
      </w:hyperlink>
      <w:r>
        <w:t xml:space="preserve"> </w:t>
      </w:r>
      <w:hyperlink r:id="rId28">
        <w:r>
          <w:rPr>
            <w:rStyle w:val="Hyperlink"/>
          </w:rPr>
          <w:t xml:space="preserve">[56]</w:t>
        </w:r>
      </w:hyperlink>
      <w:r>
        <w:t xml:space="preserve"> </w:t>
      </w:r>
      <w:hyperlink r:id="rId28">
        <w:r>
          <w:rPr>
            <w:rStyle w:val="Hyperlink"/>
          </w:rPr>
          <w:t xml:space="preserve">[68]</w:t>
        </w:r>
      </w:hyperlink>
      <w:r>
        <w:t xml:space="preserve"> </w:t>
      </w:r>
      <w:hyperlink r:id="rId28">
        <w:r>
          <w:rPr>
            <w:rStyle w:val="Hyperlink"/>
          </w:rPr>
          <w:t xml:space="preserve">[73]</w:t>
        </w:r>
      </w:hyperlink>
      <w:r>
        <w:t xml:space="preserve"> </w:t>
      </w:r>
      <w:hyperlink r:id="rId28">
        <w:r>
          <w:rPr>
            <w:rStyle w:val="Hyperlink"/>
          </w:rPr>
          <w:t xml:space="preserve">[94]</w:t>
        </w:r>
      </w:hyperlink>
      <w:r>
        <w:t xml:space="preserve"> </w:t>
      </w:r>
      <w:r>
        <w:t xml:space="preserve">https://pmc.ncbi.nlm.nih.gov/articles/PMC5756532/</w:t>
      </w:r>
    </w:p>
    <w:p>
      <w:pPr>
        <w:pStyle w:val="BodyText"/>
      </w:pPr>
      <w:hyperlink r:id="rId28">
        <w:r>
          <w:rPr>
            <w:rStyle w:val="Hyperlink"/>
          </w:rPr>
          <w:t xml:space="preserve">https://pmc.ncbi.nlm.nih.gov/articles/PMC5756532/</w:t>
        </w:r>
      </w:hyperlink>
    </w:p>
    <w:p>
      <w:pPr>
        <w:pStyle w:val="BodyText"/>
      </w:pPr>
      <w:hyperlink r:id="rId30">
        <w:r>
          <w:rPr>
            <w:rStyle w:val="Hyperlink"/>
          </w:rPr>
          <w:t xml:space="preserve">[15]</w:t>
        </w:r>
      </w:hyperlink>
      <w:r>
        <w:t xml:space="preserve"> </w:t>
      </w:r>
      <w:hyperlink r:id="rId30">
        <w:r>
          <w:rPr>
            <w:rStyle w:val="Hyperlink"/>
          </w:rPr>
          <w:t xml:space="preserve">[44]</w:t>
        </w:r>
      </w:hyperlink>
      <w:r>
        <w:t xml:space="preserve"> </w:t>
      </w:r>
      <w:hyperlink r:id="rId30">
        <w:r>
          <w:rPr>
            <w:rStyle w:val="Hyperlink"/>
          </w:rPr>
          <w:t xml:space="preserve">[64]</w:t>
        </w:r>
      </w:hyperlink>
      <w:r>
        <w:t xml:space="preserve"> </w:t>
      </w:r>
      <w:hyperlink r:id="rId30">
        <w:r>
          <w:rPr>
            <w:rStyle w:val="Hyperlink"/>
          </w:rPr>
          <w:t xml:space="preserve">[70]</w:t>
        </w:r>
      </w:hyperlink>
      <w:r>
        <w:t xml:space="preserve"> </w:t>
      </w:r>
      <w:hyperlink r:id="rId30">
        <w:r>
          <w:rPr>
            <w:rStyle w:val="Hyperlink"/>
          </w:rPr>
          <w:t xml:space="preserve">[74]</w:t>
        </w:r>
      </w:hyperlink>
      <w:r>
        <w:t xml:space="preserve"> </w:t>
      </w:r>
      <w:hyperlink r:id="rId30">
        <w:r>
          <w:rPr>
            <w:rStyle w:val="Hyperlink"/>
          </w:rPr>
          <w:t xml:space="preserve">[78]</w:t>
        </w:r>
      </w:hyperlink>
      <w:r>
        <w:t xml:space="preserve"> </w:t>
      </w:r>
      <w:r>
        <w:t xml:space="preserve">https://discovery.ucl.ac.uk/id/eprint/10095640/</w:t>
      </w:r>
    </w:p>
    <w:p>
      <w:pPr>
        <w:pStyle w:val="BodyText"/>
      </w:pPr>
      <w:hyperlink r:id="rId30">
        <w:r>
          <w:rPr>
            <w:rStyle w:val="Hyperlink"/>
          </w:rPr>
          <w:t xml:space="preserve">https://discovery.ucl.ac.uk/id/eprint/10095640/</w:t>
        </w:r>
      </w:hyperlink>
    </w:p>
    <w:p>
      <w:pPr>
        <w:pStyle w:val="BodyText"/>
      </w:pPr>
      <w:hyperlink r:id="rId31">
        <w:r>
          <w:rPr>
            <w:rStyle w:val="Hyperlink"/>
          </w:rPr>
          <w:t xml:space="preserve">[17]</w:t>
        </w:r>
      </w:hyperlink>
      <w:r>
        <w:t xml:space="preserve"> </w:t>
      </w:r>
      <w:hyperlink r:id="rId31">
        <w:r>
          <w:rPr>
            <w:rStyle w:val="Hyperlink"/>
          </w:rPr>
          <w:t xml:space="preserve">[27]</w:t>
        </w:r>
      </w:hyperlink>
      <w:r>
        <w:t xml:space="preserve"> </w:t>
      </w:r>
      <w:hyperlink r:id="rId31">
        <w:r>
          <w:rPr>
            <w:rStyle w:val="Hyperlink"/>
          </w:rPr>
          <w:t xml:space="preserve">[45]</w:t>
        </w:r>
      </w:hyperlink>
      <w:r>
        <w:t xml:space="preserve"> </w:t>
      </w:r>
      <w:hyperlink r:id="rId31">
        <w:r>
          <w:rPr>
            <w:rStyle w:val="Hyperlink"/>
          </w:rPr>
          <w:t xml:space="preserve">[54]</w:t>
        </w:r>
      </w:hyperlink>
      <w:r>
        <w:t xml:space="preserve"> </w:t>
      </w:r>
      <w:hyperlink r:id="rId31">
        <w:r>
          <w:rPr>
            <w:rStyle w:val="Hyperlink"/>
          </w:rPr>
          <w:t xml:space="preserve">[75]</w:t>
        </w:r>
      </w:hyperlink>
      <w:r>
        <w:t xml:space="preserve"> </w:t>
      </w:r>
      <w:hyperlink r:id="rId31">
        <w:r>
          <w:rPr>
            <w:rStyle w:val="Hyperlink"/>
          </w:rPr>
          <w:t xml:space="preserve">[89]</w:t>
        </w:r>
      </w:hyperlink>
      <w:r>
        <w:t xml:space="preserve"> </w:t>
      </w:r>
      <w:r>
        <w:t xml:space="preserve">https://www.mdpi.com/2227-9032/12/23/2488</w:t>
      </w:r>
    </w:p>
    <w:p>
      <w:pPr>
        <w:pStyle w:val="BodyText"/>
      </w:pPr>
      <w:hyperlink r:id="rId31">
        <w:r>
          <w:rPr>
            <w:rStyle w:val="Hyperlink"/>
          </w:rPr>
          <w:t xml:space="preserve">https://www.mdpi.com/2227-9032/12/23/2488</w:t>
        </w:r>
      </w:hyperlink>
    </w:p>
    <w:p>
      <w:pPr>
        <w:pStyle w:val="BodyText"/>
      </w:pPr>
      <w:hyperlink r:id="rId32">
        <w:r>
          <w:rPr>
            <w:rStyle w:val="Hyperlink"/>
          </w:rPr>
          <w:t xml:space="preserve">[18]</w:t>
        </w:r>
      </w:hyperlink>
      <w:r>
        <w:t xml:space="preserve"> </w:t>
      </w:r>
      <w:r>
        <w:t xml:space="preserve">https://pmc.ncbi.nlm.nih.gov/articles/PMC4675534/</w:t>
      </w:r>
    </w:p>
    <w:p>
      <w:pPr>
        <w:pStyle w:val="BodyText"/>
      </w:pPr>
      <w:hyperlink r:id="rId32">
        <w:r>
          <w:rPr>
            <w:rStyle w:val="Hyperlink"/>
          </w:rPr>
          <w:t xml:space="preserve">https://pmc.ncbi.nlm.nih.gov/articles/PMC4675534/</w:t>
        </w:r>
      </w:hyperlink>
    </w:p>
    <w:p>
      <w:pPr>
        <w:pStyle w:val="BodyText"/>
      </w:pPr>
      <w:hyperlink r:id="rId34">
        <w:r>
          <w:rPr>
            <w:rStyle w:val="Hyperlink"/>
          </w:rPr>
          <w:t xml:space="preserve">[21]</w:t>
        </w:r>
      </w:hyperlink>
      <w:r>
        <w:t xml:space="preserve"> </w:t>
      </w:r>
      <w:hyperlink r:id="rId34">
        <w:r>
          <w:rPr>
            <w:rStyle w:val="Hyperlink"/>
          </w:rPr>
          <w:t xml:space="preserve">[84]</w:t>
        </w:r>
      </w:hyperlink>
      <w:r>
        <w:t xml:space="preserve"> </w:t>
      </w:r>
      <w:r>
        <w:t xml:space="preserve">https://link.springer.com/article/10.1186/1748-5908-6-42</w:t>
      </w:r>
    </w:p>
    <w:p>
      <w:pPr>
        <w:pStyle w:val="BodyText"/>
      </w:pPr>
      <w:hyperlink r:id="rId34">
        <w:r>
          <w:rPr>
            <w:rStyle w:val="Hyperlink"/>
          </w:rPr>
          <w:t xml:space="preserve">https://link.springer.com/article/10.1186/1748-5908-6-42</w:t>
        </w:r>
      </w:hyperlink>
    </w:p>
    <w:p>
      <w:pPr>
        <w:pStyle w:val="BodyText"/>
      </w:pPr>
      <w:hyperlink r:id="rId35">
        <w:r>
          <w:rPr>
            <w:rStyle w:val="Hyperlink"/>
          </w:rPr>
          <w:t xml:space="preserve">[22]</w:t>
        </w:r>
      </w:hyperlink>
      <w:r>
        <w:t xml:space="preserve"> </w:t>
      </w:r>
      <w:hyperlink r:id="rId35">
        <w:r>
          <w:rPr>
            <w:rStyle w:val="Hyperlink"/>
          </w:rPr>
          <w:t xml:space="preserve">[85]</w:t>
        </w:r>
      </w:hyperlink>
      <w:r>
        <w:t xml:space="preserve"> </w:t>
      </w:r>
      <w:hyperlink r:id="rId35">
        <w:r>
          <w:rPr>
            <w:rStyle w:val="Hyperlink"/>
          </w:rPr>
          <w:t xml:space="preserve">[96]</w:t>
        </w:r>
      </w:hyperlink>
      <w:r>
        <w:t xml:space="preserve"> </w:t>
      </w:r>
      <w:r>
        <w:t xml:space="preserve">https://www.ncbi.nlm.nih.gov/books/NBK71995/</w:t>
      </w:r>
    </w:p>
    <w:p>
      <w:pPr>
        <w:pStyle w:val="BodyText"/>
      </w:pPr>
      <w:hyperlink r:id="rId35">
        <w:r>
          <w:rPr>
            <w:rStyle w:val="Hyperlink"/>
          </w:rPr>
          <w:t xml:space="preserve">https://www.ncbi.nlm.nih.gov/books/NBK71995/</w:t>
        </w:r>
      </w:hyperlink>
    </w:p>
    <w:p>
      <w:pPr>
        <w:pStyle w:val="BodyText"/>
      </w:pPr>
      <w:hyperlink r:id="rId36">
        <w:r>
          <w:rPr>
            <w:rStyle w:val="Hyperlink"/>
          </w:rPr>
          <w:t xml:space="preserve">[23]</w:t>
        </w:r>
      </w:hyperlink>
      <w:r>
        <w:t xml:space="preserve"> </w:t>
      </w:r>
      <w:hyperlink r:id="rId36">
        <w:r>
          <w:rPr>
            <w:rStyle w:val="Hyperlink"/>
          </w:rPr>
          <w:t xml:space="preserve">[55]</w:t>
        </w:r>
      </w:hyperlink>
      <w:r>
        <w:t xml:space="preserve"> </w:t>
      </w:r>
      <w:r>
        <w:t xml:space="preserve">https://www.nature.com/articles/s41598-023-40141-5</w:t>
      </w:r>
    </w:p>
    <w:p>
      <w:pPr>
        <w:pStyle w:val="BodyText"/>
      </w:pPr>
      <w:hyperlink r:id="rId36">
        <w:r>
          <w:rPr>
            <w:rStyle w:val="Hyperlink"/>
          </w:rPr>
          <w:t xml:space="preserve">https://www.nature.com/articles/s41598-023-40141-5</w:t>
        </w:r>
      </w:hyperlink>
    </w:p>
    <w:p>
      <w:pPr>
        <w:pStyle w:val="BodyText"/>
      </w:pPr>
      <w:hyperlink r:id="rId37">
        <w:r>
          <w:rPr>
            <w:rStyle w:val="Hyperlink"/>
          </w:rPr>
          <w:t xml:space="preserve">[24]</w:t>
        </w:r>
      </w:hyperlink>
      <w:r>
        <w:t xml:space="preserve"> </w:t>
      </w:r>
      <w:r>
        <w:t xml:space="preserve">https://www.researchgate.net/publication/380424692_Effectiveness_of_Acceptance_and_Commitment_Therapy_for_Addictive_Behaviors_A_Systematic_Review_and_Meta-analysis</w:t>
      </w:r>
    </w:p>
    <w:p>
      <w:pPr>
        <w:pStyle w:val="BodyText"/>
      </w:pPr>
      <w:hyperlink r:id="rId37">
        <w:r>
          <w:rPr>
            <w:rStyle w:val="Hyperlink"/>
          </w:rPr>
          <w:t xml:space="preserve">https://www.researchgate.net/publication/380424692_Effectiveness_of_Acceptance_and_Commitment_Therapy_for_Addictive_Behaviors_A_Systematic_Review_and_Meta-analysis</w:t>
        </w:r>
      </w:hyperlink>
    </w:p>
    <w:p>
      <w:pPr>
        <w:pStyle w:val="BodyText"/>
      </w:pPr>
      <w:hyperlink r:id="rId38">
        <w:r>
          <w:rPr>
            <w:rStyle w:val="Hyperlink"/>
          </w:rPr>
          <w:t xml:space="preserve">[26]</w:t>
        </w:r>
      </w:hyperlink>
      <w:r>
        <w:t xml:space="preserve"> </w:t>
      </w:r>
      <w:r>
        <w:t xml:space="preserve">https://pubmed.ncbi.nlm.nih.gov/32448627/</w:t>
      </w:r>
    </w:p>
    <w:p>
      <w:pPr>
        <w:pStyle w:val="BodyText"/>
      </w:pPr>
      <w:hyperlink r:id="rId38">
        <w:r>
          <w:rPr>
            <w:rStyle w:val="Hyperlink"/>
          </w:rPr>
          <w:t xml:space="preserve">https://pubmed.ncbi.nlm.nih.gov/32448627/</w:t>
        </w:r>
      </w:hyperlink>
    </w:p>
    <w:p>
      <w:pPr>
        <w:pStyle w:val="BodyText"/>
      </w:pPr>
      <w:hyperlink r:id="rId39">
        <w:r>
          <w:rPr>
            <w:rStyle w:val="Hyperlink"/>
          </w:rPr>
          <w:t xml:space="preserve">[28]</w:t>
        </w:r>
      </w:hyperlink>
      <w:r>
        <w:t xml:space="preserve"> </w:t>
      </w:r>
      <w:hyperlink r:id="rId39">
        <w:r>
          <w:rPr>
            <w:rStyle w:val="Hyperlink"/>
          </w:rPr>
          <w:t xml:space="preserve">[42]</w:t>
        </w:r>
      </w:hyperlink>
      <w:r>
        <w:t xml:space="preserve"> </w:t>
      </w:r>
      <w:hyperlink r:id="rId39">
        <w:r>
          <w:rPr>
            <w:rStyle w:val="Hyperlink"/>
          </w:rPr>
          <w:t xml:space="preserve">[46]</w:t>
        </w:r>
      </w:hyperlink>
      <w:r>
        <w:t xml:space="preserve"> </w:t>
      </w:r>
      <w:hyperlink r:id="rId39">
        <w:r>
          <w:rPr>
            <w:rStyle w:val="Hyperlink"/>
          </w:rPr>
          <w:t xml:space="preserve">[79]</w:t>
        </w:r>
      </w:hyperlink>
      <w:r>
        <w:t xml:space="preserve"> </w:t>
      </w:r>
      <w:r>
        <w:t xml:space="preserve">https://psnet.ahrq.gov/perspective/harm-reduction-strategies-improve-safety-people-who-use-substances</w:t>
      </w:r>
    </w:p>
    <w:p>
      <w:pPr>
        <w:pStyle w:val="BodyText"/>
      </w:pPr>
      <w:hyperlink r:id="rId39">
        <w:r>
          <w:rPr>
            <w:rStyle w:val="Hyperlink"/>
          </w:rPr>
          <w:t xml:space="preserve">https://psnet.ahrq.gov/perspective/harm-reduction-strategies-improve-safety-people-who-use-substances</w:t>
        </w:r>
      </w:hyperlink>
    </w:p>
    <w:p>
      <w:pPr>
        <w:pStyle w:val="BodyText"/>
      </w:pPr>
      <w:hyperlink r:id="rId40">
        <w:r>
          <w:rPr>
            <w:rStyle w:val="Hyperlink"/>
          </w:rPr>
          <w:t xml:space="preserve">[29]</w:t>
        </w:r>
      </w:hyperlink>
      <w:r>
        <w:t xml:space="preserve"> </w:t>
      </w:r>
      <w:hyperlink r:id="rId40">
        <w:r>
          <w:rPr>
            <w:rStyle w:val="Hyperlink"/>
          </w:rPr>
          <w:t xml:space="preserve">[60]</w:t>
        </w:r>
      </w:hyperlink>
      <w:r>
        <w:t xml:space="preserve"> </w:t>
      </w:r>
      <w:hyperlink r:id="rId40">
        <w:r>
          <w:rPr>
            <w:rStyle w:val="Hyperlink"/>
          </w:rPr>
          <w:t xml:space="preserve">[90]</w:t>
        </w:r>
      </w:hyperlink>
      <w:r>
        <w:t xml:space="preserve"> </w:t>
      </w:r>
      <w:r>
        <w:t xml:space="preserve">https://pmc.ncbi.nlm.nih.gov/articles/PMC5471959/</w:t>
      </w:r>
    </w:p>
    <w:p>
      <w:pPr>
        <w:pStyle w:val="BodyText"/>
      </w:pPr>
      <w:hyperlink r:id="rId40">
        <w:r>
          <w:rPr>
            <w:rStyle w:val="Hyperlink"/>
          </w:rPr>
          <w:t xml:space="preserve">https://pmc.ncbi.nlm.nih.gov/articles/PMC5471959/</w:t>
        </w:r>
      </w:hyperlink>
    </w:p>
    <w:p>
      <w:pPr>
        <w:pStyle w:val="BodyText"/>
      </w:pPr>
      <w:hyperlink r:id="rId41">
        <w:r>
          <w:rPr>
            <w:rStyle w:val="Hyperlink"/>
          </w:rPr>
          <w:t xml:space="preserve">[30]</w:t>
        </w:r>
      </w:hyperlink>
      <w:r>
        <w:t xml:space="preserve"> </w:t>
      </w:r>
      <w:hyperlink r:id="rId41">
        <w:r>
          <w:rPr>
            <w:rStyle w:val="Hyperlink"/>
          </w:rPr>
          <w:t xml:space="preserve">[61]</w:t>
        </w:r>
      </w:hyperlink>
      <w:r>
        <w:t xml:space="preserve"> </w:t>
      </w:r>
      <w:hyperlink r:id="rId41">
        <w:r>
          <w:rPr>
            <w:rStyle w:val="Hyperlink"/>
          </w:rPr>
          <w:t xml:space="preserve">[87]</w:t>
        </w:r>
      </w:hyperlink>
      <w:r>
        <w:t xml:space="preserve"> </w:t>
      </w:r>
      <w:r>
        <w:t xml:space="preserve">https://www.research-collection.ethz.ch/bitstreams/22386a05-8c8f-4df3-a8df-2c9bfb551387/download</w:t>
      </w:r>
    </w:p>
    <w:p>
      <w:pPr>
        <w:pStyle w:val="BodyText"/>
      </w:pPr>
      <w:hyperlink r:id="rId41">
        <w:r>
          <w:rPr>
            <w:rStyle w:val="Hyperlink"/>
          </w:rPr>
          <w:t xml:space="preserve">https://www.research-collection.ethz.ch/bitstreams/22386a05-8c8f-4df3-a8df-2c9bfb551387/download</w:t>
        </w:r>
      </w:hyperlink>
    </w:p>
    <w:p>
      <w:pPr>
        <w:pStyle w:val="BodyText"/>
      </w:pPr>
      <w:hyperlink r:id="rId42">
        <w:r>
          <w:rPr>
            <w:rStyle w:val="Hyperlink"/>
          </w:rPr>
          <w:t xml:space="preserve">[31]</w:t>
        </w:r>
      </w:hyperlink>
      <w:r>
        <w:t xml:space="preserve"> </w:t>
      </w:r>
      <w:hyperlink r:id="rId42">
        <w:r>
          <w:rPr>
            <w:rStyle w:val="Hyperlink"/>
          </w:rPr>
          <w:t xml:space="preserve">[92]</w:t>
        </w:r>
      </w:hyperlink>
      <w:r>
        <w:t xml:space="preserve"> </w:t>
      </w:r>
      <w:r>
        <w:t xml:space="preserve">https://pmc.ncbi.nlm.nih.gov/articles/PMC11528982/</w:t>
      </w:r>
    </w:p>
    <w:p>
      <w:pPr>
        <w:pStyle w:val="BodyText"/>
      </w:pPr>
      <w:hyperlink r:id="rId42">
        <w:r>
          <w:rPr>
            <w:rStyle w:val="Hyperlink"/>
          </w:rPr>
          <w:t xml:space="preserve">https://pmc.ncbi.nlm.nih.gov/articles/PMC11528982/</w:t>
        </w:r>
      </w:hyperlink>
    </w:p>
    <w:p>
      <w:pPr>
        <w:pStyle w:val="BodyText"/>
      </w:pPr>
      <w:hyperlink r:id="rId43">
        <w:r>
          <w:rPr>
            <w:rStyle w:val="Hyperlink"/>
          </w:rPr>
          <w:t xml:space="preserve">[33]</w:t>
        </w:r>
      </w:hyperlink>
      <w:r>
        <w:t xml:space="preserve"> </w:t>
      </w:r>
      <w:r>
        <w:t xml:space="preserve">https://pubmed.ncbi.nlm.nih.gov/40105110/</w:t>
      </w:r>
    </w:p>
    <w:p>
      <w:pPr>
        <w:pStyle w:val="BodyText"/>
      </w:pPr>
      <w:hyperlink r:id="rId43">
        <w:r>
          <w:rPr>
            <w:rStyle w:val="Hyperlink"/>
          </w:rPr>
          <w:t xml:space="preserve">https://pubmed.ncbi.nlm.nih.gov/40105110/</w:t>
        </w:r>
      </w:hyperlink>
    </w:p>
    <w:p>
      <w:pPr>
        <w:pStyle w:val="BodyText"/>
      </w:pPr>
      <w:hyperlink r:id="rId45">
        <w:r>
          <w:rPr>
            <w:rStyle w:val="Hyperlink"/>
          </w:rPr>
          <w:t xml:space="preserve">[34]</w:t>
        </w:r>
      </w:hyperlink>
      <w:r>
        <w:t xml:space="preserve"> </w:t>
      </w:r>
      <w:hyperlink r:id="rId45">
        <w:r>
          <w:rPr>
            <w:rStyle w:val="Hyperlink"/>
          </w:rPr>
          <w:t xml:space="preserve">[65]</w:t>
        </w:r>
      </w:hyperlink>
      <w:r>
        <w:t xml:space="preserve"> </w:t>
      </w:r>
      <w:hyperlink r:id="rId45">
        <w:r>
          <w:rPr>
            <w:rStyle w:val="Hyperlink"/>
          </w:rPr>
          <w:t xml:space="preserve">[81]</w:t>
        </w:r>
      </w:hyperlink>
      <w:r>
        <w:t xml:space="preserve"> </w:t>
      </w:r>
      <w:r>
        <w:t xml:space="preserve">https://www.appa-net.org/eWeb/docs/APPA/standards/A_Meta-Analysis_of_Motivational_Interviewing_Process.pdf</w:t>
      </w:r>
    </w:p>
    <w:p>
      <w:pPr>
        <w:pStyle w:val="BodyText"/>
      </w:pPr>
      <w:hyperlink r:id="rId45">
        <w:r>
          <w:rPr>
            <w:rStyle w:val="Hyperlink"/>
          </w:rPr>
          <w:t xml:space="preserve">https://www.appa-net.org/eWeb/docs/APPA/standards/A_Meta-Analysis_of_Motivational_Interviewing_Process.pdf</w:t>
        </w:r>
      </w:hyperlink>
    </w:p>
    <w:p>
      <w:pPr>
        <w:pStyle w:val="BodyText"/>
      </w:pPr>
      <w:hyperlink r:id="rId46">
        <w:r>
          <w:rPr>
            <w:rStyle w:val="Hyperlink"/>
          </w:rPr>
          <w:t xml:space="preserve">[39]</w:t>
        </w:r>
      </w:hyperlink>
      <w:r>
        <w:t xml:space="preserve"> </w:t>
      </w:r>
      <w:r>
        <w:t xml:space="preserve">https://pmc.ncbi.nlm.nih.gov/articles/PMC6728546/</w:t>
      </w:r>
    </w:p>
    <w:p>
      <w:pPr>
        <w:pStyle w:val="BodyText"/>
      </w:pPr>
      <w:hyperlink r:id="rId46">
        <w:r>
          <w:rPr>
            <w:rStyle w:val="Hyperlink"/>
          </w:rPr>
          <w:t xml:space="preserve">https://pmc.ncbi.nlm.nih.gov/articles/PMC6728546/</w:t>
        </w:r>
      </w:hyperlink>
    </w:p>
    <w:p>
      <w:pPr>
        <w:pStyle w:val="BodyText"/>
      </w:pPr>
      <w:hyperlink r:id="rId47">
        <w:r>
          <w:rPr>
            <w:rStyle w:val="Hyperlink"/>
          </w:rPr>
          <w:t xml:space="preserve">[41]</w:t>
        </w:r>
      </w:hyperlink>
      <w:r>
        <w:t xml:space="preserve"> </w:t>
      </w:r>
      <w:r>
        <w:t xml:space="preserve">https://pmc.ncbi.nlm.nih.gov/articles/PMC12417506/</w:t>
      </w:r>
    </w:p>
    <w:p>
      <w:pPr>
        <w:pStyle w:val="BodyText"/>
      </w:pPr>
      <w:hyperlink r:id="rId47">
        <w:r>
          <w:rPr>
            <w:rStyle w:val="Hyperlink"/>
          </w:rPr>
          <w:t xml:space="preserve">https://pmc.ncbi.nlm.nih.gov/articles/PMC12417506/</w:t>
        </w:r>
      </w:hyperlink>
    </w:p>
    <w:p>
      <w:pPr>
        <w:pStyle w:val="BodyText"/>
      </w:pPr>
      <w:hyperlink r:id="rId48">
        <w:r>
          <w:rPr>
            <w:rStyle w:val="Hyperlink"/>
          </w:rPr>
          <w:t xml:space="preserve">[43]</w:t>
        </w:r>
      </w:hyperlink>
      <w:r>
        <w:t xml:space="preserve"> </w:t>
      </w:r>
      <w:hyperlink r:id="rId48">
        <w:r>
          <w:rPr>
            <w:rStyle w:val="Hyperlink"/>
          </w:rPr>
          <w:t xml:space="preserve">[59]</w:t>
        </w:r>
      </w:hyperlink>
      <w:r>
        <w:t xml:space="preserve"> </w:t>
      </w:r>
      <w:r>
        <w:t xml:space="preserve">https://www.ncbi.nlm.nih.gov/books/NBK578197/</w:t>
      </w:r>
    </w:p>
    <w:p>
      <w:pPr>
        <w:pStyle w:val="BodyText"/>
      </w:pPr>
      <w:hyperlink r:id="rId48">
        <w:r>
          <w:rPr>
            <w:rStyle w:val="Hyperlink"/>
          </w:rPr>
          <w:t xml:space="preserve">https://www.ncbi.nlm.nih.gov/books/NBK578197/</w:t>
        </w:r>
      </w:hyperlink>
    </w:p>
    <w:p>
      <w:pPr>
        <w:pStyle w:val="BodyText"/>
      </w:pPr>
      <w:hyperlink r:id="rId49">
        <w:r>
          <w:rPr>
            <w:rStyle w:val="Hyperlink"/>
          </w:rPr>
          <w:t xml:space="preserve">[47]</w:t>
        </w:r>
      </w:hyperlink>
      <w:r>
        <w:t xml:space="preserve"> </w:t>
      </w:r>
      <w:r>
        <w:t xml:space="preserve">https://pubmed.ncbi.nlm.nih.gov/28258777/</w:t>
      </w:r>
    </w:p>
    <w:p>
      <w:pPr>
        <w:pStyle w:val="BodyText"/>
      </w:pPr>
      <w:hyperlink r:id="rId49">
        <w:r>
          <w:rPr>
            <w:rStyle w:val="Hyperlink"/>
          </w:rPr>
          <w:t xml:space="preserve">https://pubmed.ncbi.nlm.nih.gov/28258777/</w:t>
        </w:r>
      </w:hyperlink>
    </w:p>
    <w:p>
      <w:pPr>
        <w:pStyle w:val="BodyText"/>
      </w:pPr>
      <w:hyperlink r:id="rId50">
        <w:r>
          <w:rPr>
            <w:rStyle w:val="Hyperlink"/>
          </w:rPr>
          <w:t xml:space="preserve">[48]</w:t>
        </w:r>
      </w:hyperlink>
      <w:r>
        <w:t xml:space="preserve"> </w:t>
      </w:r>
      <w:r>
        <w:t xml:space="preserve">https://pmc.ncbi.nlm.nih.gov/articles/PMC11112274/</w:t>
      </w:r>
    </w:p>
    <w:p>
      <w:pPr>
        <w:pStyle w:val="BodyText"/>
      </w:pPr>
      <w:hyperlink r:id="rId50">
        <w:r>
          <w:rPr>
            <w:rStyle w:val="Hyperlink"/>
          </w:rPr>
          <w:t xml:space="preserve">https://pmc.ncbi.nlm.nih.gov/articles/PMC11112274/</w:t>
        </w:r>
      </w:hyperlink>
    </w:p>
    <w:p>
      <w:pPr>
        <w:pStyle w:val="BodyText"/>
      </w:pPr>
      <w:hyperlink r:id="rId51">
        <w:r>
          <w:rPr>
            <w:rStyle w:val="Hyperlink"/>
          </w:rPr>
          <w:t xml:space="preserve">[49]</w:t>
        </w:r>
      </w:hyperlink>
      <w:r>
        <w:t xml:space="preserve"> </w:t>
      </w:r>
      <w:hyperlink r:id="rId51">
        <w:r>
          <w:rPr>
            <w:rStyle w:val="Hyperlink"/>
          </w:rPr>
          <w:t xml:space="preserve">[95]</w:t>
        </w:r>
      </w:hyperlink>
      <w:r>
        <w:t xml:space="preserve"> </w:t>
      </w:r>
      <w:r>
        <w:t xml:space="preserve">https://experts.illinois.edu/en/publications/appealing-to-fear-a-meta-analysis-of-fear-appeal-effectiveness-an/</w:t>
      </w:r>
    </w:p>
    <w:p>
      <w:pPr>
        <w:pStyle w:val="BodyText"/>
      </w:pPr>
      <w:hyperlink r:id="rId51">
        <w:r>
          <w:rPr>
            <w:rStyle w:val="Hyperlink"/>
          </w:rPr>
          <w:t xml:space="preserve">https://experts.illinois.edu/en/publications/appealing-to-fear-a-meta-analysis-of-fear-appeal-effectiveness-an/</w:t>
        </w:r>
      </w:hyperlink>
    </w:p>
    <w:p>
      <w:pPr>
        <w:pStyle w:val="BodyText"/>
      </w:pPr>
      <w:hyperlink r:id="rId55">
        <w:r>
          <w:rPr>
            <w:rStyle w:val="Hyperlink"/>
          </w:rPr>
          <w:t xml:space="preserve">[57]</w:t>
        </w:r>
      </w:hyperlink>
      <w:r>
        <w:t xml:space="preserve"> </w:t>
      </w:r>
      <w:r>
        <w:t xml:space="preserve">https://pmc.ncbi.nlm.nih.gov/articles/PMC6890985/</w:t>
      </w:r>
    </w:p>
    <w:p>
      <w:pPr>
        <w:pStyle w:val="BodyText"/>
      </w:pPr>
      <w:hyperlink r:id="rId55">
        <w:r>
          <w:rPr>
            <w:rStyle w:val="Hyperlink"/>
          </w:rPr>
          <w:t xml:space="preserve">https://pmc.ncbi.nlm.nih.gov/articles/PMC6890985/</w:t>
        </w:r>
      </w:hyperlink>
    </w:p>
    <w:p>
      <w:pPr>
        <w:pStyle w:val="BodyText"/>
      </w:pPr>
      <w:hyperlink r:id="rId56">
        <w:r>
          <w:rPr>
            <w:rStyle w:val="Hyperlink"/>
          </w:rPr>
          <w:t xml:space="preserve">[58]</w:t>
        </w:r>
      </w:hyperlink>
      <w:r>
        <w:t xml:space="preserve"> </w:t>
      </w:r>
      <w:r>
        <w:t xml:space="preserve">https://www.nature.com/articles/s41398-023-02666-1</w:t>
      </w:r>
    </w:p>
    <w:p>
      <w:pPr>
        <w:pStyle w:val="BodyText"/>
      </w:pPr>
      <w:hyperlink r:id="rId56">
        <w:r>
          <w:rPr>
            <w:rStyle w:val="Hyperlink"/>
          </w:rPr>
          <w:t xml:space="preserve">https://www.nature.com/articles/s41398-023-02666-1</w:t>
        </w:r>
      </w:hyperlink>
    </w:p>
    <w:p>
      <w:pPr>
        <w:pStyle w:val="BodyText"/>
      </w:pPr>
      <w:hyperlink r:id="rId58">
        <w:r>
          <w:rPr>
            <w:rStyle w:val="Hyperlink"/>
          </w:rPr>
          <w:t xml:space="preserve">[63]</w:t>
        </w:r>
      </w:hyperlink>
      <w:r>
        <w:t xml:space="preserve"> </w:t>
      </w:r>
      <w:r>
        <w:t xml:space="preserve">https://pmc.ncbi.nlm.nih.gov/articles/PMC11332439/</w:t>
      </w:r>
    </w:p>
    <w:p>
      <w:pPr>
        <w:pStyle w:val="BodyText"/>
      </w:pPr>
      <w:hyperlink r:id="rId58">
        <w:r>
          <w:rPr>
            <w:rStyle w:val="Hyperlink"/>
          </w:rPr>
          <w:t xml:space="preserve">https://pmc.ncbi.nlm.nih.gov/articles/PMC11332439/</w:t>
        </w:r>
      </w:hyperlink>
    </w:p>
    <w:p>
      <w:pPr>
        <w:pStyle w:val="BodyText"/>
      </w:pPr>
      <w:hyperlink r:id="rId59">
        <w:r>
          <w:rPr>
            <w:rStyle w:val="Hyperlink"/>
          </w:rPr>
          <w:t xml:space="preserve">[69]</w:t>
        </w:r>
      </w:hyperlink>
      <w:r>
        <w:t xml:space="preserve"> </w:t>
      </w:r>
      <w:r>
        <w:t xml:space="preserve">https://www.nice.org.uk/guidance/ph49/resources/behaviour-change-individual-approaches-pdf-1996366337989</w:t>
      </w:r>
    </w:p>
    <w:p>
      <w:pPr>
        <w:pStyle w:val="BodyText"/>
      </w:pPr>
      <w:hyperlink r:id="rId59">
        <w:r>
          <w:rPr>
            <w:rStyle w:val="Hyperlink"/>
          </w:rPr>
          <w:t xml:space="preserve">https://www.nice.org.uk/guidance/ph49/resources/behaviour-change-individual-approaches-pdf-1996366337989</w:t>
        </w:r>
      </w:hyperlink>
    </w:p>
    <w:p>
      <w:pPr>
        <w:pStyle w:val="BodyText"/>
      </w:pPr>
      <w:hyperlink r:id="rId62">
        <w:r>
          <w:rPr>
            <w:rStyle w:val="Hyperlink"/>
          </w:rPr>
          <w:t xml:space="preserve">[72]</w:t>
        </w:r>
      </w:hyperlink>
      <w:r>
        <w:t xml:space="preserve"> </w:t>
      </w:r>
      <w:hyperlink r:id="rId62">
        <w:r>
          <w:rPr>
            <w:rStyle w:val="Hyperlink"/>
          </w:rPr>
          <w:t xml:space="preserve">[83]</w:t>
        </w:r>
      </w:hyperlink>
      <w:r>
        <w:t xml:space="preserve"> </w:t>
      </w:r>
      <w:r>
        <w:t xml:space="preserve">https://journals.sagepub.com/doi/10.1177/1745691612447309</w:t>
      </w:r>
    </w:p>
    <w:p>
      <w:pPr>
        <w:pStyle w:val="BodyText"/>
      </w:pPr>
      <w:hyperlink r:id="rId62">
        <w:r>
          <w:rPr>
            <w:rStyle w:val="Hyperlink"/>
          </w:rPr>
          <w:t xml:space="preserve">https://journals.sagepub.com/doi/10.1177/1745691612447309</w:t>
        </w:r>
      </w:hyperlink>
    </w:p>
    <w:p>
      <w:pPr>
        <w:pStyle w:val="BodyText"/>
      </w:pPr>
      <w:hyperlink r:id="rId64">
        <w:r>
          <w:rPr>
            <w:rStyle w:val="Hyperlink"/>
          </w:rPr>
          <w:t xml:space="preserve">[77]</w:t>
        </w:r>
      </w:hyperlink>
      <w:r>
        <w:t xml:space="preserve"> </w:t>
      </w:r>
      <w:r>
        <w:t xml:space="preserve">https://www.urmc.rochester.edu/community-health/patient-care/self-determination-theory</w:t>
      </w:r>
    </w:p>
    <w:p>
      <w:pPr>
        <w:pStyle w:val="BodyText"/>
      </w:pPr>
      <w:hyperlink r:id="rId64">
        <w:r>
          <w:rPr>
            <w:rStyle w:val="Hyperlink"/>
          </w:rPr>
          <w:t xml:space="preserve">https://www.urmc.rochester.edu/community-health/patient-care/self-determination-theory</w:t>
        </w:r>
      </w:hyperlink>
    </w:p>
    <w:p>
      <w:pPr>
        <w:pStyle w:val="BodyText"/>
      </w:pPr>
      <w:hyperlink r:id="rId66">
        <w:r>
          <w:rPr>
            <w:rStyle w:val="Hyperlink"/>
          </w:rPr>
          <w:t xml:space="preserve">[86]</w:t>
        </w:r>
      </w:hyperlink>
      <w:r>
        <w:t xml:space="preserve"> </w:t>
      </w:r>
      <w:r>
        <w:t xml:space="preserve">https://pmc.ncbi.nlm.nih.gov/articles/PMC6390443/</w:t>
      </w:r>
    </w:p>
    <w:p>
      <w:pPr>
        <w:pStyle w:val="BodyText"/>
      </w:pPr>
      <w:hyperlink r:id="rId66">
        <w:r>
          <w:rPr>
            <w:rStyle w:val="Hyperlink"/>
          </w:rPr>
          <w:t xml:space="preserve">https://pmc.ncbi.nlm.nih.gov/articles/PMC6390443/</w:t>
        </w:r>
      </w:hyperlink>
    </w:p>
    <w:p>
      <w:pPr>
        <w:pStyle w:val="BodyText"/>
      </w:pPr>
      <w:hyperlink r:id="rId67">
        <w:r>
          <w:rPr>
            <w:rStyle w:val="Hyperlink"/>
          </w:rPr>
          <w:t xml:space="preserve">[88]</w:t>
        </w:r>
      </w:hyperlink>
      <w:r>
        <w:t xml:space="preserve"> </w:t>
      </w:r>
      <w:r>
        <w:t xml:space="preserve">https://ira.lib.polyu.edu.hk/bitstream/10397/106677/1/jmir-2024-1-e54375.pdf</w:t>
      </w:r>
    </w:p>
    <w:p>
      <w:pPr>
        <w:pStyle w:val="BodyText"/>
      </w:pPr>
      <w:hyperlink r:id="rId67">
        <w:r>
          <w:rPr>
            <w:rStyle w:val="Hyperlink"/>
          </w:rPr>
          <w:t xml:space="preserve">https://ira.lib.polyu.edu.hk/bitstream/10397/106677/1/jmir-2024-1-e54375.pdf</w:t>
        </w:r>
      </w:hyperlink>
    </w:p>
    <w:p>
      <w:pPr>
        <w:pStyle w:val="BodyText"/>
      </w:pPr>
      <w:hyperlink r:id="rId68">
        <w:r>
          <w:rPr>
            <w:rStyle w:val="Hyperlink"/>
          </w:rPr>
          <w:t xml:space="preserve">[91]</w:t>
        </w:r>
      </w:hyperlink>
      <w:r>
        <w:t xml:space="preserve"> </w:t>
      </w:r>
      <w:r>
        <w:t xml:space="preserve">https://pmc.ncbi.nlm.nih.gov/articles/PMC11384851/</w:t>
      </w:r>
    </w:p>
    <w:p>
      <w:pPr>
        <w:pStyle w:val="BodyText"/>
      </w:pPr>
      <w:hyperlink r:id="rId68">
        <w:r>
          <w:rPr>
            <w:rStyle w:val="Hyperlink"/>
          </w:rPr>
          <w:t xml:space="preserve">https://pmc.ncbi.nlm.nih.gov/articles/PMC11384851/</w:t>
        </w:r>
      </w:hyperlink>
    </w:p>
    <w:p>
      <w:pPr>
        <w:pStyle w:val="BodyText"/>
      </w:pPr>
      <w:hyperlink r:id="rId69">
        <w:r>
          <w:rPr>
            <w:rStyle w:val="Hyperlink"/>
          </w:rPr>
          <w:t xml:space="preserve">[93]</w:t>
        </w:r>
      </w:hyperlink>
      <w:r>
        <w:t xml:space="preserve"> </w:t>
      </w:r>
      <w:r>
        <w:t xml:space="preserve">https://www.pnas.org/doi/10.1073/pnas.1010654108</w:t>
      </w:r>
    </w:p>
    <w:p>
      <w:pPr>
        <w:pStyle w:val="BodyText"/>
      </w:pPr>
      <w:hyperlink r:id="rId69">
        <w:r>
          <w:rPr>
            <w:rStyle w:val="Hyperlink"/>
          </w:rPr>
          <w:t xml:space="preserve">https://www.pnas.org/doi/10.1073/pnas.1010654108</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discovery.ucl.ac.uk/id/eprint/10095640/" TargetMode="External" /><Relationship Type="http://schemas.openxmlformats.org/officeDocument/2006/relationships/hyperlink" Id="rId51" Target="https://experts.illinois.edu/en/publications/appealing-to-fear-a-meta-analysis-of-fear-appeal-effectiveness-an/" TargetMode="External" /><Relationship Type="http://schemas.openxmlformats.org/officeDocument/2006/relationships/hyperlink" Id="rId67" Target="https://ira.lib.polyu.edu.hk/bitstream/10397/106677/1/jmir-2024-1-e54375.pdf" TargetMode="External" /><Relationship Type="http://schemas.openxmlformats.org/officeDocument/2006/relationships/hyperlink" Id="rId62" Target="https://journals.sagepub.com/doi/10.1177/1745691612447309" TargetMode="External" /><Relationship Type="http://schemas.openxmlformats.org/officeDocument/2006/relationships/hyperlink" Id="rId34" Target="https://link.springer.com/article/10.1186/1748-5908-6-42" TargetMode="External" /><Relationship Type="http://schemas.openxmlformats.org/officeDocument/2006/relationships/hyperlink" Id="rId22" Target="https://ohsu.elsevierpure.com/en/publications/teachable-moments-for-health-behavior-change-a-concept-analysis/" TargetMode="External" /><Relationship Type="http://schemas.openxmlformats.org/officeDocument/2006/relationships/hyperlink" Id="rId50" Target="https://pmc.ncbi.nlm.nih.gov/articles/PMC11112274/" TargetMode="External" /><Relationship Type="http://schemas.openxmlformats.org/officeDocument/2006/relationships/hyperlink" Id="rId58" Target="https://pmc.ncbi.nlm.nih.gov/articles/PMC11332439/" TargetMode="External" /><Relationship Type="http://schemas.openxmlformats.org/officeDocument/2006/relationships/hyperlink" Id="rId68" Target="https://pmc.ncbi.nlm.nih.gov/articles/PMC11384851/" TargetMode="External" /><Relationship Type="http://schemas.openxmlformats.org/officeDocument/2006/relationships/hyperlink" Id="rId42" Target="https://pmc.ncbi.nlm.nih.gov/articles/PMC11528982/" TargetMode="External" /><Relationship Type="http://schemas.openxmlformats.org/officeDocument/2006/relationships/hyperlink" Id="rId47" Target="https://pmc.ncbi.nlm.nih.gov/articles/PMC12417506/" TargetMode="External" /><Relationship Type="http://schemas.openxmlformats.org/officeDocument/2006/relationships/hyperlink" Id="rId32" Target="https://pmc.ncbi.nlm.nih.gov/articles/PMC4675534/" TargetMode="External" /><Relationship Type="http://schemas.openxmlformats.org/officeDocument/2006/relationships/hyperlink" Id="rId40" Target="https://pmc.ncbi.nlm.nih.gov/articles/PMC5471959/" TargetMode="External" /><Relationship Type="http://schemas.openxmlformats.org/officeDocument/2006/relationships/hyperlink" Id="rId28" Target="https://pmc.ncbi.nlm.nih.gov/articles/PMC5756532/" TargetMode="External" /><Relationship Type="http://schemas.openxmlformats.org/officeDocument/2006/relationships/hyperlink" Id="rId66" Target="https://pmc.ncbi.nlm.nih.gov/articles/PMC6390443/" TargetMode="External" /><Relationship Type="http://schemas.openxmlformats.org/officeDocument/2006/relationships/hyperlink" Id="rId46" Target="https://pmc.ncbi.nlm.nih.gov/articles/PMC6728546/" TargetMode="External" /><Relationship Type="http://schemas.openxmlformats.org/officeDocument/2006/relationships/hyperlink" Id="rId55" Target="https://pmc.ncbi.nlm.nih.gov/articles/PMC6890985/" TargetMode="External" /><Relationship Type="http://schemas.openxmlformats.org/officeDocument/2006/relationships/hyperlink" Id="rId26" Target="https://pmc.ncbi.nlm.nih.gov/articles/PMC8034391/" TargetMode="External" /><Relationship Type="http://schemas.openxmlformats.org/officeDocument/2006/relationships/hyperlink" Id="rId21" Target="https://pmc.ncbi.nlm.nih.gov/articles/PMC8200683/" TargetMode="External" /><Relationship Type="http://schemas.openxmlformats.org/officeDocument/2006/relationships/hyperlink" Id="rId39" Target="https://psnet.ahrq.gov/perspective/harm-reduction-strategies-improve-safety-people-who-use-substances" TargetMode="External" /><Relationship Type="http://schemas.openxmlformats.org/officeDocument/2006/relationships/hyperlink" Id="rId23" Target="https://pubmed.ncbi.nlm.nih.gov/24001658/" TargetMode="External" /><Relationship Type="http://schemas.openxmlformats.org/officeDocument/2006/relationships/hyperlink" Id="rId49" Target="https://pubmed.ncbi.nlm.nih.gov/28258777/" TargetMode="External" /><Relationship Type="http://schemas.openxmlformats.org/officeDocument/2006/relationships/hyperlink" Id="rId38" Target="https://pubmed.ncbi.nlm.nih.gov/32448627/" TargetMode="External" /><Relationship Type="http://schemas.openxmlformats.org/officeDocument/2006/relationships/hyperlink" Id="rId43" Target="https://pubmed.ncbi.nlm.nih.gov/40105110/" TargetMode="External" /><Relationship Type="http://schemas.openxmlformats.org/officeDocument/2006/relationships/hyperlink" Id="rId24" Target="https://selfdeterminationtheory.org/wp-content/uploads/2020/11/2020_SheeranWrightEtAl_SDTInterventions.pdf" TargetMode="External" /><Relationship Type="http://schemas.openxmlformats.org/officeDocument/2006/relationships/hyperlink" Id="rId45" Target="https://www.appa-net.org/eWeb/docs/APPA/standards/A_Meta-Analysis_of_Motivational_Interviewing_Process.pdf" TargetMode="External" /><Relationship Type="http://schemas.openxmlformats.org/officeDocument/2006/relationships/hyperlink" Id="rId31" Target="https://www.mdpi.com/2227-9032/12/23/2488" TargetMode="External" /><Relationship Type="http://schemas.openxmlformats.org/officeDocument/2006/relationships/hyperlink" Id="rId56" Target="https://www.nature.com/articles/s41398-023-02666-1" TargetMode="External" /><Relationship Type="http://schemas.openxmlformats.org/officeDocument/2006/relationships/hyperlink" Id="rId36" Target="https://www.nature.com/articles/s41598-023-40141-5" TargetMode="External" /><Relationship Type="http://schemas.openxmlformats.org/officeDocument/2006/relationships/hyperlink" Id="rId27" Target="https://www.ncbi.nlm.nih.gov/books/NBK571073/box/ch1.b5/?report=objectonly" TargetMode="External" /><Relationship Type="http://schemas.openxmlformats.org/officeDocument/2006/relationships/hyperlink" Id="rId48" Target="https://www.ncbi.nlm.nih.gov/books/NBK578197/" TargetMode="External" /><Relationship Type="http://schemas.openxmlformats.org/officeDocument/2006/relationships/hyperlink" Id="rId35" Target="https://www.ncbi.nlm.nih.gov/books/NBK71995/" TargetMode="External" /><Relationship Type="http://schemas.openxmlformats.org/officeDocument/2006/relationships/hyperlink" Id="rId59" Target="https://www.nice.org.uk/guidance/ph49/resources/behaviour-change-individual-approaches-pdf-1996366337989" TargetMode="External" /><Relationship Type="http://schemas.openxmlformats.org/officeDocument/2006/relationships/hyperlink" Id="rId69" Target="https://www.pnas.org/doi/10.1073/pnas.1010654108" TargetMode="External" /><Relationship Type="http://schemas.openxmlformats.org/officeDocument/2006/relationships/hyperlink" Id="rId41" Target="https://www.research-collection.ethz.ch/bitstreams/22386a05-8c8f-4df3-a8df-2c9bfb551387/download" TargetMode="External" /><Relationship Type="http://schemas.openxmlformats.org/officeDocument/2006/relationships/hyperlink" Id="rId25" Target="https://www.researchgate.net/publication/37367696_Implementation_Intentions_and_Goal_Achievement_A_Meta-Analysis_of_Effects_and_Processes" TargetMode="External" /><Relationship Type="http://schemas.openxmlformats.org/officeDocument/2006/relationships/hyperlink" Id="rId37" Target="https://www.researchgate.net/publication/380424692_Effectiveness_of_Acceptance_and_Commitment_Therapy_for_Addictive_Behaviors_A_Systematic_Review_and_Meta-analysis" TargetMode="External" /><Relationship Type="http://schemas.openxmlformats.org/officeDocument/2006/relationships/hyperlink" Id="rId64" Target="https://www.urmc.rochester.edu/community-health/patient-care/self-determination-theory" TargetMode="External" /></Relationships>
</file>

<file path=word/_rels/footnotes.xml.rels><?xml version="1.0" encoding="UTF-8"?><Relationships xmlns="http://schemas.openxmlformats.org/package/2006/relationships"><Relationship Type="http://schemas.openxmlformats.org/officeDocument/2006/relationships/hyperlink" Id="rId30" Target="https://discovery.ucl.ac.uk/id/eprint/10095640/" TargetMode="External" /><Relationship Type="http://schemas.openxmlformats.org/officeDocument/2006/relationships/hyperlink" Id="rId51" Target="https://experts.illinois.edu/en/publications/appealing-to-fear-a-meta-analysis-of-fear-appeal-effectiveness-an/" TargetMode="External" /><Relationship Type="http://schemas.openxmlformats.org/officeDocument/2006/relationships/hyperlink" Id="rId67" Target="https://ira.lib.polyu.edu.hk/bitstream/10397/106677/1/jmir-2024-1-e54375.pdf" TargetMode="External" /><Relationship Type="http://schemas.openxmlformats.org/officeDocument/2006/relationships/hyperlink" Id="rId62" Target="https://journals.sagepub.com/doi/10.1177/1745691612447309" TargetMode="External" /><Relationship Type="http://schemas.openxmlformats.org/officeDocument/2006/relationships/hyperlink" Id="rId34" Target="https://link.springer.com/article/10.1186/1748-5908-6-42" TargetMode="External" /><Relationship Type="http://schemas.openxmlformats.org/officeDocument/2006/relationships/hyperlink" Id="rId22" Target="https://ohsu.elsevierpure.com/en/publications/teachable-moments-for-health-behavior-change-a-concept-analysis/" TargetMode="External" /><Relationship Type="http://schemas.openxmlformats.org/officeDocument/2006/relationships/hyperlink" Id="rId50" Target="https://pmc.ncbi.nlm.nih.gov/articles/PMC11112274/" TargetMode="External" /><Relationship Type="http://schemas.openxmlformats.org/officeDocument/2006/relationships/hyperlink" Id="rId58" Target="https://pmc.ncbi.nlm.nih.gov/articles/PMC11332439/" TargetMode="External" /><Relationship Type="http://schemas.openxmlformats.org/officeDocument/2006/relationships/hyperlink" Id="rId68" Target="https://pmc.ncbi.nlm.nih.gov/articles/PMC11384851/" TargetMode="External" /><Relationship Type="http://schemas.openxmlformats.org/officeDocument/2006/relationships/hyperlink" Id="rId42" Target="https://pmc.ncbi.nlm.nih.gov/articles/PMC11528982/" TargetMode="External" /><Relationship Type="http://schemas.openxmlformats.org/officeDocument/2006/relationships/hyperlink" Id="rId47" Target="https://pmc.ncbi.nlm.nih.gov/articles/PMC12417506/" TargetMode="External" /><Relationship Type="http://schemas.openxmlformats.org/officeDocument/2006/relationships/hyperlink" Id="rId32" Target="https://pmc.ncbi.nlm.nih.gov/articles/PMC4675534/" TargetMode="External" /><Relationship Type="http://schemas.openxmlformats.org/officeDocument/2006/relationships/hyperlink" Id="rId40" Target="https://pmc.ncbi.nlm.nih.gov/articles/PMC5471959/" TargetMode="External" /><Relationship Type="http://schemas.openxmlformats.org/officeDocument/2006/relationships/hyperlink" Id="rId28" Target="https://pmc.ncbi.nlm.nih.gov/articles/PMC5756532/" TargetMode="External" /><Relationship Type="http://schemas.openxmlformats.org/officeDocument/2006/relationships/hyperlink" Id="rId66" Target="https://pmc.ncbi.nlm.nih.gov/articles/PMC6390443/" TargetMode="External" /><Relationship Type="http://schemas.openxmlformats.org/officeDocument/2006/relationships/hyperlink" Id="rId46" Target="https://pmc.ncbi.nlm.nih.gov/articles/PMC6728546/" TargetMode="External" /><Relationship Type="http://schemas.openxmlformats.org/officeDocument/2006/relationships/hyperlink" Id="rId55" Target="https://pmc.ncbi.nlm.nih.gov/articles/PMC6890985/" TargetMode="External" /><Relationship Type="http://schemas.openxmlformats.org/officeDocument/2006/relationships/hyperlink" Id="rId26" Target="https://pmc.ncbi.nlm.nih.gov/articles/PMC8034391/" TargetMode="External" /><Relationship Type="http://schemas.openxmlformats.org/officeDocument/2006/relationships/hyperlink" Id="rId21" Target="https://pmc.ncbi.nlm.nih.gov/articles/PMC8200683/" TargetMode="External" /><Relationship Type="http://schemas.openxmlformats.org/officeDocument/2006/relationships/hyperlink" Id="rId39" Target="https://psnet.ahrq.gov/perspective/harm-reduction-strategies-improve-safety-people-who-use-substances" TargetMode="External" /><Relationship Type="http://schemas.openxmlformats.org/officeDocument/2006/relationships/hyperlink" Id="rId23" Target="https://pubmed.ncbi.nlm.nih.gov/24001658/" TargetMode="External" /><Relationship Type="http://schemas.openxmlformats.org/officeDocument/2006/relationships/hyperlink" Id="rId49" Target="https://pubmed.ncbi.nlm.nih.gov/28258777/" TargetMode="External" /><Relationship Type="http://schemas.openxmlformats.org/officeDocument/2006/relationships/hyperlink" Id="rId38" Target="https://pubmed.ncbi.nlm.nih.gov/32448627/" TargetMode="External" /><Relationship Type="http://schemas.openxmlformats.org/officeDocument/2006/relationships/hyperlink" Id="rId43" Target="https://pubmed.ncbi.nlm.nih.gov/40105110/" TargetMode="External" /><Relationship Type="http://schemas.openxmlformats.org/officeDocument/2006/relationships/hyperlink" Id="rId24" Target="https://selfdeterminationtheory.org/wp-content/uploads/2020/11/2020_SheeranWrightEtAl_SDTInterventions.pdf" TargetMode="External" /><Relationship Type="http://schemas.openxmlformats.org/officeDocument/2006/relationships/hyperlink" Id="rId45" Target="https://www.appa-net.org/eWeb/docs/APPA/standards/A_Meta-Analysis_of_Motivational_Interviewing_Process.pdf" TargetMode="External" /><Relationship Type="http://schemas.openxmlformats.org/officeDocument/2006/relationships/hyperlink" Id="rId31" Target="https://www.mdpi.com/2227-9032/12/23/2488" TargetMode="External" /><Relationship Type="http://schemas.openxmlformats.org/officeDocument/2006/relationships/hyperlink" Id="rId56" Target="https://www.nature.com/articles/s41398-023-02666-1" TargetMode="External" /><Relationship Type="http://schemas.openxmlformats.org/officeDocument/2006/relationships/hyperlink" Id="rId36" Target="https://www.nature.com/articles/s41598-023-40141-5" TargetMode="External" /><Relationship Type="http://schemas.openxmlformats.org/officeDocument/2006/relationships/hyperlink" Id="rId27" Target="https://www.ncbi.nlm.nih.gov/books/NBK571073/box/ch1.b5/?report=objectonly" TargetMode="External" /><Relationship Type="http://schemas.openxmlformats.org/officeDocument/2006/relationships/hyperlink" Id="rId48" Target="https://www.ncbi.nlm.nih.gov/books/NBK578197/" TargetMode="External" /><Relationship Type="http://schemas.openxmlformats.org/officeDocument/2006/relationships/hyperlink" Id="rId35" Target="https://www.ncbi.nlm.nih.gov/books/NBK71995/" TargetMode="External" /><Relationship Type="http://schemas.openxmlformats.org/officeDocument/2006/relationships/hyperlink" Id="rId59" Target="https://www.nice.org.uk/guidance/ph49/resources/behaviour-change-individual-approaches-pdf-1996366337989" TargetMode="External" /><Relationship Type="http://schemas.openxmlformats.org/officeDocument/2006/relationships/hyperlink" Id="rId69" Target="https://www.pnas.org/doi/10.1073/pnas.1010654108" TargetMode="External" /><Relationship Type="http://schemas.openxmlformats.org/officeDocument/2006/relationships/hyperlink" Id="rId41" Target="https://www.research-collection.ethz.ch/bitstreams/22386a05-8c8f-4df3-a8df-2c9bfb551387/download" TargetMode="External" /><Relationship Type="http://schemas.openxmlformats.org/officeDocument/2006/relationships/hyperlink" Id="rId25" Target="https://www.researchgate.net/publication/37367696_Implementation_Intentions_and_Goal_Achievement_A_Meta-Analysis_of_Effects_and_Processes" TargetMode="External" /><Relationship Type="http://schemas.openxmlformats.org/officeDocument/2006/relationships/hyperlink" Id="rId37" Target="https://www.researchgate.net/publication/380424692_Effectiveness_of_Acceptance_and_Commitment_Therapy_for_Addictive_Behaviors_A_Systematic_Review_and_Meta-analysis" TargetMode="External" /><Relationship Type="http://schemas.openxmlformats.org/officeDocument/2006/relationships/hyperlink" Id="rId64" Target="https://www.urmc.rochester.edu/community-health/patient-care/self-determination-theo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2026-06-18T10:40:57Z</dcterms:created>
  <dcterms:modified xsi:type="dcterms:W3CDTF">2026-06-18T10:40:57Z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