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582cb06fed7e7637e1c535b72cc8d2c06004f84"/>
    <w:p>
      <w:pPr>
        <w:pStyle w:val="Heading1"/>
      </w:pPr>
      <w:r>
        <w:t xml:space="preserve">Sapiens OS HealthSpan Investment Narrative</w:t>
      </w:r>
    </w:p>
    <w:bookmarkStart w:id="23" w:name="executive-summary"/>
    <w:p>
      <w:pPr>
        <w:pStyle w:val="Heading2"/>
      </w:pPr>
      <w:r>
        <w:t xml:space="preserve">Executive summary</w:t>
      </w:r>
    </w:p>
    <w:p>
      <w:pPr>
        <w:pStyle w:val="FirstParagraph"/>
      </w:pPr>
      <w:r>
        <w:t xml:space="preserve">The strongest evidence-based problem framing is not that people “lack health data.” It is that</w:t>
      </w:r>
      <w:r>
        <w:t xml:space="preserve"> </w:t>
      </w:r>
      <w:r>
        <w:rPr>
          <w:b/>
          <w:bCs/>
        </w:rPr>
        <w:t xml:space="preserve">modern prevention fails at execution</w:t>
      </w:r>
      <w:r>
        <w:t xml:space="preserve">. Chronic disease and lost healthy life years are driven heavily by modifiable behaviours, yet most health systems intervene late, and most consumer health products still stop at measurement, interpretation, or episodic recommendations rather than durable day-to-day behaviour execution. In 2021, noncommunicable diseases caused at least 43 million deaths globally, and the WHO identifies tobacco use, physical inactivity, harmful alcohol use, unhealthy diets, and air pollution as major drivers. In Europe, lifestyle risk factors accounted for about 1.1 million deaths in 2021, nearly 21% of all deaths in the EU. At the same time, Europe is ageing rapidly and more than half of the years people live after 65 are impaired by chronic illness and disability.</w:t>
      </w:r>
      <w:r>
        <w:t xml:space="preserve"> </w:t>
      </w:r>
      <w:hyperlink r:id="rId21">
        <w:r>
          <w:rPr>
            <w:rStyle w:val="Hyperlink"/>
          </w:rPr>
          <w:t xml:space="preserve">[1]</w:t>
        </w:r>
      </w:hyperlink>
    </w:p>
    <w:p>
      <w:pPr>
        <w:pStyle w:val="BodyText"/>
      </w:pPr>
      <w:r>
        <w:t xml:space="preserve">That macro burden intersects with a second, narrower but highly investable truth:</w:t>
      </w:r>
      <w:r>
        <w:t xml:space="preserve"> </w:t>
      </w:r>
      <w:r>
        <w:rPr>
          <w:b/>
          <w:bCs/>
        </w:rPr>
        <w:t xml:space="preserve">measurement has scaled faster than action</w:t>
      </w:r>
      <w:r>
        <w:t xml:space="preserve">. Apple Health centralises data and charts, WHOOP offers 24/7 monitoring plus coaching, Oura sells sleep, stress, and readiness guidance, and lab-first platforms like Function and Superpower aggregate biomarkers, wearables, and protocols. Yet even the most sophisticated systems still require the user to translate signals into consistent action. Google researchers explicitly describe deriving actionable personalised insights from wearable data as a challenge requiring non-trivial analysis, and remote digital health studies continue to show substantial attrition. The strongest deck therefore should not say “people have too much data” in a vague way. It should say:</w:t>
      </w:r>
      <w:r>
        <w:t xml:space="preserve"> </w:t>
      </w:r>
      <w:r>
        <w:rPr>
          <w:b/>
          <w:bCs/>
        </w:rPr>
        <w:t xml:space="preserve">people now have unprecedented visibility into their biology, but there is still no dominant execution layer that reliably turns that visibility into sustained daily behaviour.</w:t>
      </w:r>
      <w:r>
        <w:t xml:space="preserve"> </w:t>
      </w:r>
      <w:hyperlink r:id="rId22">
        <w:r>
          <w:rPr>
            <w:rStyle w:val="Hyperlink"/>
          </w:rPr>
          <w:t xml:space="preserve">[2]</w:t>
        </w:r>
      </w:hyperlink>
    </w:p>
    <w:p>
      <w:pPr>
        <w:pStyle w:val="BodyText"/>
      </w:pPr>
      <w:r>
        <w:t xml:space="preserve">For investors, the most credible narrative is a hybrid of three ideas. First,</w:t>
      </w:r>
      <w:r>
        <w:t xml:space="preserve"> </w:t>
      </w:r>
      <w:r>
        <w:rPr>
          <w:b/>
          <w:bCs/>
        </w:rPr>
        <w:t xml:space="preserve">behaviour change is the missing layer</w:t>
      </w:r>
      <w:r>
        <w:t xml:space="preserve">. Second,</w:t>
      </w:r>
      <w:r>
        <w:t xml:space="preserve"> </w:t>
      </w:r>
      <w:r>
        <w:rPr>
          <w:b/>
          <w:bCs/>
        </w:rPr>
        <w:t xml:space="preserve">the health system still overweights treatment relative to continuous preventive execution</w:t>
      </w:r>
      <w:r>
        <w:t xml:space="preserve">. Third,</w:t>
      </w:r>
      <w:r>
        <w:t xml:space="preserve"> </w:t>
      </w:r>
      <w:r>
        <w:rPr>
          <w:b/>
          <w:bCs/>
        </w:rPr>
        <w:t xml:space="preserve">the longevity and quantified-self markets have become very good at measurement, but are still weak at adherence</w:t>
      </w:r>
      <w:r>
        <w:t xml:space="preserve">. By contrast, “nervous-system-first” is a potentially differentiating mechanism, but today it is not strong enough to carry the whole problem slide by itself. Likewise, “executive performance” is a valuable entry wedge, not the macro reason the company deserves to exist.</w:t>
      </w:r>
      <w:r>
        <w:t xml:space="preserve"> </w:t>
      </w:r>
      <w:hyperlink r:id="rId21">
        <w:r>
          <w:rPr>
            <w:rStyle w:val="Hyperlink"/>
          </w:rPr>
          <w:t xml:space="preserve">[3]</w:t>
        </w:r>
      </w:hyperlink>
    </w:p>
    <w:p>
      <w:pPr>
        <w:pStyle w:val="BodyText"/>
      </w:pPr>
      <w:r>
        <w:t xml:space="preserve">Your current deck already points in the right direction by positioning Sapiens OS HealthSpan as an EU-first, privacy-first behaviour operating system that converts inputs into one daily action; the most important work is to sharpen that into a problem statement investors will recognise as both true and venture-relevant. fileciteturn0file0</w:t>
      </w:r>
    </w:p>
    <w:bookmarkEnd w:id="23"/>
    <w:bookmarkStart w:id="24" w:name="the-strongest-problem-framing"/>
    <w:p>
      <w:pPr>
        <w:pStyle w:val="Heading2"/>
      </w:pPr>
      <w:r>
        <w:t xml:space="preserve">The strongest problem framing</w:t>
      </w:r>
    </w:p>
    <w:p>
      <w:pPr>
        <w:pStyle w:val="FirstParagraph"/>
      </w:pPr>
      <w:r>
        <w:t xml:space="preserve">If this were being built into one problem slide for a top-tier seed investor, the strongest framing would be:</w:t>
      </w:r>
    </w:p>
    <w:p>
      <w:pPr>
        <w:pStyle w:val="BodyText"/>
      </w:pPr>
      <w:r>
        <w:rPr>
          <w:b/>
          <w:bCs/>
        </w:rPr>
        <w:t xml:space="preserve">Healthspan is increasingly lost in the execution gap between knowing and doing.</w:t>
      </w:r>
      <w:r>
        <w:br/>
      </w:r>
      <w:r>
        <w:t xml:space="preserve">People can now continuously measure sleep, activity, stress, recovery, heart metrics, and biomarkers, but most chronic disease risk is still driven by behaviours that are hard to sustain in real life. The result is a world with more health information, more fragmented health tools, and still-poor day-to-day prevention.</w:t>
      </w:r>
      <w:r>
        <w:t xml:space="preserve"> </w:t>
      </w:r>
      <w:hyperlink r:id="rId21">
        <w:r>
          <w:rPr>
            <w:rStyle w:val="Hyperlink"/>
          </w:rPr>
          <w:t xml:space="preserve">[4]</w:t>
        </w:r>
      </w:hyperlink>
    </w:p>
    <w:p>
      <w:pPr>
        <w:pStyle w:val="BodyText"/>
      </w:pPr>
      <w:r>
        <w:t xml:space="preserve">Why this framing is strongest: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Problem framing</w:t>
            </w:r>
          </w:p>
        </w:tc>
        <w:tc>
          <w:tcPr/>
          <w:p>
            <w:pPr>
              <w:pStyle w:val="Compact"/>
              <w:jc w:val="right"/>
            </w:pPr>
            <w:r>
              <w:t xml:space="preserve">Evidence strength</w:t>
            </w:r>
          </w:p>
        </w:tc>
        <w:tc>
          <w:tcPr/>
          <w:p>
            <w:pPr>
              <w:pStyle w:val="Compact"/>
              <w:jc w:val="right"/>
            </w:pPr>
            <w:r>
              <w:t xml:space="preserve">Market size</w:t>
            </w:r>
          </w:p>
        </w:tc>
        <w:tc>
          <w:tcPr/>
          <w:p>
            <w:pPr>
              <w:pStyle w:val="Compact"/>
              <w:jc w:val="right"/>
            </w:pPr>
            <w:r>
              <w:t xml:space="preserve">Emotional impact</w:t>
            </w:r>
          </w:p>
        </w:tc>
        <w:tc>
          <w:tcPr/>
          <w:p>
            <w:pPr>
              <w:pStyle w:val="Compact"/>
              <w:jc w:val="right"/>
            </w:pPr>
            <w:r>
              <w:t xml:space="preserve">Investor appeal</w:t>
            </w:r>
          </w:p>
        </w:tc>
        <w:tc>
          <w:tcPr/>
          <w:p>
            <w:pPr>
              <w:pStyle w:val="Compact"/>
              <w:jc w:val="right"/>
            </w:pPr>
            <w:r>
              <w:t xml:space="preserve">Fit with Sapiens OS</w:t>
            </w:r>
          </w:p>
        </w:tc>
      </w:tr>
      <w:tr>
        <w:tc>
          <w:tcPr/>
          <w:p>
            <w:pPr>
              <w:pStyle w:val="Compact"/>
            </w:pPr>
            <w:r>
              <w:t xml:space="preserve">Behaviour change is the missing layer in prevention</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4/5</w:t>
            </w:r>
          </w:p>
        </w:tc>
        <w:tc>
          <w:tcPr/>
          <w:p>
            <w:pPr>
              <w:pStyle w:val="Compact"/>
              <w:jc w:val="right"/>
            </w:pPr>
            <w:r>
              <w:t xml:space="preserve">5/5</w:t>
            </w:r>
          </w:p>
        </w:tc>
        <w:tc>
          <w:tcPr/>
          <w:p>
            <w:pPr>
              <w:pStyle w:val="Compact"/>
              <w:jc w:val="right"/>
            </w:pPr>
            <w:r>
              <w:t xml:space="preserve">5/5</w:t>
            </w:r>
          </w:p>
        </w:tc>
      </w:tr>
      <w:tr>
        <w:tc>
          <w:tcPr/>
          <w:p>
            <w:pPr>
              <w:pStyle w:val="Compact"/>
            </w:pPr>
            <w:r>
              <w:t xml:space="preserve">Healthspan is lost in the knowing-doing gap</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r>
      <w:tr>
        <w:tc>
          <w:tcPr/>
          <w:p>
            <w:pPr>
              <w:pStyle w:val="Compact"/>
            </w:pPr>
            <w:r>
              <w:t xml:space="preserve">Preventive health lacks an execution layer between data and outcomes</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4/5</w:t>
            </w:r>
          </w:p>
        </w:tc>
        <w:tc>
          <w:tcPr/>
          <w:p>
            <w:pPr>
              <w:pStyle w:val="Compact"/>
              <w:jc w:val="right"/>
            </w:pPr>
            <w:r>
              <w:t xml:space="preserve">5/5</w:t>
            </w:r>
          </w:p>
        </w:tc>
        <w:tc>
          <w:tcPr/>
          <w:p>
            <w:pPr>
              <w:pStyle w:val="Compact"/>
              <w:jc w:val="right"/>
            </w:pPr>
            <w:r>
              <w:t xml:space="preserve">5/5</w:t>
            </w:r>
          </w:p>
        </w:tc>
      </w:tr>
      <w:tr>
        <w:tc>
          <w:tcPr/>
          <w:p>
            <w:pPr>
              <w:pStyle w:val="Compact"/>
            </w:pPr>
            <w:r>
              <w:t xml:space="preserve">Longevity platforms optimise measurement more than adherence</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5/5</w:t>
            </w:r>
          </w:p>
        </w:tc>
        <w:tc>
          <w:tcPr/>
          <w:p>
            <w:pPr>
              <w:pStyle w:val="Compact"/>
              <w:jc w:val="right"/>
            </w:pPr>
            <w:r>
              <w:t xml:space="preserve">5/5</w:t>
            </w:r>
          </w:p>
        </w:tc>
      </w:tr>
      <w:tr>
        <w:tc>
          <w:tcPr/>
          <w:p>
            <w:pPr>
              <w:pStyle w:val="Compact"/>
            </w:pPr>
            <w:r>
              <w:t xml:space="preserve">Wearable users collect more signal than they convert into habit</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3/5</w:t>
            </w:r>
          </w:p>
        </w:tc>
        <w:tc>
          <w:tcPr/>
          <w:p>
            <w:pPr>
              <w:pStyle w:val="Compact"/>
              <w:jc w:val="right"/>
            </w:pPr>
            <w:r>
              <w:t xml:space="preserve">4/5</w:t>
            </w:r>
          </w:p>
        </w:tc>
        <w:tc>
          <w:tcPr/>
          <w:p>
            <w:pPr>
              <w:pStyle w:val="Compact"/>
              <w:jc w:val="right"/>
            </w:pPr>
            <w:r>
              <w:t xml:space="preserve">5/5</w:t>
            </w:r>
          </w:p>
        </w:tc>
      </w:tr>
      <w:tr>
        <w:tc>
          <w:tcPr/>
          <w:p>
            <w:pPr>
              <w:pStyle w:val="Compact"/>
            </w:pPr>
            <w:r>
              <w:t xml:space="preserve">Health systems are still treatment-heavy rather than behaviour-execution-heavy</w:t>
            </w:r>
          </w:p>
        </w:tc>
        <w:tc>
          <w:tcPr/>
          <w:p>
            <w:pPr>
              <w:pStyle w:val="Compact"/>
              <w:jc w:val="right"/>
            </w:pPr>
            <w:r>
              <w:t xml:space="preserve">4/5</w:t>
            </w:r>
          </w:p>
        </w:tc>
        <w:tc>
          <w:tcPr/>
          <w:p>
            <w:pPr>
              <w:pStyle w:val="Compact"/>
              <w:jc w:val="right"/>
            </w:pPr>
            <w:r>
              <w:t xml:space="preserve">5/5</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4/5</w:t>
            </w:r>
          </w:p>
        </w:tc>
      </w:tr>
      <w:tr>
        <w:tc>
          <w:tcPr/>
          <w:p>
            <w:pPr>
              <w:pStyle w:val="Compact"/>
            </w:pPr>
            <w:r>
              <w:t xml:space="preserve">Digital health is fragmented across dashboards, labs, coaches, and point solutions</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3/5</w:t>
            </w:r>
          </w:p>
        </w:tc>
        <w:tc>
          <w:tcPr/>
          <w:p>
            <w:pPr>
              <w:pStyle w:val="Compact"/>
              <w:jc w:val="right"/>
            </w:pPr>
            <w:r>
              <w:t xml:space="preserve">4/5</w:t>
            </w:r>
          </w:p>
        </w:tc>
        <w:tc>
          <w:tcPr/>
          <w:p>
            <w:pPr>
              <w:pStyle w:val="Compact"/>
              <w:jc w:val="right"/>
            </w:pPr>
            <w:r>
              <w:t xml:space="preserve">5/5</w:t>
            </w:r>
          </w:p>
        </w:tc>
      </w:tr>
      <w:tr>
        <w:tc>
          <w:tcPr/>
          <w:p>
            <w:pPr>
              <w:pStyle w:val="Compact"/>
            </w:pPr>
            <w:r>
              <w:t xml:space="preserve">High performers lack a sustainable performance operating system</w:t>
            </w:r>
          </w:p>
        </w:tc>
        <w:tc>
          <w:tcPr/>
          <w:p>
            <w:pPr>
              <w:pStyle w:val="Compact"/>
              <w:jc w:val="right"/>
            </w:pPr>
            <w:r>
              <w:t xml:space="preserve">3/5</w:t>
            </w:r>
          </w:p>
        </w:tc>
        <w:tc>
          <w:tcPr/>
          <w:p>
            <w:pPr>
              <w:pStyle w:val="Compact"/>
              <w:jc w:val="right"/>
            </w:pPr>
            <w:r>
              <w:t xml:space="preserve">3/5</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5/5</w:t>
            </w:r>
          </w:p>
        </w:tc>
      </w:tr>
      <w:tr>
        <w:tc>
          <w:tcPr/>
          <w:p>
            <w:pPr>
              <w:pStyle w:val="Compact"/>
            </w:pPr>
            <w:r>
              <w:t xml:space="preserve">Stress and poor recovery silently degrade cognition and performance</w:t>
            </w:r>
          </w:p>
        </w:tc>
        <w:tc>
          <w:tcPr/>
          <w:p>
            <w:pPr>
              <w:pStyle w:val="Compact"/>
              <w:jc w:val="right"/>
            </w:pPr>
            <w:r>
              <w:t xml:space="preserve">3/5</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4/5</w:t>
            </w:r>
          </w:p>
        </w:tc>
      </w:tr>
      <w:tr>
        <w:tc>
          <w:tcPr/>
          <w:p>
            <w:pPr>
              <w:pStyle w:val="Compact"/>
            </w:pPr>
            <w:r>
              <w:t xml:space="preserve">The nervous system is the missing infrastructure of healthspan</w:t>
            </w:r>
          </w:p>
        </w:tc>
        <w:tc>
          <w:tcPr/>
          <w:p>
            <w:pPr>
              <w:pStyle w:val="Compact"/>
              <w:jc w:val="right"/>
            </w:pPr>
            <w:r>
              <w:t xml:space="preserve">2/5</w:t>
            </w:r>
          </w:p>
        </w:tc>
        <w:tc>
          <w:tcPr/>
          <w:p>
            <w:pPr>
              <w:pStyle w:val="Compact"/>
              <w:jc w:val="right"/>
            </w:pPr>
            <w:r>
              <w:t xml:space="preserve">3/5</w:t>
            </w:r>
          </w:p>
        </w:tc>
        <w:tc>
          <w:tcPr/>
          <w:p>
            <w:pPr>
              <w:pStyle w:val="Compact"/>
              <w:jc w:val="right"/>
            </w:pPr>
            <w:r>
              <w:t xml:space="preserve">4/5</w:t>
            </w:r>
          </w:p>
        </w:tc>
        <w:tc>
          <w:tcPr/>
          <w:p>
            <w:pPr>
              <w:pStyle w:val="Compact"/>
              <w:jc w:val="right"/>
            </w:pPr>
            <w:r>
              <w:t xml:space="preserve">3/5</w:t>
            </w:r>
          </w:p>
        </w:tc>
        <w:tc>
          <w:tcPr/>
          <w:p>
            <w:pPr>
              <w:pStyle w:val="Compact"/>
              <w:jc w:val="right"/>
            </w:pPr>
            <w:r>
              <w:t xml:space="preserve">5/5</w:t>
            </w:r>
          </w:p>
        </w:tc>
      </w:tr>
    </w:tbl>
    <w:p>
      <w:pPr>
        <w:pStyle w:val="BodyText"/>
      </w:pPr>
      <w:r>
        <w:t xml:space="preserve">These scores are an analytical synthesis, not a direct dataset, and they are grounded in the chronic-disease burden, EU healthy longevity data, behaviour-change literature, and current product landscape.</w:t>
      </w:r>
      <w:r>
        <w:t xml:space="preserve"> </w:t>
      </w:r>
      <w:hyperlink r:id="rId21">
        <w:r>
          <w:rPr>
            <w:rStyle w:val="Hyperlink"/>
          </w:rPr>
          <w:t xml:space="preserve">[5]</w:t>
        </w:r>
      </w:hyperlink>
    </w:p>
    <w:p>
      <w:pPr>
        <w:pStyle w:val="BodyText"/>
      </w:pPr>
      <w:r>
        <w:t xml:space="preserve">The reason this beats alternative narratives is simple. “Chronic disease” alone is true but too broad. “Executive burnout” is emotionally resonant but too narrow. “Too much data” is catchy but risks sounding like marketing. “Nervous system first” is differentiated but currently under-evidenced as a macro market problem.</w:t>
      </w:r>
      <w:r>
        <w:t xml:space="preserve"> </w:t>
      </w:r>
      <w:r>
        <w:rPr>
          <w:b/>
          <w:bCs/>
        </w:rPr>
        <w:t xml:space="preserve">Execution in prevention</w:t>
      </w:r>
      <w:r>
        <w:t xml:space="preserve"> </w:t>
      </w:r>
      <w:r>
        <w:t xml:space="preserve">is the intersection where the burden is large, the failure is visible, the incumbents are incomplete, and Sapiens OS’s “one personalised daily action” actually maps to the problem.</w:t>
      </w:r>
      <w:r>
        <w:t xml:space="preserve"> </w:t>
      </w:r>
      <w:hyperlink r:id="rId21">
        <w:r>
          <w:rPr>
            <w:rStyle w:val="Hyperlink"/>
          </w:rPr>
          <w:t xml:space="preserve">[6]</w:t>
        </w:r>
      </w:hyperlink>
    </w:p>
    <w:bookmarkEnd w:id="24"/>
    <w:bookmarkStart w:id="27" w:name="Xbef9961a1d664d60432411d9256138c6b1513bf"/>
    <w:p>
      <w:pPr>
        <w:pStyle w:val="Heading2"/>
      </w:pPr>
      <w:r>
        <w:t xml:space="preserve">What the evidence says about data and action</w:t>
      </w:r>
    </w:p>
    <w:p>
      <w:pPr>
        <w:pStyle w:val="FirstParagraph"/>
      </w:pPr>
      <w:r>
        <w:t xml:space="preserve">The claim “too much data, not enough action” is</w:t>
      </w:r>
      <w:r>
        <w:t xml:space="preserve"> </w:t>
      </w:r>
      <w:r>
        <w:rPr>
          <w:b/>
          <w:bCs/>
        </w:rPr>
        <w:t xml:space="preserve">directionally true, but it needs to be expressed more precisely</w:t>
      </w:r>
      <w:r>
        <w:t xml:space="preserve">. The evidence does not show that data abundance alone is the problem. It shows that</w:t>
      </w:r>
      <w:r>
        <w:t xml:space="preserve"> </w:t>
      </w:r>
      <w:r>
        <w:rPr>
          <w:b/>
          <w:bCs/>
        </w:rPr>
        <w:t xml:space="preserve">data capture and insight generation have advanced faster than sustained behaviour execution</w:t>
      </w:r>
      <w:r>
        <w:t xml:space="preserve">. Apple Health explicitly organises medications, sleep, activity and other health data in one secure place with charts and trend analysis. WHOOP sells 24/7 health insights and personalised coaching across sleep, strain, stress, heart health and healthspan. Oura positions itself around sleep, stress, activity and daily readiness. Superpower combines 100+ biomarkers, wearable sync, AI companion, and personalised protocols. Function sells 100+ to 160+ lab tests under a membership model. In other words, the market is clearly converging on richer measurement and interpretation.</w:t>
      </w:r>
      <w:r>
        <w:t xml:space="preserve"> </w:t>
      </w:r>
      <w:hyperlink r:id="rId22">
        <w:r>
          <w:rPr>
            <w:rStyle w:val="Hyperlink"/>
          </w:rPr>
          <w:t xml:space="preserve">[7]</w:t>
        </w:r>
      </w:hyperlink>
    </w:p>
    <w:p>
      <w:pPr>
        <w:pStyle w:val="BodyText"/>
      </w:pPr>
      <w:r>
        <w:t xml:space="preserve">What remains unresolved is translation into</w:t>
      </w:r>
      <w:r>
        <w:t xml:space="preserve"> </w:t>
      </w:r>
      <w:r>
        <w:rPr>
          <w:b/>
          <w:bCs/>
        </w:rPr>
        <w:t xml:space="preserve">consistent, context-aware, low-friction daily behaviour</w:t>
      </w:r>
      <w:r>
        <w:t xml:space="preserve">. Google’s work on PHIA states plainly that deriving actionable personalised insights from wearable data remains challenging because it requires non-trivial analysis. Separately, large remote digital health studies involving over 100,000 participants show substantial attrition and representativeness problems, which is exactly what an investor should expect in products that rely on user interpretation, repeated self-management, or loosely structured engagement. The sharp version of the market insight, therefore, is not “we have too much data.” It is:</w:t>
      </w:r>
      <w:r>
        <w:t xml:space="preserve"> </w:t>
      </w:r>
      <w:r>
        <w:rPr>
          <w:b/>
          <w:bCs/>
        </w:rPr>
        <w:t xml:space="preserve">we have scaled sensing and scoring faster than adherence.</w:t>
      </w:r>
      <w:r>
        <w:t xml:space="preserve"> </w:t>
      </w:r>
      <w:hyperlink r:id="rId25">
        <w:r>
          <w:rPr>
            <w:rStyle w:val="Hyperlink"/>
          </w:rPr>
          <w:t xml:space="preserve">[8]</w:t>
        </w:r>
      </w:hyperlink>
    </w:p>
    <w:p>
      <w:pPr>
        <w:pStyle w:val="BodyText"/>
      </w:pPr>
      <w:r>
        <w:t xml:space="preserve">That distinction matters because sophisticated investors will immediately push back on blanket claims that “dashboards do nothing.” Dashboards and wearables do help many users detect patterns, close activity rings, or improve routines. WHOOP even reports associations between daily wear and more weekly activity, more sleep, and higher HRV. Apple, WHOOP and Oura all show that people value measurement. But those examples do not invalidate the gap; they define it. They show that</w:t>
      </w:r>
      <w:r>
        <w:t xml:space="preserve"> </w:t>
      </w:r>
      <w:r>
        <w:rPr>
          <w:b/>
          <w:bCs/>
        </w:rPr>
        <w:t xml:space="preserve">users are willing to measure</w:t>
      </w:r>
      <w:r>
        <w:t xml:space="preserve">, while the continued burden of modifiable disease and the persistence of intervention attrition show that</w:t>
      </w:r>
      <w:r>
        <w:t xml:space="preserve"> </w:t>
      </w:r>
      <w:r>
        <w:rPr>
          <w:b/>
          <w:bCs/>
        </w:rPr>
        <w:t xml:space="preserve">measurement has not solved execution at population scale</w:t>
      </w:r>
      <w:r>
        <w:t xml:space="preserve">.</w:t>
      </w:r>
      <w:r>
        <w:t xml:space="preserve"> </w:t>
      </w:r>
      <w:hyperlink r:id="rId26">
        <w:r>
          <w:rPr>
            <w:rStyle w:val="Hyperlink"/>
          </w:rPr>
          <w:t xml:space="preserve">[9]</w:t>
        </w:r>
      </w:hyperlink>
    </w:p>
    <w:p>
      <w:pPr>
        <w:pStyle w:val="BodyText"/>
      </w:pPr>
      <w:r>
        <w:t xml:space="preserve">My conclusion for the deck is therefore:</w:t>
      </w:r>
    </w:p>
    <w:p>
      <w:pPr>
        <w:pStyle w:val="BodyText"/>
      </w:pPr>
      <w:r>
        <w:rPr>
          <w:b/>
          <w:bCs/>
        </w:rPr>
        <w:t xml:space="preserve">Use the line, but upgrade it.</w:t>
      </w:r>
      <w:r>
        <w:br/>
      </w:r>
      <w:r>
        <w:t xml:space="preserve">Avoid: “People have too much data and not enough action.”</w:t>
      </w:r>
      <w:r>
        <w:br/>
      </w:r>
      <w:r>
        <w:t xml:space="preserve">Prefer:</w:t>
      </w:r>
      <w:r>
        <w:t xml:space="preserve"> </w:t>
      </w:r>
      <w:r>
        <w:rPr>
          <w:b/>
          <w:bCs/>
        </w:rPr>
        <w:t xml:space="preserve">“Health data has become abundant; sustained daily execution has not.”</w:t>
      </w:r>
      <w:r>
        <w:br/>
      </w:r>
      <w:r>
        <w:t xml:space="preserve">That formulation is more rigorous, more defensible, and much harder for an investor to dismiss.</w:t>
      </w:r>
      <w:r>
        <w:t xml:space="preserve"> </w:t>
      </w:r>
      <w:hyperlink r:id="rId25">
        <w:r>
          <w:rPr>
            <w:rStyle w:val="Hyperlink"/>
          </w:rPr>
          <w:t xml:space="preserve">[10]</w:t>
        </w:r>
      </w:hyperlink>
    </w:p>
    <w:bookmarkEnd w:id="27"/>
    <w:bookmarkStart w:id="30" w:name="why-behaviour-change-fails"/>
    <w:p>
      <w:pPr>
        <w:pStyle w:val="Heading2"/>
      </w:pPr>
      <w:r>
        <w:t xml:space="preserve">Why behaviour change fails</w:t>
      </w:r>
    </w:p>
    <w:p>
      <w:pPr>
        <w:pStyle w:val="FirstParagraph"/>
      </w:pPr>
      <w:r>
        <w:t xml:space="preserve">The strongest mechanism is the</w:t>
      </w:r>
      <w:r>
        <w:t xml:space="preserve"> </w:t>
      </w:r>
      <w:r>
        <w:rPr>
          <w:b/>
          <w:bCs/>
        </w:rPr>
        <w:t xml:space="preserve">intention-behaviour gap</w:t>
      </w:r>
      <w:r>
        <w:t xml:space="preserve">: people often know the right thing to do and even intend to do it, but fail to act consistently because action requires planning, cueing, prioritisation, friction reduction, and repetition in the context of real life. Behavioural theory and implementation-intention research have long argued that goals alone are not enough; people do better when plans specify when, where, and how an action will happen, precisely because this reduces the cognitive work required at the moment of decision. The practical implication for product design is powerful: a system that narrows choice to one contextually relevant action is not a gimmick. It is an attempt to solve a known execution problem.</w:t>
      </w:r>
      <w:r>
        <w:t xml:space="preserve"> </w:t>
      </w:r>
      <w:hyperlink r:id="rId28">
        <w:r>
          <w:rPr>
            <w:rStyle w:val="Hyperlink"/>
          </w:rPr>
          <w:t xml:space="preserve">[11]</w:t>
        </w:r>
      </w:hyperlink>
    </w:p>
    <w:p>
      <w:pPr>
        <w:pStyle w:val="BodyText"/>
      </w:pPr>
      <w:r>
        <w:t xml:space="preserve">Stress and cognitive load make that execution problem worse. WHO defines burnout as an occupational phenomenon resulting from chronic workplace stress that has not been successfully managed. Commercial wearable platforms increasingly track stress and recovery because these states affect sleep, exercise, mood, and the ability to follow through. Apple’s sleep and vitals features explicitly position overnight metrics as signals that may change before users feel them. WHOOP now includes real-time stress monitoring and healthspan features. This does not prove that stress is the only lever, but it does support a more nuanced view:</w:t>
      </w:r>
      <w:r>
        <w:t xml:space="preserve"> </w:t>
      </w:r>
      <w:r>
        <w:rPr>
          <w:b/>
          <w:bCs/>
        </w:rPr>
        <w:t xml:space="preserve">health behaviour is not just an information problem; it is a regulation, recovery, and prioritisation problem.</w:t>
      </w:r>
      <w:r>
        <w:t xml:space="preserve"> </w:t>
      </w:r>
      <w:hyperlink r:id="rId29">
        <w:r>
          <w:rPr>
            <w:rStyle w:val="Hyperlink"/>
          </w:rPr>
          <w:t xml:space="preserve">[12]</w:t>
        </w:r>
      </w:hyperlink>
    </w:p>
    <w:p>
      <w:pPr>
        <w:pStyle w:val="BodyText"/>
      </w:pPr>
      <w:r>
        <w:t xml:space="preserve">The literature also suggests that single interventions are rarely enough. Remote studies show attrition; wearable analysis still struggles to produce actionable personalised guidance at scale; coaching can work but is expensive and labour-intensive. In practice, durable behaviour change usually requires a stack: measurement, interpretation, planning, reminders, self-efficacy, environmental cueing, accountability, and low-friction repetition. This is exactly why the Sapiens concept is potentially interesting if done well: it claims to sit</w:t>
      </w:r>
      <w:r>
        <w:t xml:space="preserve"> </w:t>
      </w:r>
      <w:r>
        <w:rPr>
          <w:b/>
          <w:bCs/>
        </w:rPr>
        <w:t xml:space="preserve">between signal and action</w:t>
      </w:r>
      <w:r>
        <w:t xml:space="preserve">, not just on top of data.</w:t>
      </w:r>
      <w:r>
        <w:t xml:space="preserve"> </w:t>
      </w:r>
      <w:hyperlink r:id="rId25">
        <w:r>
          <w:rPr>
            <w:rStyle w:val="Hyperlink"/>
          </w:rPr>
          <w:t xml:space="preserve">[13]</w:t>
        </w:r>
      </w:hyperlink>
    </w:p>
    <w:p>
      <w:pPr>
        <w:pStyle w:val="BodyText"/>
      </w:pPr>
      <w:r>
        <w:t xml:space="preserve">The deck should therefore describe the failure mechanism in plain English:</w:t>
      </w:r>
    </w:p>
    <w:p>
      <w:pPr>
        <w:pStyle w:val="BodyText"/>
      </w:pPr>
      <w:r>
        <w:rPr>
          <w:b/>
          <w:bCs/>
        </w:rPr>
        <w:t xml:space="preserve">People do not fail because biometrics are unavailable. They fail because execution competes with stress, time scarcity, cognitive overload, and fragmented tools.</w:t>
      </w:r>
      <w:r>
        <w:br/>
      </w:r>
      <w:r>
        <w:t xml:space="preserve">That is a behavioural-science problem, not a dashboard-design problem.</w:t>
      </w:r>
      <w:r>
        <w:t xml:space="preserve"> </w:t>
      </w:r>
      <w:hyperlink r:id="rId29">
        <w:r>
          <w:rPr>
            <w:rStyle w:val="Hyperlink"/>
          </w:rPr>
          <w:t xml:space="preserve">[14]</w:t>
        </w:r>
      </w:hyperlink>
    </w:p>
    <w:bookmarkEnd w:id="30"/>
    <w:bookmarkStart w:id="36" w:name="where-current-solutions-break"/>
    <w:p>
      <w:pPr>
        <w:pStyle w:val="Heading2"/>
      </w:pPr>
      <w:r>
        <w:t xml:space="preserve">Where current solutions break</w:t>
      </w:r>
    </w:p>
    <w:p>
      <w:pPr>
        <w:pStyle w:val="FirstParagraph"/>
      </w:pPr>
      <w:r>
        <w:t xml:space="preserve">The current landscape is crowded, but not fully solved. The most important competitive insight is that the market already has many</w:t>
      </w:r>
      <w:r>
        <w:t xml:space="preserve"> </w:t>
      </w:r>
      <w:r>
        <w:rPr>
          <w:b/>
          <w:bCs/>
        </w:rPr>
        <w:t xml:space="preserve">measurement systems</w:t>
      </w:r>
      <w:r>
        <w:t xml:space="preserve">, some</w:t>
      </w:r>
      <w:r>
        <w:t xml:space="preserve"> </w:t>
      </w:r>
      <w:r>
        <w:rPr>
          <w:b/>
          <w:bCs/>
        </w:rPr>
        <w:t xml:space="preserve">interpretation systems</w:t>
      </w:r>
      <w:r>
        <w:t xml:space="preserve">, and a small number of</w:t>
      </w:r>
      <w:r>
        <w:t xml:space="preserve"> </w:t>
      </w:r>
      <w:r>
        <w:rPr>
          <w:b/>
          <w:bCs/>
        </w:rPr>
        <w:t xml:space="preserve">human-support systems</w:t>
      </w:r>
      <w:r>
        <w:t xml:space="preserve">. What it still lacks is a widely adopted, privacy-trusted, low-friction</w:t>
      </w:r>
      <w:r>
        <w:t xml:space="preserve"> </w:t>
      </w:r>
      <w:r>
        <w:rPr>
          <w:b/>
          <w:bCs/>
        </w:rPr>
        <w:t xml:space="preserve">behaviour execution layer</w:t>
      </w:r>
      <w:r>
        <w:t xml:space="preserve">.</w:t>
      </w:r>
      <w:r>
        <w:t xml:space="preserve"> </w:t>
      </w:r>
      <w:hyperlink r:id="rId26">
        <w:r>
          <w:rPr>
            <w:rStyle w:val="Hyperlink"/>
          </w:rPr>
          <w:t xml:space="preserve">[15]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What it does well</w:t>
            </w:r>
          </w:p>
        </w:tc>
        <w:tc>
          <w:tcPr/>
          <w:p>
            <w:pPr>
              <w:pStyle w:val="Compact"/>
            </w:pPr>
            <w:r>
              <w:t xml:space="preserve">Where it breaks</w:t>
            </w:r>
          </w:p>
        </w:tc>
        <w:tc>
          <w:tcPr/>
          <w:p>
            <w:pPr>
              <w:pStyle w:val="Compact"/>
            </w:pPr>
            <w:r>
              <w:t xml:space="preserve">What remains unsolved</w:t>
            </w:r>
          </w:p>
        </w:tc>
      </w:tr>
      <w:tr>
        <w:tc>
          <w:tcPr/>
          <w:p>
            <w:pPr>
              <w:pStyle w:val="Compact"/>
            </w:pPr>
            <w:r>
              <w:t xml:space="preserve">Wearables</w:t>
            </w:r>
          </w:p>
        </w:tc>
        <w:tc>
          <w:tcPr/>
          <w:p>
            <w:pPr>
              <w:pStyle w:val="Compact"/>
            </w:pPr>
            <w:r>
              <w:t xml:space="preserve">Continuous sensing, habit visibility, alerts, baseline motivation; Apple, WHOOP and Oura all provide trend data and health signals.</w:t>
            </w:r>
            <w:r>
              <w:t xml:space="preserve"> </w:t>
            </w:r>
            <w:hyperlink r:id="rId22">
              <w:r>
                <w:rPr>
                  <w:rStyle w:val="Hyperlink"/>
                </w:rPr>
                <w:t xml:space="preserve">[16]</w:t>
              </w:r>
            </w:hyperlink>
          </w:p>
        </w:tc>
        <w:tc>
          <w:tcPr/>
          <w:p>
            <w:pPr>
              <w:pStyle w:val="Compact"/>
            </w:pPr>
            <w:r>
              <w:t xml:space="preserve">User must still interpret and act; value often sits in scores and trends rather than execution; adherence and retention remain challenges in digital health.</w:t>
            </w:r>
            <w:r>
              <w:t xml:space="preserve"> </w:t>
            </w:r>
            <w:hyperlink r:id="rId25">
              <w:r>
                <w:rPr>
                  <w:rStyle w:val="Hyperlink"/>
                </w:rPr>
                <w:t xml:space="preserve">[8]</w:t>
              </w:r>
            </w:hyperlink>
          </w:p>
        </w:tc>
        <w:tc>
          <w:tcPr/>
          <w:p>
            <w:pPr>
              <w:pStyle w:val="Compact"/>
            </w:pPr>
            <w:r>
              <w:t xml:space="preserve">One trusted action layer that converts changing biometric context into simple behaviour.</w:t>
            </w:r>
          </w:p>
        </w:tc>
      </w:tr>
      <w:tr>
        <w:tc>
          <w:tcPr/>
          <w:p>
            <w:pPr>
              <w:pStyle w:val="Compact"/>
            </w:pPr>
            <w:r>
              <w:t xml:space="preserve">Health dashboards</w:t>
            </w:r>
          </w:p>
        </w:tc>
        <w:tc>
          <w:tcPr/>
          <w:p>
            <w:pPr>
              <w:pStyle w:val="Compact"/>
            </w:pPr>
            <w:r>
              <w:t xml:space="preserve">Centralisation, charts, trend analysis, longitudinal record.</w:t>
            </w:r>
            <w:r>
              <w:t xml:space="preserve"> </w:t>
            </w:r>
            <w:hyperlink r:id="rId22">
              <w:r>
                <w:rPr>
                  <w:rStyle w:val="Hyperlink"/>
                </w:rPr>
                <w:t xml:space="preserve">[17]</w:t>
              </w:r>
            </w:hyperlink>
          </w:p>
        </w:tc>
        <w:tc>
          <w:tcPr/>
          <w:p>
            <w:pPr>
              <w:pStyle w:val="Compact"/>
            </w:pPr>
            <w:r>
              <w:t xml:space="preserve">High informational burden; often static or episodic; interpretation depends on user literacy and motivation.</w:t>
            </w:r>
            <w:r>
              <w:t xml:space="preserve"> </w:t>
            </w:r>
            <w:hyperlink r:id="rId25">
              <w:r>
                <w:rPr>
                  <w:rStyle w:val="Hyperlink"/>
                </w:rPr>
                <w:t xml:space="preserve">[8]</w:t>
              </w:r>
            </w:hyperlink>
          </w:p>
        </w:tc>
        <w:tc>
          <w:tcPr/>
          <w:p>
            <w:pPr>
              <w:pStyle w:val="Compact"/>
            </w:pPr>
            <w:r>
              <w:t xml:space="preserve">Decision simplification and prioritisation.</w:t>
            </w:r>
          </w:p>
        </w:tc>
      </w:tr>
      <w:tr>
        <w:tc>
          <w:tcPr/>
          <w:p>
            <w:pPr>
              <w:pStyle w:val="Compact"/>
            </w:pPr>
            <w:r>
              <w:t xml:space="preserve">AI health assistants</w:t>
            </w:r>
          </w:p>
        </w:tc>
        <w:tc>
          <w:tcPr/>
          <w:p>
            <w:pPr>
              <w:pStyle w:val="Compact"/>
            </w:pPr>
            <w:r>
              <w:t xml:space="preserve">Potentially personalised interpretation at scale; promising early research.</w:t>
            </w:r>
            <w:r>
              <w:t xml:space="preserve"> </w:t>
            </w:r>
            <w:hyperlink r:id="rId25">
              <w:r>
                <w:rPr>
                  <w:rStyle w:val="Hyperlink"/>
                </w:rPr>
                <w:t xml:space="preserve">[18]</w:t>
              </w:r>
            </w:hyperlink>
          </w:p>
        </w:tc>
        <w:tc>
          <w:tcPr/>
          <w:p>
            <w:pPr>
              <w:pStyle w:val="Compact"/>
            </w:pPr>
            <w:r>
              <w:t xml:space="preserve">Safety, grounding, privacy, trust and regulatory ambiguity remain major barriers; consumer trust in data use is fragile.</w:t>
            </w:r>
            <w:r>
              <w:t xml:space="preserve"> </w:t>
            </w:r>
            <w:hyperlink r:id="rId31">
              <w:r>
                <w:rPr>
                  <w:rStyle w:val="Hyperlink"/>
                </w:rPr>
                <w:t xml:space="preserve">[19]</w:t>
              </w:r>
            </w:hyperlink>
          </w:p>
        </w:tc>
        <w:tc>
          <w:tcPr/>
          <w:p>
            <w:pPr>
              <w:pStyle w:val="Compact"/>
            </w:pPr>
            <w:r>
              <w:t xml:space="preserve">Reliable, narrow, action-oriented assistance that users trust enough to follow.</w:t>
            </w:r>
          </w:p>
        </w:tc>
      </w:tr>
      <w:tr>
        <w:tc>
          <w:tcPr/>
          <w:p>
            <w:pPr>
              <w:pStyle w:val="Compact"/>
            </w:pPr>
            <w:r>
              <w:t xml:space="preserve">Meditation apps</w:t>
            </w:r>
          </w:p>
        </w:tc>
        <w:tc>
          <w:tcPr/>
          <w:p>
            <w:pPr>
              <w:pStyle w:val="Compact"/>
            </w:pPr>
            <w:r>
              <w:t xml:space="preserve">Can help stress and wellbeing; narrow, familiar consumer habit.</w:t>
            </w:r>
            <w:r>
              <w:t xml:space="preserve"> </w:t>
            </w:r>
            <w:hyperlink r:id="rId32">
              <w:r>
                <w:rPr>
                  <w:rStyle w:val="Hyperlink"/>
                </w:rPr>
                <w:t xml:space="preserve">[20]</w:t>
              </w:r>
            </w:hyperlink>
          </w:p>
        </w:tc>
        <w:tc>
          <w:tcPr/>
          <w:p>
            <w:pPr>
              <w:pStyle w:val="Compact"/>
            </w:pPr>
            <w:r>
              <w:t xml:space="preserve">Typically solve one mechanism, not the whole healthspan stack.</w:t>
            </w:r>
            <w:r>
              <w:t xml:space="preserve"> </w:t>
            </w:r>
            <w:hyperlink r:id="rId32">
              <w:r>
                <w:rPr>
                  <w:rStyle w:val="Hyperlink"/>
                </w:rPr>
                <w:t xml:space="preserve">[20]</w:t>
              </w:r>
            </w:hyperlink>
          </w:p>
        </w:tc>
        <w:tc>
          <w:tcPr/>
          <w:p>
            <w:pPr>
              <w:pStyle w:val="Compact"/>
            </w:pPr>
            <w:r>
              <w:t xml:space="preserve">Integrated physical, behavioural, and recovery execution.</w:t>
            </w:r>
          </w:p>
        </w:tc>
      </w:tr>
      <w:tr>
        <w:tc>
          <w:tcPr/>
          <w:p>
            <w:pPr>
              <w:pStyle w:val="Compact"/>
            </w:pPr>
            <w:r>
              <w:t xml:space="preserve">Health coaching</w:t>
            </w:r>
          </w:p>
        </w:tc>
        <w:tc>
          <w:tcPr/>
          <w:p>
            <w:pPr>
              <w:pStyle w:val="Compact"/>
            </w:pPr>
            <w:r>
              <w:t xml:space="preserve">High-touch accountability, goal-setting, behaviour support.</w:t>
            </w:r>
            <w:r>
              <w:t xml:space="preserve"> </w:t>
            </w:r>
            <w:hyperlink r:id="rId33">
              <w:r>
                <w:rPr>
                  <w:rStyle w:val="Hyperlink"/>
                </w:rPr>
                <w:t xml:space="preserve">[21]</w:t>
              </w:r>
            </w:hyperlink>
          </w:p>
        </w:tc>
        <w:tc>
          <w:tcPr/>
          <w:p>
            <w:pPr>
              <w:pStyle w:val="Compact"/>
            </w:pPr>
            <w:r>
              <w:t xml:space="preserve">Expensive and labour-intensive; hard to scale with quality.</w:t>
            </w:r>
            <w:r>
              <w:t xml:space="preserve"> </w:t>
            </w:r>
            <w:hyperlink r:id="rId33">
              <w:r>
                <w:rPr>
                  <w:rStyle w:val="Hyperlink"/>
                </w:rPr>
                <w:t xml:space="preserve">[21]</w:t>
              </w:r>
            </w:hyperlink>
          </w:p>
        </w:tc>
        <w:tc>
          <w:tcPr/>
          <w:p>
            <w:pPr>
              <w:pStyle w:val="Compact"/>
            </w:pPr>
            <w:r>
              <w:t xml:space="preserve">Software-mediated coaching quality without human cost structure.</w:t>
            </w:r>
          </w:p>
        </w:tc>
      </w:tr>
      <w:tr>
        <w:tc>
          <w:tcPr/>
          <w:p>
            <w:pPr>
              <w:pStyle w:val="Compact"/>
            </w:pPr>
            <w:r>
              <w:t xml:space="preserve">Lab-first and longevity platforms</w:t>
            </w:r>
          </w:p>
        </w:tc>
        <w:tc>
          <w:tcPr/>
          <w:p>
            <w:pPr>
              <w:pStyle w:val="Compact"/>
            </w:pPr>
            <w:r>
              <w:t xml:space="preserve">High-signal diagnostics, biomarker interpretation, perceived clinical seriousness. Function and Superpower are strong examples.</w:t>
            </w:r>
            <w:r>
              <w:t xml:space="preserve"> </w:t>
            </w:r>
            <w:hyperlink r:id="rId34">
              <w:r>
                <w:rPr>
                  <w:rStyle w:val="Hyperlink"/>
                </w:rPr>
                <w:t xml:space="preserve">[22]</w:t>
              </w:r>
            </w:hyperlink>
          </w:p>
        </w:tc>
        <w:tc>
          <w:tcPr/>
          <w:p>
            <w:pPr>
              <w:pStyle w:val="Compact"/>
            </w:pPr>
            <w:r>
              <w:t xml:space="preserve">Episodic testing, US-centric infrastructure, reports/protocols still need ongoing adherence.</w:t>
            </w:r>
            <w:r>
              <w:t xml:space="preserve"> </w:t>
            </w:r>
            <w:hyperlink r:id="rId34">
              <w:r>
                <w:rPr>
                  <w:rStyle w:val="Hyperlink"/>
                </w:rPr>
                <w:t xml:space="preserve">[23]</w:t>
              </w:r>
            </w:hyperlink>
          </w:p>
        </w:tc>
        <w:tc>
          <w:tcPr/>
          <w:p>
            <w:pPr>
              <w:pStyle w:val="Compact"/>
            </w:pPr>
            <w:r>
              <w:t xml:space="preserve">Daily behaviour execution between tests.</w:t>
            </w:r>
          </w:p>
        </w:tc>
      </w:tr>
      <w:tr>
        <w:tc>
          <w:tcPr/>
          <w:p>
            <w:pPr>
              <w:pStyle w:val="Compact"/>
            </w:pPr>
            <w:r>
              <w:t xml:space="preserve">Single-domain specialist platforms</w:t>
            </w:r>
          </w:p>
        </w:tc>
        <w:tc>
          <w:tcPr/>
          <w:p>
            <w:pPr>
              <w:pStyle w:val="Compact"/>
            </w:pPr>
            <w:r>
              <w:t xml:space="preserve">ZOE, Neko, Zoī and similar products own specific wedges well: gut health, scans, check-ups, periodic follow-up.</w:t>
            </w:r>
            <w:r>
              <w:t xml:space="preserve"> </w:t>
            </w:r>
            <w:hyperlink r:id="rId35">
              <w:r>
                <w:rPr>
                  <w:rStyle w:val="Hyperlink"/>
                </w:rPr>
                <w:t xml:space="preserve">[24]</w:t>
              </w:r>
            </w:hyperlink>
          </w:p>
        </w:tc>
        <w:tc>
          <w:tcPr/>
          <w:p>
            <w:pPr>
              <w:pStyle w:val="Compact"/>
            </w:pPr>
            <w:r>
              <w:t xml:space="preserve">Narrow domain or episodic interaction; less suited to everyday cross-domain prioritisation.</w:t>
            </w:r>
            <w:r>
              <w:t xml:space="preserve"> </w:t>
            </w:r>
            <w:hyperlink r:id="rId35">
              <w:r>
                <w:rPr>
                  <w:rStyle w:val="Hyperlink"/>
                </w:rPr>
                <w:t xml:space="preserve">[24]</w:t>
              </w:r>
            </w:hyperlink>
          </w:p>
        </w:tc>
        <w:tc>
          <w:tcPr/>
          <w:p>
            <w:pPr>
              <w:pStyle w:val="Compact"/>
            </w:pPr>
            <w:r>
              <w:t xml:space="preserve">Cross-domain prioritisation across sleep, stress, activity, recovery, and routines.</w:t>
            </w:r>
          </w:p>
        </w:tc>
      </w:tr>
    </w:tbl>
    <w:p>
      <w:pPr>
        <w:pStyle w:val="BodyText"/>
      </w:pPr>
      <w:r>
        <w:t xml:space="preserve">This leads to the competitive whitespace.</w:t>
      </w:r>
      <w:r>
        <w:t xml:space="preserve"> </w:t>
      </w:r>
      <w:r>
        <w:rPr>
          <w:b/>
          <w:bCs/>
        </w:rPr>
        <w:t xml:space="preserve">“Behaviour operating system” is meaningful if it means three concrete things</w:t>
      </w:r>
      <w:r>
        <w:t xml:space="preserve">: it ingests fragmented data sources, decides what matters now, and reduces the user’s next step to a single behaviour with enough context to be acted on. If it merely means “another dashboard plus AI summaries,” it is branding. Investors will only believe the category if the product clearly sits downstream of measurement and upstream of results.</w:t>
      </w:r>
      <w:r>
        <w:t xml:space="preserve"> </w:t>
      </w:r>
      <w:hyperlink r:id="rId22">
        <w:r>
          <w:rPr>
            <w:rStyle w:val="Hyperlink"/>
          </w:rPr>
          <w:t xml:space="preserve">[25]</w:t>
        </w:r>
      </w:hyperlink>
    </w:p>
    <w:p>
      <w:pPr>
        <w:pStyle w:val="BodyText"/>
      </w:pPr>
      <w:r>
        <w:t xml:space="preserve">The best whitespace articulation is therefore:</w:t>
      </w:r>
    </w:p>
    <w:p>
      <w:pPr>
        <w:pStyle w:val="BodyText"/>
      </w:pPr>
      <w:r>
        <w:rPr>
          <w:b/>
          <w:bCs/>
        </w:rPr>
        <w:t xml:space="preserve">WHOOP and Oura own the wearable. Apple owns the record. Function and Superpower own the labs. ZOE owns nutrition. Neko and Zoī own episodic prevention. The unresolved layer is continuous behaviour execution across these inputs.</w:t>
      </w:r>
      <w:r>
        <w:t xml:space="preserve"> </w:t>
      </w:r>
      <w:hyperlink r:id="rId26">
        <w:r>
          <w:rPr>
            <w:rStyle w:val="Hyperlink"/>
          </w:rPr>
          <w:t xml:space="preserve">[26]</w:t>
        </w:r>
      </w:hyperlink>
    </w:p>
    <w:bookmarkEnd w:id="36"/>
    <w:bookmarkStart w:id="39" w:name="market-validation-and-investor-ranking"/>
    <w:p>
      <w:pPr>
        <w:pStyle w:val="Heading2"/>
      </w:pPr>
      <w:r>
        <w:t xml:space="preserve">Market validation and investor ranking</w:t>
      </w:r>
    </w:p>
    <w:p>
      <w:pPr>
        <w:pStyle w:val="FirstParagraph"/>
      </w:pPr>
      <w:r>
        <w:t xml:space="preserve">The macro demand environment is real. Europe is ageing quickly: the share of people over 65 in the EU is projected to rise from 21% in 2023 to 29% by 2050, while more than half of life expectancy after 65 is impaired by chronic illness and disability. The OECD and European Commission are explicitly framing healthy longevity and individual self-management as system priorities, not fringe wellness ideas.</w:t>
      </w:r>
      <w:r>
        <w:t xml:space="preserve"> </w:t>
      </w:r>
      <w:hyperlink r:id="rId37">
        <w:r>
          <w:rPr>
            <w:rStyle w:val="Hyperlink"/>
          </w:rPr>
          <w:t xml:space="preserve">[27]</w:t>
        </w:r>
      </w:hyperlink>
    </w:p>
    <w:p>
      <w:pPr>
        <w:pStyle w:val="BodyText"/>
      </w:pPr>
      <w:r>
        <w:t xml:space="preserve">Wearable adoption is also clearly established, even if exact market estimates vary by source. IDC figures cited by Vogue show around 49 million wearable units sold globally in Q2 2025, up 12.3% year on year, and Grand View Research estimates the broader wearables market could reach about $186 billion by 2030 with a 13.6% CAGR from 2025 to 2030. Those figures should be treated as</w:t>
      </w:r>
      <w:r>
        <w:t xml:space="preserve"> </w:t>
      </w:r>
      <w:r>
        <w:rPr>
          <w:b/>
          <w:bCs/>
        </w:rPr>
        <w:t xml:space="preserve">medium-confidence commercial market estimates</w:t>
      </w:r>
      <w:r>
        <w:t xml:space="preserve">, not hard scientific facts, but they are directionally useful: the sensing layer is large and still growing.</w:t>
      </w:r>
      <w:r>
        <w:t xml:space="preserve"> </w:t>
      </w:r>
      <w:hyperlink r:id="rId38">
        <w:r>
          <w:rPr>
            <w:rStyle w:val="Hyperlink"/>
          </w:rPr>
          <w:t xml:space="preserve">[28]</w:t>
        </w:r>
      </w:hyperlink>
    </w:p>
    <w:p>
      <w:pPr>
        <w:pStyle w:val="BodyText"/>
      </w:pPr>
      <w:r>
        <w:t xml:space="preserve">Privacy is also market-relevant rather than cosmetic. Deloitte’s Connected Consumer Survey found rising concern about device security and data use, with only 34% of respondents saying companies are clear about how they use collected data. Among women with smartwatches or fitness trackers, willingness to share wearable data with healthcare providers was materially lower than among men. This is one of the best arguments for an EU-native, privacy-first positioning: not as a moral add-on, but as a growth and trust enabler in a category increasingly shaped by sensitive data flows.</w:t>
      </w:r>
      <w:r>
        <w:t xml:space="preserve"> </w:t>
      </w:r>
      <w:hyperlink r:id="rId31">
        <w:r>
          <w:rPr>
            <w:rStyle w:val="Hyperlink"/>
          </w:rPr>
          <w:t xml:space="preserve">[29]</w:t>
        </w:r>
      </w:hyperlink>
    </w:p>
    <w:p>
      <w:pPr>
        <w:pStyle w:val="BodyText"/>
      </w:pPr>
      <w:r>
        <w:t xml:space="preserve">The investor narrative ranking should therefore look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Narrative</w:t>
            </w:r>
          </w:p>
        </w:tc>
        <w:tc>
          <w:tcPr/>
          <w:p>
            <w:pPr>
              <w:pStyle w:val="Compact"/>
              <w:jc w:val="right"/>
            </w:pPr>
            <w:r>
              <w:t xml:space="preserve">Evidence strength</w:t>
            </w:r>
          </w:p>
        </w:tc>
        <w:tc>
          <w:tcPr/>
          <w:p>
            <w:pPr>
              <w:pStyle w:val="Compact"/>
              <w:jc w:val="right"/>
            </w:pPr>
            <w:r>
              <w:t xml:space="preserve">Fundraising appeal</w:t>
            </w:r>
          </w:p>
        </w:tc>
        <w:tc>
          <w:tcPr/>
          <w:p>
            <w:pPr>
              <w:pStyle w:val="Compact"/>
              <w:jc w:val="right"/>
            </w:pPr>
            <w:r>
              <w:t xml:space="preserve">Differentiation</w:t>
            </w:r>
          </w:p>
        </w:tc>
        <w:tc>
          <w:tcPr/>
          <w:p>
            <w:pPr>
              <w:pStyle w:val="Compact"/>
            </w:pPr>
            <w:r>
              <w:t xml:space="preserve">Verdict</w:t>
            </w:r>
          </w:p>
        </w:tc>
      </w:tr>
      <w:tr>
        <w:tc>
          <w:tcPr/>
          <w:p>
            <w:pPr>
              <w:pStyle w:val="Compact"/>
            </w:pPr>
            <w:r>
              <w:t xml:space="preserve">Behaviour change is the missing layer</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4/5</w:t>
            </w:r>
          </w:p>
        </w:tc>
        <w:tc>
          <w:tcPr/>
          <w:p>
            <w:pPr>
              <w:pStyle w:val="Compact"/>
            </w:pPr>
            <w:r>
              <w:rPr>
                <w:b/>
                <w:bCs/>
              </w:rPr>
              <w:t xml:space="preserve">Best primary narrative</w:t>
            </w:r>
          </w:p>
        </w:tc>
      </w:tr>
      <w:tr>
        <w:tc>
          <w:tcPr/>
          <w:p>
            <w:pPr>
              <w:pStyle w:val="Compact"/>
            </w:pPr>
            <w:r>
              <w:t xml:space="preserve">The health system optimises treatment rather than execution</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4/5</w:t>
            </w:r>
          </w:p>
        </w:tc>
        <w:tc>
          <w:tcPr/>
          <w:p>
            <w:pPr>
              <w:pStyle w:val="Compact"/>
            </w:pPr>
            <w:r>
              <w:t xml:space="preserve">Strong supporting macro frame</w:t>
            </w:r>
          </w:p>
        </w:tc>
      </w:tr>
      <w:tr>
        <w:tc>
          <w:tcPr/>
          <w:p>
            <w:pPr>
              <w:pStyle w:val="Compact"/>
            </w:pPr>
            <w:r>
              <w:t xml:space="preserve">Longevity optimises measurement instead of adherence</w:t>
            </w:r>
          </w:p>
        </w:tc>
        <w:tc>
          <w:tcPr/>
          <w:p>
            <w:pPr>
              <w:pStyle w:val="Compact"/>
              <w:jc w:val="right"/>
            </w:pPr>
            <w:r>
              <w:t xml:space="preserve">4/5</w:t>
            </w:r>
          </w:p>
        </w:tc>
        <w:tc>
          <w:tcPr/>
          <w:p>
            <w:pPr>
              <w:pStyle w:val="Compact"/>
              <w:jc w:val="right"/>
            </w:pPr>
            <w:r>
              <w:t xml:space="preserve">5/5</w:t>
            </w:r>
          </w:p>
        </w:tc>
        <w:tc>
          <w:tcPr/>
          <w:p>
            <w:pPr>
              <w:pStyle w:val="Compact"/>
              <w:jc w:val="right"/>
            </w:pPr>
            <w:r>
              <w:t xml:space="preserve">5/5</w:t>
            </w:r>
          </w:p>
        </w:tc>
        <w:tc>
          <w:tcPr/>
          <w:p>
            <w:pPr>
              <w:pStyle w:val="Compact"/>
            </w:pPr>
            <w:r>
              <w:t xml:space="preserve">Strong category attack angle</w:t>
            </w:r>
          </w:p>
        </w:tc>
      </w:tr>
      <w:tr>
        <w:tc>
          <w:tcPr/>
          <w:p>
            <w:pPr>
              <w:pStyle w:val="Compact"/>
            </w:pPr>
            <w:r>
              <w:t xml:space="preserve">People have too much health data</w:t>
            </w:r>
          </w:p>
        </w:tc>
        <w:tc>
          <w:tcPr/>
          <w:p>
            <w:pPr>
              <w:pStyle w:val="Compact"/>
              <w:jc w:val="right"/>
            </w:pPr>
            <w:r>
              <w:t xml:space="preserve">3/5</w:t>
            </w:r>
          </w:p>
        </w:tc>
        <w:tc>
          <w:tcPr/>
          <w:p>
            <w:pPr>
              <w:pStyle w:val="Compact"/>
              <w:jc w:val="right"/>
            </w:pPr>
            <w:r>
              <w:t xml:space="preserve">4/5</w:t>
            </w:r>
          </w:p>
        </w:tc>
        <w:tc>
          <w:tcPr/>
          <w:p>
            <w:pPr>
              <w:pStyle w:val="Compact"/>
              <w:jc w:val="right"/>
            </w:pPr>
            <w:r>
              <w:t xml:space="preserve">3/5</w:t>
            </w:r>
          </w:p>
        </w:tc>
        <w:tc>
          <w:tcPr/>
          <w:p>
            <w:pPr>
              <w:pStyle w:val="Compact"/>
            </w:pPr>
            <w:r>
              <w:t xml:space="preserve">Use only if sharpened</w:t>
            </w:r>
          </w:p>
        </w:tc>
      </w:tr>
      <w:tr>
        <w:tc>
          <w:tcPr/>
          <w:p>
            <w:pPr>
              <w:pStyle w:val="Compact"/>
            </w:pPr>
            <w:r>
              <w:t xml:space="preserve">Executives lack an operating system for sustainable performance</w:t>
            </w:r>
          </w:p>
        </w:tc>
        <w:tc>
          <w:tcPr/>
          <w:p>
            <w:pPr>
              <w:pStyle w:val="Compact"/>
              <w:jc w:val="right"/>
            </w:pPr>
            <w:r>
              <w:t xml:space="preserve">3/5</w:t>
            </w:r>
          </w:p>
        </w:tc>
        <w:tc>
          <w:tcPr/>
          <w:p>
            <w:pPr>
              <w:pStyle w:val="Compact"/>
              <w:jc w:val="right"/>
            </w:pPr>
            <w:r>
              <w:t xml:space="preserve">4/5</w:t>
            </w:r>
          </w:p>
        </w:tc>
        <w:tc>
          <w:tcPr/>
          <w:p>
            <w:pPr>
              <w:pStyle w:val="Compact"/>
              <w:jc w:val="right"/>
            </w:pPr>
            <w:r>
              <w:t xml:space="preserve">4/5</w:t>
            </w:r>
          </w:p>
        </w:tc>
        <w:tc>
          <w:tcPr/>
          <w:p>
            <w:pPr>
              <w:pStyle w:val="Compact"/>
            </w:pPr>
            <w:r>
              <w:t xml:space="preserve">Good GTM wedge, weak macro frame</w:t>
            </w:r>
          </w:p>
        </w:tc>
      </w:tr>
      <w:tr>
        <w:tc>
          <w:tcPr/>
          <w:p>
            <w:pPr>
              <w:pStyle w:val="Compact"/>
            </w:pPr>
            <w:r>
              <w:t xml:space="preserve">The nervous system is the missing infrastructure</w:t>
            </w:r>
          </w:p>
        </w:tc>
        <w:tc>
          <w:tcPr/>
          <w:p>
            <w:pPr>
              <w:pStyle w:val="Compact"/>
              <w:jc w:val="right"/>
            </w:pPr>
            <w:r>
              <w:t xml:space="preserve">2/5</w:t>
            </w:r>
          </w:p>
        </w:tc>
        <w:tc>
          <w:tcPr/>
          <w:p>
            <w:pPr>
              <w:pStyle w:val="Compact"/>
              <w:jc w:val="right"/>
            </w:pPr>
            <w:r>
              <w:t xml:space="preserve">3/5</w:t>
            </w:r>
          </w:p>
        </w:tc>
        <w:tc>
          <w:tcPr/>
          <w:p>
            <w:pPr>
              <w:pStyle w:val="Compact"/>
              <w:jc w:val="right"/>
            </w:pPr>
            <w:r>
              <w:t xml:space="preserve">5/5</w:t>
            </w:r>
          </w:p>
        </w:tc>
        <w:tc>
          <w:tcPr/>
          <w:p>
            <w:pPr>
              <w:pStyle w:val="Compact"/>
            </w:pPr>
            <w:r>
              <w:t xml:space="preserve">Keep as product mechanism, not core problem</w:t>
            </w:r>
          </w:p>
        </w:tc>
      </w:tr>
    </w:tbl>
    <w:p>
      <w:pPr>
        <w:pStyle w:val="BodyText"/>
      </w:pPr>
      <w:r>
        <w:t xml:space="preserve">Again, this ranking is a synthesis rather than an external ranking dataset. It is based on the burden data, behaviour literature, and current product landscape above.</w:t>
      </w:r>
      <w:r>
        <w:t xml:space="preserve"> </w:t>
      </w:r>
      <w:hyperlink r:id="rId21">
        <w:r>
          <w:rPr>
            <w:rStyle w:val="Hyperlink"/>
          </w:rPr>
          <w:t xml:space="preserve">[30]</w:t>
        </w:r>
      </w:hyperlink>
    </w:p>
    <w:bookmarkEnd w:id="39"/>
    <w:bookmarkStart w:id="40" w:name="investor-ready-narrative"/>
    <w:p>
      <w:pPr>
        <w:pStyle w:val="Heading2"/>
      </w:pPr>
      <w:r>
        <w:t xml:space="preserve">Investor-ready narrative</w:t>
      </w:r>
    </w:p>
    <w:p>
      <w:pPr>
        <w:pStyle w:val="FirstParagraph"/>
      </w:pPr>
      <w:r>
        <w:rPr>
          <w:b/>
          <w:bCs/>
        </w:rPr>
        <w:t xml:space="preserve">Opening slide</w:t>
      </w:r>
    </w:p>
    <w:p>
      <w:pPr>
        <w:pStyle w:val="BodyText"/>
      </w:pPr>
      <w:r>
        <w:t xml:space="preserve">We can now measure the human body continuously, but we still cannot help most people act on that information consistently. Wearables, health apps, and lab platforms have made measurement abundant. Prevention still breaks at execution.</w:t>
      </w:r>
      <w:r>
        <w:t xml:space="preserve"> </w:t>
      </w:r>
      <w:hyperlink r:id="rId22">
        <w:r>
          <w:rPr>
            <w:rStyle w:val="Hyperlink"/>
          </w:rPr>
          <w:t xml:space="preserve">[31]</w:t>
        </w:r>
      </w:hyperlink>
    </w:p>
    <w:p>
      <w:pPr>
        <w:pStyle w:val="BodyText"/>
      </w:pPr>
      <w:r>
        <w:rPr>
          <w:b/>
          <w:bCs/>
        </w:rPr>
        <w:t xml:space="preserve">Problem slide</w:t>
      </w:r>
    </w:p>
    <w:p>
      <w:pPr>
        <w:pStyle w:val="BodyText"/>
      </w:pPr>
      <w:r>
        <w:t xml:space="preserve">This matters because the burden is enormous. Noncommunicable diseases caused at least 43 million deaths globally in 2021, and the biggest drivers are largely behavioural and environmental. In the EU, lifestyle risk factors contributed to about 1.1 million deaths in 2021, while Europe’s older population is growing and more than half of years lived after age 65 are affected by chronic illness or disability. We do not have a sensing problem. We have an adherence and execution problem.</w:t>
      </w:r>
      <w:r>
        <w:t xml:space="preserve"> </w:t>
      </w:r>
      <w:hyperlink r:id="rId21">
        <w:r>
          <w:rPr>
            <w:rStyle w:val="Hyperlink"/>
          </w:rPr>
          <w:t xml:space="preserve">[1]</w:t>
        </w:r>
      </w:hyperlink>
    </w:p>
    <w:p>
      <w:pPr>
        <w:pStyle w:val="BodyText"/>
      </w:pPr>
      <w:r>
        <w:rPr>
          <w:b/>
          <w:bCs/>
        </w:rPr>
        <w:t xml:space="preserve">Supporting evidence slide</w:t>
      </w:r>
    </w:p>
    <w:p>
      <w:pPr>
        <w:pStyle w:val="BodyText"/>
      </w:pPr>
      <w:r>
        <w:t xml:space="preserve">The market has responded by building better sensors and richer dashboards. Apple Health organises longitudinal records. WHOOP offers continuous coaching and healthspan metrics. Oura sells readiness, sleep, and stress. Superpower and Function combine biomarkers with dashboards and protocols. But even leading researchers at Google still describe actionable personalised insight generation from wearable data as hard, and large remote digital health studies continue to be hampered by attrition. The industry is getting better at telling users what is happening; it is still weak at helping them do the right next thing every day.</w:t>
      </w:r>
      <w:r>
        <w:t xml:space="preserve"> </w:t>
      </w:r>
      <w:hyperlink r:id="rId22">
        <w:r>
          <w:rPr>
            <w:rStyle w:val="Hyperlink"/>
          </w:rPr>
          <w:t xml:space="preserve">[32]</w:t>
        </w:r>
      </w:hyperlink>
    </w:p>
    <w:p>
      <w:pPr>
        <w:pStyle w:val="BodyText"/>
      </w:pPr>
      <w:r>
        <w:rPr>
          <w:b/>
          <w:bCs/>
        </w:rPr>
        <w:t xml:space="preserve">Why now slide</w:t>
      </w:r>
    </w:p>
    <w:p>
      <w:pPr>
        <w:pStyle w:val="BodyText"/>
      </w:pPr>
      <w:r>
        <w:t xml:space="preserve">Why now is a combination of five timing forces: wearable data has become normalised; longevity has shifted from niche biohacking to mainstream consumer interest; European health systems face mounting healthy-longevity pressure; AI makes personalised interpretation cheaper; and privacy concerns make trusted regional infrastructure more valuable, not less. The category is moving from quantified-self novelty to daily health infrastructure.</w:t>
      </w:r>
      <w:r>
        <w:t xml:space="preserve"> </w:t>
      </w:r>
      <w:hyperlink r:id="rId38">
        <w:r>
          <w:rPr>
            <w:rStyle w:val="Hyperlink"/>
          </w:rPr>
          <w:t xml:space="preserve">[33]</w:t>
        </w:r>
      </w:hyperlink>
    </w:p>
    <w:p>
      <w:pPr>
        <w:pStyle w:val="BodyText"/>
      </w:pPr>
      <w:r>
        <w:rPr>
          <w:b/>
          <w:bCs/>
        </w:rPr>
        <w:t xml:space="preserve">Transition into solution</w:t>
      </w:r>
    </w:p>
    <w:p>
      <w:pPr>
        <w:pStyle w:val="BodyText"/>
      </w:pPr>
      <w:r>
        <w:t xml:space="preserve">Sapiens OS matters if it becomes the execution layer. Not another dashboard. Not another lab report. Not general-purpose health AI. A behaviour operating system that takes fragmented health inputs and resolves them into one personalised next action, designed for stressed, time-poor people who do not need more information; they need prioritised execution. That is a credible wedge into the much bigger market of preventive health infrastructure.</w:t>
      </w:r>
      <w:r>
        <w:t xml:space="preserve"> </w:t>
      </w:r>
      <w:hyperlink r:id="rId22">
        <w:r>
          <w:rPr>
            <w:rStyle w:val="Hyperlink"/>
          </w:rPr>
          <w:t xml:space="preserve">[25]</w:t>
        </w:r>
      </w:hyperlink>
    </w:p>
    <w:bookmarkEnd w:id="40"/>
    <w:bookmarkStart w:id="41" w:name="X590e318b01db8b0d7193bb7fe58be1c34d79680"/>
    <w:p>
      <w:pPr>
        <w:pStyle w:val="Heading2"/>
      </w:pPr>
      <w:r>
        <w:t xml:space="preserve">Counterarguments and final recommendation</w:t>
      </w:r>
    </w:p>
    <w:p>
      <w:pPr>
        <w:pStyle w:val="FirstParagraph"/>
      </w:pPr>
      <w:r>
        <w:t xml:space="preserve">The current story has several vulnerabilities that strong investors will attack.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Likely objection</w:t>
            </w:r>
          </w:p>
        </w:tc>
        <w:tc>
          <w:tcPr/>
          <w:p>
            <w:pPr>
              <w:pStyle w:val="Compact"/>
            </w:pPr>
            <w:r>
              <w:t xml:space="preserve">Why it is a problem</w:t>
            </w:r>
          </w:p>
        </w:tc>
        <w:tc>
          <w:tcPr/>
          <w:p>
            <w:pPr>
              <w:pStyle w:val="Compact"/>
            </w:pPr>
            <w:r>
              <w:t xml:space="preserve">How to strengthen it</w:t>
            </w:r>
          </w:p>
        </w:tc>
      </w:tr>
      <w:tr>
        <w:tc>
          <w:tcPr/>
          <w:p>
            <w:pPr>
              <w:pStyle w:val="Compact"/>
            </w:pPr>
            <w:r>
              <w:t xml:space="preserve">“Too much data, not enough action” sounds like generic health-tech copy</w:t>
            </w:r>
          </w:p>
        </w:tc>
        <w:tc>
          <w:tcPr/>
          <w:p>
            <w:pPr>
              <w:pStyle w:val="Compact"/>
            </w:pPr>
            <w:r>
              <w:t xml:space="preserve">It is catchy but imprecise</w:t>
            </w:r>
          </w:p>
        </w:tc>
        <w:tc>
          <w:tcPr/>
          <w:p>
            <w:pPr>
              <w:pStyle w:val="Compact"/>
            </w:pPr>
            <w:r>
              <w:t xml:space="preserve">Replace it with “sensing has scaled faster than adherence” and back it with category examples plus attrition/actionability evidence.</w:t>
            </w:r>
            <w:r>
              <w:t xml:space="preserve"> </w:t>
            </w:r>
            <w:hyperlink r:id="rId25">
              <w:r>
                <w:rPr>
                  <w:rStyle w:val="Hyperlink"/>
                </w:rPr>
                <w:t xml:space="preserve">[34]</w:t>
              </w:r>
            </w:hyperlink>
          </w:p>
        </w:tc>
      </w:tr>
      <w:tr>
        <w:tc>
          <w:tcPr/>
          <w:p>
            <w:pPr>
              <w:pStyle w:val="Compact"/>
            </w:pPr>
            <w:r>
              <w:t xml:space="preserve">“Nervous-system-first” is not yet a proven macro market</w:t>
            </w:r>
          </w:p>
        </w:tc>
        <w:tc>
          <w:tcPr/>
          <w:p>
            <w:pPr>
              <w:pStyle w:val="Compact"/>
            </w:pPr>
            <w:r>
              <w:t xml:space="preserve">Strong differentiator, weak primary proof</w:t>
            </w:r>
          </w:p>
        </w:tc>
        <w:tc>
          <w:tcPr/>
          <w:p>
            <w:pPr>
              <w:pStyle w:val="Compact"/>
            </w:pPr>
            <w:r>
              <w:t xml:space="preserve">Keep it as product theory/mechanism, not as the headline problem. Generate internal validation data before elevating it.</w:t>
            </w:r>
          </w:p>
        </w:tc>
      </w:tr>
      <w:tr>
        <w:tc>
          <w:tcPr/>
          <w:p>
            <w:pPr>
              <w:pStyle w:val="Compact"/>
            </w:pPr>
            <w:r>
              <w:t xml:space="preserve">“One daily action” may sound overly simplistic</w:t>
            </w:r>
          </w:p>
        </w:tc>
        <w:tc>
          <w:tcPr/>
          <w:p>
            <w:pPr>
              <w:pStyle w:val="Compact"/>
            </w:pPr>
            <w:r>
              <w:t xml:space="preserve">Investors may worry it underfits complex health behaviour</w:t>
            </w:r>
          </w:p>
        </w:tc>
        <w:tc>
          <w:tcPr/>
          <w:p>
            <w:pPr>
              <w:pStyle w:val="Compact"/>
            </w:pPr>
            <w:r>
              <w:t xml:space="preserve">Frame it as behavioural prioritisation and cognitive load reduction, not simplification for its own sake. Connect it to intention-behaviour and planning logic.</w:t>
            </w:r>
            <w:r>
              <w:t xml:space="preserve"> </w:t>
            </w:r>
            <w:hyperlink r:id="rId28">
              <w:r>
                <w:rPr>
                  <w:rStyle w:val="Hyperlink"/>
                </w:rPr>
                <w:t xml:space="preserve">[11]</w:t>
              </w:r>
            </w:hyperlink>
          </w:p>
        </w:tc>
      </w:tr>
      <w:tr>
        <w:tc>
          <w:tcPr/>
          <w:p>
            <w:pPr>
              <w:pStyle w:val="Compact"/>
            </w:pPr>
            <w:r>
              <w:t xml:space="preserve">“Founders/executives/high performers” may feel niche</w:t>
            </w:r>
          </w:p>
        </w:tc>
        <w:tc>
          <w:tcPr/>
          <w:p>
            <w:pPr>
              <w:pStyle w:val="Compact"/>
            </w:pPr>
            <w:r>
              <w:t xml:space="preserve">Could cap perceived TAM</w:t>
            </w:r>
          </w:p>
        </w:tc>
        <w:tc>
          <w:tcPr/>
          <w:p>
            <w:pPr>
              <w:pStyle w:val="Compact"/>
            </w:pPr>
            <w:r>
              <w:t xml:space="preserve">Present this as the initial wedge where willingness to pay and acute pain are highest, not the endpoint market.</w:t>
            </w:r>
          </w:p>
        </w:tc>
      </w:tr>
      <w:tr>
        <w:tc>
          <w:tcPr/>
          <w:p>
            <w:pPr>
              <w:pStyle w:val="Compact"/>
            </w:pPr>
            <w:r>
              <w:t xml:space="preserve">“Prevention” can trigger reimbursement and proof questions</w:t>
            </w:r>
          </w:p>
        </w:tc>
        <w:tc>
          <w:tcPr/>
          <w:p>
            <w:pPr>
              <w:pStyle w:val="Compact"/>
            </w:pPr>
            <w:r>
              <w:t xml:space="preserve">Investors will ask what outcomes are measured and what claims are allowed</w:t>
            </w:r>
          </w:p>
        </w:tc>
        <w:tc>
          <w:tcPr/>
          <w:p>
            <w:pPr>
              <w:pStyle w:val="Compact"/>
            </w:pPr>
            <w:r>
              <w:t xml:space="preserve">Avoid disease-treatment claims. Position around adherence, recovery, sustainable routines, and health-management infrastructure. WHOOP’s own regulated-feature caveats are a reminder here.</w:t>
            </w:r>
            <w:r>
              <w:t xml:space="preserve"> </w:t>
            </w:r>
            <w:hyperlink r:id="rId26">
              <w:r>
                <w:rPr>
                  <w:rStyle w:val="Hyperlink"/>
                </w:rPr>
                <w:t xml:space="preserve">[35]</w:t>
              </w:r>
            </w:hyperlink>
          </w:p>
        </w:tc>
      </w:tr>
      <w:tr>
        <w:tc>
          <w:tcPr/>
          <w:p>
            <w:pPr>
              <w:pStyle w:val="Compact"/>
            </w:pPr>
            <w:r>
              <w:t xml:space="preserve">“EU-first” may sound like geography rather than thesis</w:t>
            </w:r>
          </w:p>
        </w:tc>
        <w:tc>
          <w:tcPr/>
          <w:p>
            <w:pPr>
              <w:pStyle w:val="Compact"/>
            </w:pPr>
            <w:r>
              <w:t xml:space="preserve">It is not the reason the company deserves to exist</w:t>
            </w:r>
          </w:p>
        </w:tc>
        <w:tc>
          <w:tcPr/>
          <w:p>
            <w:pPr>
              <w:pStyle w:val="Compact"/>
            </w:pPr>
            <w:r>
              <w:t xml:space="preserve">Reposition EU-first as trust, privacy, and regulatory defensibility in a category with rising data sensitivity.</w:t>
            </w:r>
            <w:r>
              <w:t xml:space="preserve"> </w:t>
            </w:r>
            <w:hyperlink r:id="rId31">
              <w:r>
                <w:rPr>
                  <w:rStyle w:val="Hyperlink"/>
                </w:rPr>
                <w:t xml:space="preserve">[36]</w:t>
              </w:r>
            </w:hyperlink>
          </w:p>
        </w:tc>
      </w:tr>
    </w:tbl>
    <w:p>
      <w:pPr>
        <w:pStyle w:val="BodyText"/>
      </w:pPr>
      <w:r>
        <w:t xml:space="preserve">My final recommendation, if I were evaluating this as a partner at Sequoia, Index, Balderton, or LocalGlobe, would be:</w:t>
      </w:r>
    </w:p>
    <w:p>
      <w:pPr>
        <w:pStyle w:val="BodyText"/>
      </w:pPr>
      <w:r>
        <w:rPr>
          <w:b/>
          <w:bCs/>
        </w:rPr>
        <w:t xml:space="preserve">Build the entire deck around one sentence:</w:t>
      </w:r>
      <w:r>
        <w:br/>
      </w:r>
      <w:r>
        <w:rPr>
          <w:b/>
          <w:bCs/>
        </w:rPr>
        <w:t xml:space="preserve">Sapiens OS exists because prevention still fails at execution.</w:t>
      </w:r>
    </w:p>
    <w:p>
      <w:pPr>
        <w:pStyle w:val="BodyText"/>
      </w:pPr>
      <w:r>
        <w:t xml:space="preserve">Then unpack it like this: chronic disease and lost healthspan are driven largely by modifiable behaviours; wearables and health apps have made measurement abundant; current solutions remain fragmented, episodic, or interpretation-heavy; under stress and time scarcity, people need prioritised execution, not more dashboards; Sapiens OS is the software layer that turns multi-source health data into one action someone can actually do today.</w:t>
      </w:r>
      <w:r>
        <w:t xml:space="preserve"> </w:t>
      </w:r>
      <w:hyperlink r:id="rId21">
        <w:r>
          <w:rPr>
            <w:rStyle w:val="Hyperlink"/>
          </w:rPr>
          <w:t xml:space="preserve">[37]</w:t>
        </w:r>
      </w:hyperlink>
    </w:p>
    <w:p>
      <w:pPr>
        <w:pStyle w:val="BodyText"/>
      </w:pPr>
      <w:r>
        <w:t xml:space="preserve">That framing is superior to the alternatives because it has the best combination of burden, evidence, category clarity, and solution fit. It is broad enough to support a venture-scale category, precise enough to survive investor scrutiny, and close enough to the product to make Sapiens OS feel inevitable rather than ornamental.</w:t>
      </w:r>
      <w:r>
        <w:t xml:space="preserve"> </w:t>
      </w:r>
      <w:hyperlink r:id="rId21">
        <w:r>
          <w:rPr>
            <w:rStyle w:val="Hyperlink"/>
          </w:rPr>
          <w:t xml:space="preserve">[38]</w:t>
        </w:r>
      </w:hyperlink>
    </w:p>
    <w:p>
      <w:pPr>
        <w:pStyle w:val="BodyText"/>
      </w:pPr>
      <w:r>
        <w:t xml:space="preserve">Open questions remain. The biggest are empirical rather than conceptual: whether “one daily action” materially outperforms richer guidance; whether the nervous-system-first framework can be validated with proprietary outcomes; and whether EU privacy positioning translates into measurable acquisition, retention, or conversion advantage. Those are not reasons to weaken the narrative. They are the proof points the company now needs to earn.</w:t>
      </w:r>
      <w:r>
        <w:t xml:space="preserve"> </w:t>
      </w:r>
      <w:hyperlink r:id="rId31">
        <w:r>
          <w:rPr>
            <w:rStyle w:val="Hyperlink"/>
          </w:rPr>
          <w:t xml:space="preserve">[39]</w:t>
        </w:r>
      </w:hyperlink>
    </w:p>
    <w:bookmarkEnd w:id="41"/>
    <w:bookmarkStart w:id="43" w:name="evidence-library"/>
    <w:p>
      <w:pPr>
        <w:pStyle w:val="Heading2"/>
      </w:pPr>
      <w:r>
        <w:t xml:space="preserve">Evidence library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Core claim</w:t>
            </w:r>
          </w:p>
        </w:tc>
        <w:tc>
          <w:tcPr/>
          <w:p>
            <w:pPr>
              <w:pStyle w:val="Compact"/>
            </w:pPr>
            <w:r>
              <w:t xml:space="preserve">Statistic or finding</w:t>
            </w:r>
          </w:p>
        </w:tc>
        <w:tc>
          <w:tcPr/>
          <w:p>
            <w:pPr>
              <w:pStyle w:val="Compact"/>
            </w:pPr>
            <w:r>
              <w:t xml:space="preserve">Source</w:t>
            </w:r>
          </w:p>
        </w:tc>
        <w:tc>
          <w:tcPr/>
          <w:p>
            <w:pPr>
              <w:pStyle w:val="Compact"/>
            </w:pPr>
            <w:r>
              <w:t xml:space="preserve">Publication</w:t>
            </w:r>
          </w:p>
        </w:tc>
        <w:tc>
          <w:tcPr/>
          <w:p>
            <w:pPr>
              <w:pStyle w:val="Compact"/>
              <w:jc w:val="right"/>
            </w:pPr>
            <w:r>
              <w:t xml:space="preserve">Year</w:t>
            </w:r>
          </w:p>
        </w:tc>
        <w:tc>
          <w:tcPr/>
          <w:p>
            <w:pPr>
              <w:pStyle w:val="Compact"/>
            </w:pPr>
            <w:r>
              <w:t xml:space="preserve">Confidence</w:t>
            </w:r>
          </w:p>
        </w:tc>
      </w:tr>
      <w:tr>
        <w:tc>
          <w:tcPr/>
          <w:p>
            <w:pPr>
              <w:pStyle w:val="Compact"/>
            </w:pPr>
            <w:r>
              <w:t xml:space="preserve">NCDs dominate the global burden</w:t>
            </w:r>
          </w:p>
        </w:tc>
        <w:tc>
          <w:tcPr/>
          <w:p>
            <w:pPr>
              <w:pStyle w:val="Compact"/>
            </w:pPr>
            <w:r>
              <w:t xml:space="preserve">At least 43 million deaths in 2021; 75% of non-pandemic deaths globally</w:t>
            </w:r>
          </w:p>
        </w:tc>
        <w:tc>
          <w:tcPr/>
          <w:p>
            <w:pPr>
              <w:pStyle w:val="Compact"/>
            </w:pPr>
            <w:r>
              <w:t xml:space="preserve">WHO</w:t>
            </w:r>
            <w:r>
              <w:t xml:space="preserve"> </w:t>
            </w:r>
            <w:hyperlink r:id="rId21">
              <w:r>
                <w:rPr>
                  <w:rStyle w:val="Hyperlink"/>
                </w:rPr>
                <w:t xml:space="preserve">[40]</w:t>
              </w:r>
            </w:hyperlink>
          </w:p>
        </w:tc>
        <w:tc>
          <w:tcPr/>
          <w:p>
            <w:pPr>
              <w:pStyle w:val="Compact"/>
            </w:pPr>
            <w:r>
              <w:t xml:space="preserve">WHO fact sheet</w:t>
            </w:r>
          </w:p>
        </w:tc>
        <w:tc>
          <w:tcPr/>
          <w:p>
            <w:pPr>
              <w:pStyle w:val="Compact"/>
              <w:jc w:val="right"/>
            </w:pPr>
            <w:r>
              <w:t xml:space="preserve">2025</w:t>
            </w:r>
          </w:p>
        </w:tc>
        <w:tc>
          <w:tcPr/>
          <w:p>
            <w:pPr>
              <w:pStyle w:val="Compact"/>
            </w:pPr>
            <w:r>
              <w:t xml:space="preserve">High</w:t>
            </w:r>
          </w:p>
        </w:tc>
      </w:tr>
      <w:tr>
        <w:tc>
          <w:tcPr/>
          <w:p>
            <w:pPr>
              <w:pStyle w:val="Compact"/>
            </w:pPr>
            <w:r>
              <w:t xml:space="preserve">NCD risk is heavily behaviour-linked</w:t>
            </w:r>
          </w:p>
        </w:tc>
        <w:tc>
          <w:tcPr/>
          <w:p>
            <w:pPr>
              <w:pStyle w:val="Compact"/>
            </w:pPr>
            <w:r>
              <w:t xml:space="preserve">Tobacco, inactivity, alcohol, unhealthy diet and air pollution are key risk factors</w:t>
            </w:r>
          </w:p>
        </w:tc>
        <w:tc>
          <w:tcPr/>
          <w:p>
            <w:pPr>
              <w:pStyle w:val="Compact"/>
            </w:pPr>
            <w:r>
              <w:t xml:space="preserve">WHO</w:t>
            </w:r>
            <w:r>
              <w:t xml:space="preserve"> </w:t>
            </w:r>
            <w:hyperlink r:id="rId21">
              <w:r>
                <w:rPr>
                  <w:rStyle w:val="Hyperlink"/>
                </w:rPr>
                <w:t xml:space="preserve">[40]</w:t>
              </w:r>
            </w:hyperlink>
          </w:p>
        </w:tc>
        <w:tc>
          <w:tcPr/>
          <w:p>
            <w:pPr>
              <w:pStyle w:val="Compact"/>
            </w:pPr>
            <w:r>
              <w:t xml:space="preserve">WHO fact sheet</w:t>
            </w:r>
          </w:p>
        </w:tc>
        <w:tc>
          <w:tcPr/>
          <w:p>
            <w:pPr>
              <w:pStyle w:val="Compact"/>
              <w:jc w:val="right"/>
            </w:pPr>
            <w:r>
              <w:t xml:space="preserve">2025</w:t>
            </w:r>
          </w:p>
        </w:tc>
        <w:tc>
          <w:tcPr/>
          <w:p>
            <w:pPr>
              <w:pStyle w:val="Compact"/>
            </w:pPr>
            <w:r>
              <w:t xml:space="preserve">High</w:t>
            </w:r>
          </w:p>
        </w:tc>
      </w:tr>
      <w:tr>
        <w:tc>
          <w:tcPr/>
          <w:p>
            <w:pPr>
              <w:pStyle w:val="Compact"/>
            </w:pPr>
            <w:r>
              <w:t xml:space="preserve">Preventable lifestyle burden is large in Europe</w:t>
            </w:r>
          </w:p>
        </w:tc>
        <w:tc>
          <w:tcPr/>
          <w:p>
            <w:pPr>
              <w:pStyle w:val="Compact"/>
            </w:pPr>
            <w:r>
              <w:t xml:space="preserve">~1.1 million EU deaths in 2021, nearly 21% of all deaths, attributable to smoking, alcohol and high BMI combined</w:t>
            </w:r>
          </w:p>
        </w:tc>
        <w:tc>
          <w:tcPr/>
          <w:p>
            <w:pPr>
              <w:pStyle w:val="Compact"/>
            </w:pPr>
            <w:r>
              <w:t xml:space="preserve">OECD/European Commission</w:t>
            </w:r>
            <w:r>
              <w:t xml:space="preserve"> </w:t>
            </w:r>
            <w:hyperlink r:id="rId37">
              <w:r>
                <w:rPr>
                  <w:rStyle w:val="Hyperlink"/>
                </w:rPr>
                <w:t xml:space="preserve">[41]</w:t>
              </w:r>
            </w:hyperlink>
          </w:p>
        </w:tc>
        <w:tc>
          <w:tcPr/>
          <w:p>
            <w:pPr>
              <w:pStyle w:val="Compact"/>
            </w:pPr>
            <w:r>
              <w:rPr>
                <w:i/>
                <w:iCs/>
              </w:rPr>
              <w:t xml:space="preserve">Health at a Glance: Europe</w:t>
            </w:r>
          </w:p>
        </w:tc>
        <w:tc>
          <w:tcPr/>
          <w:p>
            <w:pPr>
              <w:pStyle w:val="Compact"/>
              <w:jc w:val="right"/>
            </w:pPr>
            <w:r>
              <w:t xml:space="preserve">2024</w:t>
            </w:r>
          </w:p>
        </w:tc>
        <w:tc>
          <w:tcPr/>
          <w:p>
            <w:pPr>
              <w:pStyle w:val="Compact"/>
            </w:pPr>
            <w:r>
              <w:t xml:space="preserve">High</w:t>
            </w:r>
          </w:p>
        </w:tc>
      </w:tr>
      <w:tr>
        <w:tc>
          <w:tcPr/>
          <w:p>
            <w:pPr>
              <w:pStyle w:val="Compact"/>
            </w:pPr>
            <w:r>
              <w:t xml:space="preserve">Healthspan gap is real in Europe</w:t>
            </w:r>
          </w:p>
        </w:tc>
        <w:tc>
          <w:tcPr/>
          <w:p>
            <w:pPr>
              <w:pStyle w:val="Compact"/>
            </w:pPr>
            <w:r>
              <w:t xml:space="preserve">More than half of years lived after 65 are impaired by chronic illness/disability</w:t>
            </w:r>
          </w:p>
        </w:tc>
        <w:tc>
          <w:tcPr/>
          <w:p>
            <w:pPr>
              <w:pStyle w:val="Compact"/>
            </w:pPr>
            <w:r>
              <w:t xml:space="preserve">OECD/European Commission</w:t>
            </w:r>
            <w:r>
              <w:t xml:space="preserve"> </w:t>
            </w:r>
            <w:hyperlink r:id="rId37">
              <w:r>
                <w:rPr>
                  <w:rStyle w:val="Hyperlink"/>
                </w:rPr>
                <w:t xml:space="preserve">[42]</w:t>
              </w:r>
            </w:hyperlink>
          </w:p>
        </w:tc>
        <w:tc>
          <w:tcPr/>
          <w:p>
            <w:pPr>
              <w:pStyle w:val="Compact"/>
            </w:pPr>
            <w:r>
              <w:rPr>
                <w:i/>
                <w:iCs/>
              </w:rPr>
              <w:t xml:space="preserve">Health at a Glance: Europe</w:t>
            </w:r>
          </w:p>
        </w:tc>
        <w:tc>
          <w:tcPr/>
          <w:p>
            <w:pPr>
              <w:pStyle w:val="Compact"/>
              <w:jc w:val="right"/>
            </w:pPr>
            <w:r>
              <w:t xml:space="preserve">2024</w:t>
            </w:r>
          </w:p>
        </w:tc>
        <w:tc>
          <w:tcPr/>
          <w:p>
            <w:pPr>
              <w:pStyle w:val="Compact"/>
            </w:pPr>
            <w:r>
              <w:t xml:space="preserve">High</w:t>
            </w:r>
          </w:p>
        </w:tc>
      </w:tr>
      <w:tr>
        <w:tc>
          <w:tcPr/>
          <w:p>
            <w:pPr>
              <w:pStyle w:val="Compact"/>
            </w:pPr>
            <w:r>
              <w:t xml:space="preserve">Europe is ageing rapidly</w:t>
            </w:r>
          </w:p>
        </w:tc>
        <w:tc>
          <w:tcPr/>
          <w:p>
            <w:pPr>
              <w:pStyle w:val="Compact"/>
            </w:pPr>
            <w:r>
              <w:t xml:space="preserve">EU over-65 share projected to rise from 21% in 2023 to 29% by 2050</w:t>
            </w:r>
          </w:p>
        </w:tc>
        <w:tc>
          <w:tcPr/>
          <w:p>
            <w:pPr>
              <w:pStyle w:val="Compact"/>
            </w:pPr>
            <w:r>
              <w:t xml:space="preserve">OECD/European Commission</w:t>
            </w:r>
            <w:r>
              <w:t xml:space="preserve"> </w:t>
            </w:r>
            <w:hyperlink r:id="rId37">
              <w:r>
                <w:rPr>
                  <w:rStyle w:val="Hyperlink"/>
                </w:rPr>
                <w:t xml:space="preserve">[42]</w:t>
              </w:r>
            </w:hyperlink>
          </w:p>
        </w:tc>
        <w:tc>
          <w:tcPr/>
          <w:p>
            <w:pPr>
              <w:pStyle w:val="Compact"/>
            </w:pPr>
            <w:r>
              <w:rPr>
                <w:i/>
                <w:iCs/>
              </w:rPr>
              <w:t xml:space="preserve">Health at a Glance: Europe</w:t>
            </w:r>
          </w:p>
        </w:tc>
        <w:tc>
          <w:tcPr/>
          <w:p>
            <w:pPr>
              <w:pStyle w:val="Compact"/>
              <w:jc w:val="right"/>
            </w:pPr>
            <w:r>
              <w:t xml:space="preserve">2024</w:t>
            </w:r>
          </w:p>
        </w:tc>
        <w:tc>
          <w:tcPr/>
          <w:p>
            <w:pPr>
              <w:pStyle w:val="Compact"/>
            </w:pPr>
            <w:r>
              <w:t xml:space="preserve">High</w:t>
            </w:r>
          </w:p>
        </w:tc>
      </w:tr>
      <w:tr>
        <w:tc>
          <w:tcPr/>
          <w:p>
            <w:pPr>
              <w:pStyle w:val="Compact"/>
            </w:pPr>
            <w:r>
              <w:t xml:space="preserve">Healthy longevity is now a policy priority</w:t>
            </w:r>
          </w:p>
        </w:tc>
        <w:tc>
          <w:tcPr/>
          <w:p>
            <w:pPr>
              <w:pStyle w:val="Compact"/>
            </w:pPr>
            <w:r>
              <w:t xml:space="preserve">OECD/EC explicitly call for promoting healthy longevity and empowering individuals to manage their own health</w:t>
            </w:r>
          </w:p>
        </w:tc>
        <w:tc>
          <w:tcPr/>
          <w:p>
            <w:pPr>
              <w:pStyle w:val="Compact"/>
            </w:pPr>
            <w:r>
              <w:t xml:space="preserve">OECD/European Commission</w:t>
            </w:r>
            <w:r>
              <w:t xml:space="preserve"> </w:t>
            </w:r>
            <w:hyperlink r:id="rId37">
              <w:r>
                <w:rPr>
                  <w:rStyle w:val="Hyperlink"/>
                </w:rPr>
                <w:t xml:space="preserve">[42]</w:t>
              </w:r>
            </w:hyperlink>
          </w:p>
        </w:tc>
        <w:tc>
          <w:tcPr/>
          <w:p>
            <w:pPr>
              <w:pStyle w:val="Compact"/>
            </w:pPr>
            <w:r>
              <w:rPr>
                <w:i/>
                <w:iCs/>
              </w:rPr>
              <w:t xml:space="preserve">Health at a Glance: Europe</w:t>
            </w:r>
          </w:p>
        </w:tc>
        <w:tc>
          <w:tcPr/>
          <w:p>
            <w:pPr>
              <w:pStyle w:val="Compact"/>
              <w:jc w:val="right"/>
            </w:pPr>
            <w:r>
              <w:t xml:space="preserve">2024</w:t>
            </w:r>
          </w:p>
        </w:tc>
        <w:tc>
          <w:tcPr/>
          <w:p>
            <w:pPr>
              <w:pStyle w:val="Compact"/>
            </w:pPr>
            <w:r>
              <w:t xml:space="preserve">High</w:t>
            </w:r>
          </w:p>
        </w:tc>
      </w:tr>
      <w:tr>
        <w:tc>
          <w:tcPr/>
          <w:p>
            <w:pPr>
              <w:pStyle w:val="Compact"/>
            </w:pPr>
            <w:r>
              <w:t xml:space="preserve">Measurement infrastructure is already mature</w:t>
            </w:r>
          </w:p>
        </w:tc>
        <w:tc>
          <w:tcPr/>
          <w:p>
            <w:pPr>
              <w:pStyle w:val="Compact"/>
            </w:pPr>
            <w:r>
              <w:t xml:space="preserve">Apple Health centralises records, trends and charts; WHOOP and Oura provide continuous monitoring; Superpower and Function combine biomarkers with data platforms</w:t>
            </w:r>
          </w:p>
        </w:tc>
        <w:tc>
          <w:tcPr/>
          <w:p>
            <w:pPr>
              <w:pStyle w:val="Compact"/>
            </w:pPr>
            <w:r>
              <w:t xml:space="preserve">Apple, WHOOP, Oura, Superpower, Function</w:t>
            </w:r>
            <w:r>
              <w:t xml:space="preserve"> </w:t>
            </w:r>
            <w:hyperlink r:id="rId22">
              <w:r>
                <w:rPr>
                  <w:rStyle w:val="Hyperlink"/>
                </w:rPr>
                <w:t xml:space="preserve">[43]</w:t>
              </w:r>
            </w:hyperlink>
          </w:p>
        </w:tc>
        <w:tc>
          <w:tcPr/>
          <w:p>
            <w:pPr>
              <w:pStyle w:val="Compact"/>
            </w:pPr>
            <w:r>
              <w:t xml:space="preserve">Official product pages</w:t>
            </w:r>
          </w:p>
        </w:tc>
        <w:tc>
          <w:tcPr/>
          <w:p>
            <w:pPr>
              <w:pStyle w:val="Compact"/>
              <w:jc w:val="right"/>
            </w:pPr>
            <w:r>
              <w:t xml:space="preserve">2026</w:t>
            </w:r>
          </w:p>
        </w:tc>
        <w:tc>
          <w:tcPr/>
          <w:p>
            <w:pPr>
              <w:pStyle w:val="Compact"/>
            </w:pPr>
            <w:r>
              <w:t xml:space="preserve">High</w:t>
            </w:r>
          </w:p>
        </w:tc>
      </w:tr>
      <w:tr>
        <w:tc>
          <w:tcPr/>
          <w:p>
            <w:pPr>
              <w:pStyle w:val="Compact"/>
            </w:pPr>
            <w:r>
              <w:t xml:space="preserve">Actionability remains difficult</w:t>
            </w:r>
          </w:p>
        </w:tc>
        <w:tc>
          <w:tcPr/>
          <w:p>
            <w:pPr>
              <w:pStyle w:val="Compact"/>
            </w:pPr>
            <w:r>
              <w:t xml:space="preserve">Google researchers note that deriving actionable personalised insights from wearables remains challenging</w:t>
            </w:r>
          </w:p>
        </w:tc>
        <w:tc>
          <w:tcPr/>
          <w:p>
            <w:pPr>
              <w:pStyle w:val="Compact"/>
            </w:pPr>
            <w:r>
              <w:t xml:space="preserve">Google research</w:t>
            </w:r>
            <w:r>
              <w:t xml:space="preserve"> </w:t>
            </w:r>
            <w:hyperlink r:id="rId25">
              <w:r>
                <w:rPr>
                  <w:rStyle w:val="Hyperlink"/>
                </w:rPr>
                <w:t xml:space="preserve">[44]</w:t>
              </w:r>
            </w:hyperlink>
          </w:p>
        </w:tc>
        <w:tc>
          <w:tcPr/>
          <w:p>
            <w:pPr>
              <w:pStyle w:val="Compact"/>
            </w:pPr>
            <w:r>
              <w:t xml:space="preserve">Research preprint</w:t>
            </w:r>
          </w:p>
        </w:tc>
        <w:tc>
          <w:tcPr/>
          <w:p>
            <w:pPr>
              <w:pStyle w:val="Compact"/>
              <w:jc w:val="right"/>
            </w:pPr>
            <w:r>
              <w:t xml:space="preserve">2024</w:t>
            </w:r>
          </w:p>
        </w:tc>
        <w:tc>
          <w:tcPr/>
          <w:p>
            <w:pPr>
              <w:pStyle w:val="Compact"/>
            </w:pPr>
            <w:r>
              <w:t xml:space="preserve">Medium</w:t>
            </w:r>
          </w:p>
        </w:tc>
      </w:tr>
      <w:tr>
        <w:tc>
          <w:tcPr/>
          <w:p>
            <w:pPr>
              <w:pStyle w:val="Compact"/>
            </w:pPr>
            <w:r>
              <w:t xml:space="preserve">Digital health suffers attrition</w:t>
            </w:r>
          </w:p>
        </w:tc>
        <w:tc>
          <w:tcPr/>
          <w:p>
            <w:pPr>
              <w:pStyle w:val="Compact"/>
            </w:pPr>
            <w:r>
              <w:t xml:space="preserve">Remote digital health studies across 100,000+ participants were hampered by substantial attrition</w:t>
            </w:r>
          </w:p>
        </w:tc>
        <w:tc>
          <w:tcPr/>
          <w:p>
            <w:pPr>
              <w:pStyle w:val="Compact"/>
            </w:pPr>
            <w:r>
              <w:t xml:space="preserve">Pratap et al.</w:t>
            </w:r>
            <w:r>
              <w:t xml:space="preserve"> </w:t>
            </w:r>
            <w:hyperlink r:id="rId42">
              <w:r>
                <w:rPr>
                  <w:rStyle w:val="Hyperlink"/>
                </w:rPr>
                <w:t xml:space="preserve">[45]</w:t>
              </w:r>
            </w:hyperlink>
          </w:p>
        </w:tc>
        <w:tc>
          <w:tcPr/>
          <w:p>
            <w:pPr>
              <w:pStyle w:val="Compact"/>
            </w:pPr>
            <w:r>
              <w:t xml:space="preserve">Research preprint</w:t>
            </w:r>
          </w:p>
        </w:tc>
        <w:tc>
          <w:tcPr/>
          <w:p>
            <w:pPr>
              <w:pStyle w:val="Compact"/>
              <w:jc w:val="right"/>
            </w:pPr>
            <w:r>
              <w:t xml:space="preserve">2019</w:t>
            </w:r>
          </w:p>
        </w:tc>
        <w:tc>
          <w:tcPr/>
          <w:p>
            <w:pPr>
              <w:pStyle w:val="Compact"/>
            </w:pPr>
            <w:r>
              <w:t xml:space="preserve">Medium</w:t>
            </w:r>
          </w:p>
        </w:tc>
      </w:tr>
      <w:tr>
        <w:tc>
          <w:tcPr/>
          <w:p>
            <w:pPr>
              <w:pStyle w:val="Compact"/>
            </w:pPr>
            <w:r>
              <w:t xml:space="preserve">Coaching is useful but costly to scale</w:t>
            </w:r>
          </w:p>
        </w:tc>
        <w:tc>
          <w:tcPr/>
          <w:p>
            <w:pPr>
              <w:pStyle w:val="Compact"/>
            </w:pPr>
            <w:r>
              <w:t xml:space="preserve">Health coaching is personalised and labour-intensive, motivating automation efforts</w:t>
            </w:r>
          </w:p>
        </w:tc>
        <w:tc>
          <w:tcPr/>
          <w:p>
            <w:pPr>
              <w:pStyle w:val="Compact"/>
            </w:pPr>
            <w:r>
              <w:t xml:space="preserve">Zhou et al.</w:t>
            </w:r>
            <w:r>
              <w:t xml:space="preserve"> </w:t>
            </w:r>
            <w:hyperlink r:id="rId33">
              <w:r>
                <w:rPr>
                  <w:rStyle w:val="Hyperlink"/>
                </w:rPr>
                <w:t xml:space="preserve">[21]</w:t>
              </w:r>
            </w:hyperlink>
          </w:p>
        </w:tc>
        <w:tc>
          <w:tcPr/>
          <w:p>
            <w:pPr>
              <w:pStyle w:val="Compact"/>
            </w:pPr>
            <w:r>
              <w:t xml:space="preserve">Research preprint</w:t>
            </w:r>
          </w:p>
        </w:tc>
        <w:tc>
          <w:tcPr/>
          <w:p>
            <w:pPr>
              <w:pStyle w:val="Compact"/>
              <w:jc w:val="right"/>
            </w:pPr>
            <w:r>
              <w:t xml:space="preserve">2024</w:t>
            </w:r>
          </w:p>
        </w:tc>
        <w:tc>
          <w:tcPr/>
          <w:p>
            <w:pPr>
              <w:pStyle w:val="Compact"/>
            </w:pPr>
            <w:r>
              <w:t xml:space="preserve">Medium</w:t>
            </w:r>
          </w:p>
        </w:tc>
      </w:tr>
      <w:tr>
        <w:tc>
          <w:tcPr/>
          <w:p>
            <w:pPr>
              <w:pStyle w:val="Compact"/>
            </w:pPr>
            <w:r>
              <w:t xml:space="preserve">Wearables market growth is still strong</w:t>
            </w:r>
          </w:p>
        </w:tc>
        <w:tc>
          <w:tcPr/>
          <w:p>
            <w:pPr>
              <w:pStyle w:val="Compact"/>
            </w:pPr>
            <w:r>
              <w:t xml:space="preserve">IDC data cited by Vogue: 49m units sold globally in Q2 2025, +12.3% YoY</w:t>
            </w:r>
          </w:p>
        </w:tc>
        <w:tc>
          <w:tcPr/>
          <w:p>
            <w:pPr>
              <w:pStyle w:val="Compact"/>
            </w:pPr>
            <w:r>
              <w:t xml:space="preserve">IDC via Vogue</w:t>
            </w:r>
            <w:r>
              <w:t xml:space="preserve"> </w:t>
            </w:r>
            <w:hyperlink r:id="rId38">
              <w:r>
                <w:rPr>
                  <w:rStyle w:val="Hyperlink"/>
                </w:rPr>
                <w:t xml:space="preserve">[28]</w:t>
              </w:r>
            </w:hyperlink>
          </w:p>
        </w:tc>
        <w:tc>
          <w:tcPr/>
          <w:p>
            <w:pPr>
              <w:pStyle w:val="Compact"/>
            </w:pPr>
            <w:r>
              <w:t xml:space="preserve">News synthesis of analyst market data</w:t>
            </w:r>
          </w:p>
        </w:tc>
        <w:tc>
          <w:tcPr/>
          <w:p>
            <w:pPr>
              <w:pStyle w:val="Compact"/>
              <w:jc w:val="right"/>
            </w:pPr>
            <w:r>
              <w:t xml:space="preserve">2025</w:t>
            </w:r>
          </w:p>
        </w:tc>
        <w:tc>
          <w:tcPr/>
          <w:p>
            <w:pPr>
              <w:pStyle w:val="Compact"/>
            </w:pPr>
            <w:r>
              <w:t xml:space="preserve">Medium</w:t>
            </w:r>
          </w:p>
        </w:tc>
      </w:tr>
      <w:tr>
        <w:tc>
          <w:tcPr/>
          <w:p>
            <w:pPr>
              <w:pStyle w:val="Compact"/>
            </w:pPr>
            <w:r>
              <w:t xml:space="preserve">Commercial estimates point to a large wearables market</w:t>
            </w:r>
          </w:p>
        </w:tc>
        <w:tc>
          <w:tcPr/>
          <w:p>
            <w:pPr>
              <w:pStyle w:val="Compact"/>
            </w:pPr>
            <w:r>
              <w:t xml:space="preserve">Grand View estimate: ~$186bn market by 2030, 13.6% CAGR</w:t>
            </w:r>
          </w:p>
        </w:tc>
        <w:tc>
          <w:tcPr/>
          <w:p>
            <w:pPr>
              <w:pStyle w:val="Compact"/>
            </w:pPr>
            <w:r>
              <w:t xml:space="preserve">Grand View via Vogue</w:t>
            </w:r>
            <w:r>
              <w:t xml:space="preserve"> </w:t>
            </w:r>
            <w:hyperlink r:id="rId38">
              <w:r>
                <w:rPr>
                  <w:rStyle w:val="Hyperlink"/>
                </w:rPr>
                <w:t xml:space="preserve">[28]</w:t>
              </w:r>
            </w:hyperlink>
          </w:p>
        </w:tc>
        <w:tc>
          <w:tcPr/>
          <w:p>
            <w:pPr>
              <w:pStyle w:val="Compact"/>
            </w:pPr>
            <w:r>
              <w:t xml:space="preserve">Commercial market estimate</w:t>
            </w:r>
          </w:p>
        </w:tc>
        <w:tc>
          <w:tcPr/>
          <w:p>
            <w:pPr>
              <w:pStyle w:val="Compact"/>
              <w:jc w:val="right"/>
            </w:pPr>
            <w:r>
              <w:t xml:space="preserve">2025</w:t>
            </w:r>
          </w:p>
        </w:tc>
        <w:tc>
          <w:tcPr/>
          <w:p>
            <w:pPr>
              <w:pStyle w:val="Compact"/>
            </w:pPr>
            <w:r>
              <w:t xml:space="preserve">Medium</w:t>
            </w:r>
          </w:p>
        </w:tc>
      </w:tr>
      <w:tr>
        <w:tc>
          <w:tcPr/>
          <w:p>
            <w:pPr>
              <w:pStyle w:val="Compact"/>
            </w:pPr>
            <w:r>
              <w:t xml:space="preserve">Privacy is commercially material</w:t>
            </w:r>
          </w:p>
        </w:tc>
        <w:tc>
          <w:tcPr/>
          <w:p>
            <w:pPr>
              <w:pStyle w:val="Compact"/>
            </w:pPr>
            <w:r>
              <w:t xml:space="preserve">Only 34% of Deloitte survey respondents felt companies were clear about data use; women with wearables were less likely than men to share data with providers</w:t>
            </w:r>
          </w:p>
        </w:tc>
        <w:tc>
          <w:tcPr/>
          <w:p>
            <w:pPr>
              <w:pStyle w:val="Compact"/>
            </w:pPr>
            <w:r>
              <w:t xml:space="preserve">Deloitte/WSJ CMO Intelligence</w:t>
            </w:r>
            <w:r>
              <w:t xml:space="preserve"> </w:t>
            </w:r>
            <w:hyperlink r:id="rId31">
              <w:r>
                <w:rPr>
                  <w:rStyle w:val="Hyperlink"/>
                </w:rPr>
                <w:t xml:space="preserve">[29]</w:t>
              </w:r>
            </w:hyperlink>
          </w:p>
        </w:tc>
        <w:tc>
          <w:tcPr/>
          <w:p>
            <w:pPr>
              <w:pStyle w:val="Compact"/>
            </w:pPr>
            <w:r>
              <w:t xml:space="preserve">Connected Consumer Survey coverage</w:t>
            </w:r>
          </w:p>
        </w:tc>
        <w:tc>
          <w:tcPr/>
          <w:p>
            <w:pPr>
              <w:pStyle w:val="Compact"/>
              <w:jc w:val="right"/>
            </w:pPr>
            <w:r>
              <w:t xml:space="preserve">2024</w:t>
            </w:r>
          </w:p>
        </w:tc>
        <w:tc>
          <w:tcPr/>
          <w:p>
            <w:pPr>
              <w:pStyle w:val="Compact"/>
            </w:pPr>
            <w:r>
              <w:t xml:space="preserve">Medium</w:t>
            </w:r>
          </w:p>
        </w:tc>
      </w:tr>
      <w:tr>
        <w:tc>
          <w:tcPr/>
          <w:p>
            <w:pPr>
              <w:pStyle w:val="Compact"/>
            </w:pPr>
            <w:r>
              <w:t xml:space="preserve">Burnout and chronic stress are real behavioural barriers</w:t>
            </w:r>
          </w:p>
        </w:tc>
        <w:tc>
          <w:tcPr/>
          <w:p>
            <w:pPr>
              <w:pStyle w:val="Compact"/>
            </w:pPr>
            <w:r>
              <w:t xml:space="preserve">WHO defines burnout as chronic workplace stress not successfully managed</w:t>
            </w:r>
          </w:p>
        </w:tc>
        <w:tc>
          <w:tcPr/>
          <w:p>
            <w:pPr>
              <w:pStyle w:val="Compact"/>
            </w:pPr>
            <w:r>
              <w:t xml:space="preserve">WHO via ICD-11 summary</w:t>
            </w:r>
            <w:r>
              <w:t xml:space="preserve"> </w:t>
            </w:r>
            <w:hyperlink r:id="rId29">
              <w:r>
                <w:rPr>
                  <w:rStyle w:val="Hyperlink"/>
                </w:rPr>
                <w:t xml:space="preserve">[46]</w:t>
              </w:r>
            </w:hyperlink>
          </w:p>
        </w:tc>
        <w:tc>
          <w:tcPr/>
          <w:p>
            <w:pPr>
              <w:pStyle w:val="Compact"/>
            </w:pPr>
            <w:r>
              <w:t xml:space="preserve">WHO classification summary</w:t>
            </w:r>
          </w:p>
        </w:tc>
        <w:tc>
          <w:tcPr/>
          <w:p>
            <w:pPr>
              <w:pStyle w:val="Compact"/>
              <w:jc w:val="right"/>
            </w:pPr>
            <w:r>
              <w:t xml:space="preserve">Current</w:t>
            </w:r>
          </w:p>
        </w:tc>
        <w:tc>
          <w:tcPr/>
          <w:p>
            <w:pPr>
              <w:pStyle w:val="Compact"/>
            </w:pPr>
            <w:r>
              <w:t xml:space="preserve">High</w:t>
            </w:r>
          </w:p>
        </w:tc>
      </w:tr>
      <w:tr>
        <w:tc>
          <w:tcPr/>
          <w:p>
            <w:pPr>
              <w:pStyle w:val="Compact"/>
            </w:pPr>
            <w:r>
              <w:t xml:space="preserve">Planning matters in behaviour change</w:t>
            </w:r>
          </w:p>
        </w:tc>
        <w:tc>
          <w:tcPr/>
          <w:p>
            <w:pPr>
              <w:pStyle w:val="Compact"/>
            </w:pPr>
            <w:r>
              <w:t xml:space="preserve">Behaviour theories emphasise bridging intention to action with planning and coping strategies</w:t>
            </w:r>
          </w:p>
        </w:tc>
        <w:tc>
          <w:tcPr/>
          <w:p>
            <w:pPr>
              <w:pStyle w:val="Compact"/>
            </w:pPr>
            <w:r>
              <w:t xml:space="preserve">Health Action Process Approach / implementation intention summaries</w:t>
            </w:r>
            <w:r>
              <w:t xml:space="preserve"> </w:t>
            </w:r>
            <w:hyperlink r:id="rId28">
              <w:r>
                <w:rPr>
                  <w:rStyle w:val="Hyperlink"/>
                </w:rPr>
                <w:t xml:space="preserve">[11]</w:t>
              </w:r>
            </w:hyperlink>
          </w:p>
        </w:tc>
        <w:tc>
          <w:tcPr/>
          <w:p>
            <w:pPr>
              <w:pStyle w:val="Compact"/>
            </w:pPr>
            <w:r>
              <w:t xml:space="preserve">Theory summaries referencing foundational literature</w:t>
            </w:r>
          </w:p>
        </w:tc>
        <w:tc>
          <w:tcPr/>
          <w:p>
            <w:pPr>
              <w:pStyle w:val="Compact"/>
              <w:jc w:val="right"/>
            </w:pPr>
            <w:r>
              <w:t xml:space="preserve">Current summaries of classic work</w:t>
            </w:r>
          </w:p>
        </w:tc>
        <w:tc>
          <w:tcPr/>
          <w:p>
            <w:pPr>
              <w:pStyle w:val="Compact"/>
            </w:pPr>
            <w:r>
              <w:t xml:space="preserve">Medium</w:t>
            </w:r>
          </w:p>
        </w:tc>
      </w:tr>
    </w:tbl>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[30]</w:t>
        </w:r>
      </w:hyperlink>
      <w:r>
        <w:t xml:space="preserve"> </w:t>
      </w:r>
      <w:hyperlink r:id="rId21">
        <w:r>
          <w:rPr>
            <w:rStyle w:val="Hyperlink"/>
          </w:rPr>
          <w:t xml:space="preserve">[37]</w:t>
        </w:r>
      </w:hyperlink>
      <w:r>
        <w:t xml:space="preserve"> </w:t>
      </w:r>
      <w:hyperlink r:id="rId21">
        <w:r>
          <w:rPr>
            <w:rStyle w:val="Hyperlink"/>
          </w:rPr>
          <w:t xml:space="preserve">[38]</w:t>
        </w:r>
      </w:hyperlink>
      <w:r>
        <w:t xml:space="preserve"> </w:t>
      </w:r>
      <w:hyperlink r:id="rId21">
        <w:r>
          <w:rPr>
            <w:rStyle w:val="Hyperlink"/>
          </w:rPr>
          <w:t xml:space="preserve">[40]</w:t>
        </w:r>
      </w:hyperlink>
      <w:r>
        <w:t xml:space="preserve"> </w:t>
      </w:r>
      <w:r>
        <w:t xml:space="preserve"> </w:t>
      </w:r>
      <w:r>
        <w:t xml:space="preserve">Noncommunicable diseases</w:t>
      </w:r>
      <w:r>
        <w:t xml:space="preserve"> </w:t>
      </w:r>
    </w:p>
    <w:p>
      <w:pPr>
        <w:pStyle w:val="BodyText"/>
      </w:pPr>
      <w:hyperlink r:id="rId21">
        <w:r>
          <w:rPr>
            <w:rStyle w:val="Hyperlink"/>
          </w:rPr>
          <w:t xml:space="preserve">https://www.who.int/news-room/fact-sheets/detail/noncommunicable-diseases</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[25]</w:t>
        </w:r>
      </w:hyperlink>
      <w:r>
        <w:t xml:space="preserve"> </w:t>
      </w:r>
      <w:hyperlink r:id="rId22">
        <w:r>
          <w:rPr>
            <w:rStyle w:val="Hyperlink"/>
          </w:rPr>
          <w:t xml:space="preserve">[31]</w:t>
        </w:r>
      </w:hyperlink>
      <w:r>
        <w:t xml:space="preserve"> </w:t>
      </w:r>
      <w:hyperlink r:id="rId22">
        <w:r>
          <w:rPr>
            <w:rStyle w:val="Hyperlink"/>
          </w:rPr>
          <w:t xml:space="preserve">[32]</w:t>
        </w:r>
      </w:hyperlink>
      <w:r>
        <w:t xml:space="preserve"> </w:t>
      </w:r>
      <w:hyperlink r:id="rId22">
        <w:r>
          <w:rPr>
            <w:rStyle w:val="Hyperlink"/>
          </w:rPr>
          <w:t xml:space="preserve">[43]</w:t>
        </w:r>
      </w:hyperlink>
      <w:r>
        <w:t xml:space="preserve"> </w:t>
      </w:r>
      <w:r>
        <w:t xml:space="preserve">Apple Health - Apple</w:t>
      </w:r>
    </w:p>
    <w:p>
      <w:pPr>
        <w:pStyle w:val="BodyText"/>
      </w:pPr>
      <w:hyperlink r:id="rId22">
        <w:r>
          <w:rPr>
            <w:rStyle w:val="Hyperlink"/>
          </w:rPr>
          <w:t xml:space="preserve">https://www.apple.com/ios/health/</w:t>
        </w:r>
      </w:hyperlink>
    </w:p>
    <w:p>
      <w:pPr>
        <w:pStyle w:val="BodyText"/>
      </w:pPr>
      <w:hyperlink r:id="rId25">
        <w:r>
          <w:rPr>
            <w:rStyle w:val="Hyperlink"/>
          </w:rPr>
          <w:t xml:space="preserve">[8]</w:t>
        </w:r>
      </w:hyperlink>
      <w:r>
        <w:t xml:space="preserve"> </w:t>
      </w:r>
      <w:hyperlink r:id="rId25">
        <w:r>
          <w:rPr>
            <w:rStyle w:val="Hyperlink"/>
          </w:rPr>
          <w:t xml:space="preserve">[10]</w:t>
        </w:r>
      </w:hyperlink>
      <w:r>
        <w:t xml:space="preserve"> </w:t>
      </w:r>
      <w:hyperlink r:id="rId25">
        <w:r>
          <w:rPr>
            <w:rStyle w:val="Hyperlink"/>
          </w:rPr>
          <w:t xml:space="preserve">[13]</w:t>
        </w:r>
      </w:hyperlink>
      <w:r>
        <w:t xml:space="preserve"> </w:t>
      </w:r>
      <w:hyperlink r:id="rId25">
        <w:r>
          <w:rPr>
            <w:rStyle w:val="Hyperlink"/>
          </w:rPr>
          <w:t xml:space="preserve">[18]</w:t>
        </w:r>
      </w:hyperlink>
      <w:r>
        <w:t xml:space="preserve"> </w:t>
      </w:r>
      <w:hyperlink r:id="rId25">
        <w:r>
          <w:rPr>
            <w:rStyle w:val="Hyperlink"/>
          </w:rPr>
          <w:t xml:space="preserve">[34]</w:t>
        </w:r>
      </w:hyperlink>
      <w:r>
        <w:t xml:space="preserve"> </w:t>
      </w:r>
      <w:hyperlink r:id="rId25">
        <w:r>
          <w:rPr>
            <w:rStyle w:val="Hyperlink"/>
          </w:rPr>
          <w:t xml:space="preserve">[44]</w:t>
        </w:r>
      </w:hyperlink>
      <w:r>
        <w:t xml:space="preserve"> </w:t>
      </w:r>
      <w:r>
        <w:t xml:space="preserve">Transforming Wearable Data into Health Insights using Large Language Model Agents</w:t>
      </w:r>
    </w:p>
    <w:p>
      <w:pPr>
        <w:pStyle w:val="BodyText"/>
      </w:pPr>
      <w:hyperlink r:id="rId25">
        <w:r>
          <w:rPr>
            <w:rStyle w:val="Hyperlink"/>
          </w:rPr>
          <w:t xml:space="preserve">https://arxiv.org/abs/2406.06464?utm_source=chatgpt.com</w:t>
        </w:r>
      </w:hyperlink>
    </w:p>
    <w:p>
      <w:pPr>
        <w:pStyle w:val="BodyText"/>
      </w:pPr>
      <w:hyperlink r:id="rId26">
        <w:r>
          <w:rPr>
            <w:rStyle w:val="Hyperlink"/>
          </w:rPr>
          <w:t xml:space="preserve">[9]</w:t>
        </w:r>
      </w:hyperlink>
      <w:r>
        <w:t xml:space="preserve"> </w:t>
      </w:r>
      <w:hyperlink r:id="rId26">
        <w:r>
          <w:rPr>
            <w:rStyle w:val="Hyperlink"/>
          </w:rPr>
          <w:t xml:space="preserve">[15]</w:t>
        </w:r>
      </w:hyperlink>
      <w:r>
        <w:t xml:space="preserve"> </w:t>
      </w:r>
      <w:hyperlink r:id="rId26">
        <w:r>
          <w:rPr>
            <w:rStyle w:val="Hyperlink"/>
          </w:rPr>
          <w:t xml:space="preserve">[26]</w:t>
        </w:r>
      </w:hyperlink>
      <w:r>
        <w:t xml:space="preserve"> </w:t>
      </w:r>
      <w:hyperlink r:id="rId26">
        <w:r>
          <w:rPr>
            <w:rStyle w:val="Hyperlink"/>
          </w:rPr>
          <w:t xml:space="preserve">[35]</w:t>
        </w:r>
      </w:hyperlink>
      <w:r>
        <w:t xml:space="preserve"> </w:t>
      </w:r>
      <w:r>
        <w:t xml:space="preserve">WHOOP | Unlock Human Performance &amp; Healthspan</w:t>
      </w:r>
    </w:p>
    <w:p>
      <w:pPr>
        <w:pStyle w:val="BodyText"/>
      </w:pPr>
      <w:hyperlink r:id="rId26">
        <w:r>
          <w:rPr>
            <w:rStyle w:val="Hyperlink"/>
          </w:rPr>
          <w:t xml:space="preserve">https://www.whoop.com/</w:t>
        </w:r>
      </w:hyperlink>
    </w:p>
    <w:p>
      <w:pPr>
        <w:pStyle w:val="BodyText"/>
      </w:pPr>
      <w:hyperlink r:id="rId28">
        <w:r>
          <w:rPr>
            <w:rStyle w:val="Hyperlink"/>
          </w:rPr>
          <w:t xml:space="preserve">[11]</w:t>
        </w:r>
      </w:hyperlink>
      <w:r>
        <w:t xml:space="preserve"> </w:t>
      </w:r>
      <w:r>
        <w:t xml:space="preserve">Implementation intention</w:t>
      </w:r>
    </w:p>
    <w:p>
      <w:pPr>
        <w:pStyle w:val="BodyText"/>
      </w:pPr>
      <w:hyperlink r:id="rId28">
        <w:r>
          <w:rPr>
            <w:rStyle w:val="Hyperlink"/>
          </w:rPr>
          <w:t xml:space="preserve">https://en.wikipedia.org/wiki/Implementation_intention?utm_source=chatgpt.com</w:t>
        </w:r>
      </w:hyperlink>
    </w:p>
    <w:p>
      <w:pPr>
        <w:pStyle w:val="BodyText"/>
      </w:pPr>
      <w:hyperlink r:id="rId29">
        <w:r>
          <w:rPr>
            <w:rStyle w:val="Hyperlink"/>
          </w:rPr>
          <w:t xml:space="preserve">[12]</w:t>
        </w:r>
      </w:hyperlink>
      <w:r>
        <w:t xml:space="preserve"> </w:t>
      </w:r>
      <w:hyperlink r:id="rId29">
        <w:r>
          <w:rPr>
            <w:rStyle w:val="Hyperlink"/>
          </w:rPr>
          <w:t xml:space="preserve">[14]</w:t>
        </w:r>
      </w:hyperlink>
      <w:r>
        <w:t xml:space="preserve"> </w:t>
      </w:r>
      <w:hyperlink r:id="rId29">
        <w:r>
          <w:rPr>
            <w:rStyle w:val="Hyperlink"/>
          </w:rPr>
          <w:t xml:space="preserve">[46]</w:t>
        </w:r>
      </w:hyperlink>
      <w:r>
        <w:t xml:space="preserve"> </w:t>
      </w:r>
      <w:r>
        <w:t xml:space="preserve">Occupational burnout</w:t>
      </w:r>
    </w:p>
    <w:p>
      <w:pPr>
        <w:pStyle w:val="BodyText"/>
      </w:pPr>
      <w:hyperlink r:id="rId29">
        <w:r>
          <w:rPr>
            <w:rStyle w:val="Hyperlink"/>
          </w:rPr>
          <w:t xml:space="preserve">https://en.wikipedia.org/wiki/Occupational_burnout?utm_source=chatgpt.com</w:t>
        </w:r>
      </w:hyperlink>
    </w:p>
    <w:p>
      <w:pPr>
        <w:pStyle w:val="BodyText"/>
      </w:pPr>
      <w:hyperlink r:id="rId31">
        <w:r>
          <w:rPr>
            <w:rStyle w:val="Hyperlink"/>
          </w:rPr>
          <w:t xml:space="preserve">[19]</w:t>
        </w:r>
      </w:hyperlink>
      <w:r>
        <w:t xml:space="preserve"> </w:t>
      </w:r>
      <w:hyperlink r:id="rId31">
        <w:r>
          <w:rPr>
            <w:rStyle w:val="Hyperlink"/>
          </w:rPr>
          <w:t xml:space="preserve">[29]</w:t>
        </w:r>
      </w:hyperlink>
      <w:r>
        <w:t xml:space="preserve"> </w:t>
      </w:r>
      <w:hyperlink r:id="rId31">
        <w:r>
          <w:rPr>
            <w:rStyle w:val="Hyperlink"/>
          </w:rPr>
          <w:t xml:space="preserve">[36]</w:t>
        </w:r>
      </w:hyperlink>
      <w:r>
        <w:t xml:space="preserve"> </w:t>
      </w:r>
      <w:hyperlink r:id="rId31">
        <w:r>
          <w:rPr>
            <w:rStyle w:val="Hyperlink"/>
          </w:rPr>
          <w:t xml:space="preserve">[39]</w:t>
        </w:r>
      </w:hyperlink>
      <w:r>
        <w:t xml:space="preserve"> </w:t>
      </w:r>
      <w:r>
        <w:t xml:space="preserve">Tech Companies Have a Trust Gap to Overcome-Especially With Women</w:t>
      </w:r>
    </w:p>
    <w:p>
      <w:pPr>
        <w:pStyle w:val="BodyText"/>
      </w:pPr>
      <w:hyperlink r:id="rId31">
        <w:r>
          <w:rPr>
            <w:rStyle w:val="Hyperlink"/>
          </w:rPr>
          <w:t xml:space="preserve">https://deloitte.wsj.com/cmo/tech-companies-have-a-trust-gap-to-overcomeespecially-with-women-feba78e6?utm_source=chatgpt.com</w:t>
        </w:r>
      </w:hyperlink>
    </w:p>
    <w:p>
      <w:pPr>
        <w:pStyle w:val="BodyText"/>
      </w:pPr>
      <w:hyperlink r:id="rId32">
        <w:r>
          <w:rPr>
            <w:rStyle w:val="Hyperlink"/>
          </w:rPr>
          <w:t xml:space="preserve">[20]</w:t>
        </w:r>
      </w:hyperlink>
      <w:r>
        <w:t xml:space="preserve"> </w:t>
      </w:r>
      <w:r>
        <w:t xml:space="preserve">Effects of meditation</w:t>
      </w:r>
    </w:p>
    <w:p>
      <w:pPr>
        <w:pStyle w:val="BodyText"/>
      </w:pPr>
      <w:hyperlink r:id="rId32">
        <w:r>
          <w:rPr>
            <w:rStyle w:val="Hyperlink"/>
          </w:rPr>
          <w:t xml:space="preserve">https://en.wikipedia.org/wiki/Effects_of_meditation?utm_source=chatgpt.com</w:t>
        </w:r>
      </w:hyperlink>
    </w:p>
    <w:p>
      <w:pPr>
        <w:pStyle w:val="BodyText"/>
      </w:pPr>
      <w:hyperlink r:id="rId33">
        <w:r>
          <w:rPr>
            <w:rStyle w:val="Hyperlink"/>
          </w:rPr>
          <w:t xml:space="preserve">[21]</w:t>
        </w:r>
      </w:hyperlink>
      <w:r>
        <w:t xml:space="preserve"> </w:t>
      </w:r>
      <w:r>
        <w:t xml:space="preserve">Towards Enhancing Health Coaching Dialogue in Low-Resource Settings</w:t>
      </w:r>
    </w:p>
    <w:p>
      <w:pPr>
        <w:pStyle w:val="BodyText"/>
      </w:pPr>
      <w:hyperlink r:id="rId33">
        <w:r>
          <w:rPr>
            <w:rStyle w:val="Hyperlink"/>
          </w:rPr>
          <w:t xml:space="preserve">https://arxiv.org/abs/2404.08888?utm_source=chatgpt.com</w:t>
        </w:r>
      </w:hyperlink>
    </w:p>
    <w:p>
      <w:pPr>
        <w:pStyle w:val="BodyText"/>
      </w:pPr>
      <w:hyperlink r:id="rId34">
        <w:r>
          <w:rPr>
            <w:rStyle w:val="Hyperlink"/>
          </w:rPr>
          <w:t xml:space="preserve">[22]</w:t>
        </w:r>
      </w:hyperlink>
      <w:r>
        <w:t xml:space="preserve"> </w:t>
      </w:r>
      <w:hyperlink r:id="rId34">
        <w:r>
          <w:rPr>
            <w:rStyle w:val="Hyperlink"/>
          </w:rPr>
          <w:t xml:space="preserve">[23]</w:t>
        </w:r>
      </w:hyperlink>
      <w:r>
        <w:t xml:space="preserve"> </w:t>
      </w:r>
      <w:r>
        <w:t xml:space="preserve">Function | 100 Healthy Years</w:t>
      </w:r>
    </w:p>
    <w:p>
      <w:pPr>
        <w:pStyle w:val="BodyText"/>
      </w:pPr>
      <w:hyperlink r:id="rId34">
        <w:r>
          <w:rPr>
            <w:rStyle w:val="Hyperlink"/>
          </w:rPr>
          <w:t xml:space="preserve">https://www.functionhealth.com/</w:t>
        </w:r>
      </w:hyperlink>
    </w:p>
    <w:p>
      <w:pPr>
        <w:pStyle w:val="BodyText"/>
      </w:pPr>
      <w:hyperlink r:id="rId35">
        <w:r>
          <w:rPr>
            <w:rStyle w:val="Hyperlink"/>
          </w:rPr>
          <w:t xml:space="preserve">[24]</w:t>
        </w:r>
      </w:hyperlink>
      <w:r>
        <w:t xml:space="preserve"> </w:t>
      </w:r>
      <w:r>
        <w:t xml:space="preserve">ZOE — Feel healthier. In weeks.</w:t>
      </w:r>
    </w:p>
    <w:p>
      <w:pPr>
        <w:pStyle w:val="BodyText"/>
      </w:pPr>
      <w:hyperlink r:id="rId35">
        <w:r>
          <w:rPr>
            <w:rStyle w:val="Hyperlink"/>
          </w:rPr>
          <w:t xml:space="preserve">https://www.zoe.com/</w:t>
        </w:r>
      </w:hyperlink>
    </w:p>
    <w:p>
      <w:pPr>
        <w:pStyle w:val="BodyText"/>
      </w:pPr>
      <w:hyperlink r:id="rId37">
        <w:r>
          <w:rPr>
            <w:rStyle w:val="Hyperlink"/>
          </w:rPr>
          <w:t xml:space="preserve">[27]</w:t>
        </w:r>
      </w:hyperlink>
      <w:r>
        <w:t xml:space="preserve"> </w:t>
      </w:r>
      <w:hyperlink r:id="rId37">
        <w:r>
          <w:rPr>
            <w:rStyle w:val="Hyperlink"/>
          </w:rPr>
          <w:t xml:space="preserve">[41]</w:t>
        </w:r>
      </w:hyperlink>
      <w:r>
        <w:t xml:space="preserve"> </w:t>
      </w:r>
      <w:hyperlink r:id="rId37">
        <w:r>
          <w:rPr>
            <w:rStyle w:val="Hyperlink"/>
          </w:rPr>
          <w:t xml:space="preserve">[42]</w:t>
        </w:r>
      </w:hyperlink>
      <w:r>
        <w:t xml:space="preserve"> </w:t>
      </w:r>
      <w:r>
        <w:t xml:space="preserve">Health at a Glance: Europe 2024 | OECD</w:t>
      </w:r>
    </w:p>
    <w:p>
      <w:pPr>
        <w:pStyle w:val="BodyText"/>
      </w:pPr>
      <w:hyperlink r:id="rId37">
        <w:r>
          <w:rPr>
            <w:rStyle w:val="Hyperlink"/>
          </w:rPr>
          <w:t xml:space="preserve">https://www.oecd.org/en/publications/health-at-a-glance-europe-2024_b3704e14-en.html</w:t>
        </w:r>
      </w:hyperlink>
    </w:p>
    <w:p>
      <w:pPr>
        <w:pStyle w:val="BodyText"/>
      </w:pPr>
      <w:hyperlink r:id="rId38">
        <w:r>
          <w:rPr>
            <w:rStyle w:val="Hyperlink"/>
          </w:rPr>
          <w:t xml:space="preserve">[28]</w:t>
        </w:r>
      </w:hyperlink>
      <w:r>
        <w:t xml:space="preserve"> </w:t>
      </w:r>
      <w:hyperlink r:id="rId38">
        <w:r>
          <w:rPr>
            <w:rStyle w:val="Hyperlink"/>
          </w:rPr>
          <w:t xml:space="preserve">[33]</w:t>
        </w:r>
      </w:hyperlink>
      <w:r>
        <w:t xml:space="preserve"> </w:t>
      </w:r>
      <w:r>
        <w:t xml:space="preserve">The fashion exec's guide to wearables</w:t>
      </w:r>
    </w:p>
    <w:p>
      <w:pPr>
        <w:pStyle w:val="BodyText"/>
      </w:pPr>
      <w:hyperlink r:id="rId38">
        <w:r>
          <w:rPr>
            <w:rStyle w:val="Hyperlink"/>
          </w:rPr>
          <w:t xml:space="preserve">https://www.vogue.com/article/the-fashion-execs-guide-to-wearables?utm_source=chatgpt.com</w:t>
        </w:r>
      </w:hyperlink>
    </w:p>
    <w:p>
      <w:pPr>
        <w:pStyle w:val="BodyText"/>
      </w:pPr>
      <w:hyperlink r:id="rId42">
        <w:r>
          <w:rPr>
            <w:rStyle w:val="Hyperlink"/>
          </w:rPr>
          <w:t xml:space="preserve">[45]</w:t>
        </w:r>
      </w:hyperlink>
      <w:r>
        <w:t xml:space="preserve"> </w:t>
      </w:r>
      <w:r>
        <w:t xml:space="preserve">Indicators of retention in remote digital health studies: A cross-study evaluation of 100,000 participants</w:t>
      </w:r>
    </w:p>
    <w:p>
      <w:pPr>
        <w:pStyle w:val="BodyText"/>
      </w:pPr>
      <w:hyperlink r:id="rId42">
        <w:r>
          <w:rPr>
            <w:rStyle w:val="Hyperlink"/>
          </w:rPr>
          <w:t xml:space="preserve">https://arxiv.org/abs/1910.01165?utm_source=chatgpt.com</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arxiv.org/abs/1910.01165?utm_source=chatgpt.com" TargetMode="External" /><Relationship Type="http://schemas.openxmlformats.org/officeDocument/2006/relationships/hyperlink" Id="rId33" Target="https://arxiv.org/abs/2404.08888?utm_source=chatgpt.com" TargetMode="External" /><Relationship Type="http://schemas.openxmlformats.org/officeDocument/2006/relationships/hyperlink" Id="rId25" Target="https://arxiv.org/abs/2406.06464?utm_source=chatgpt.com" TargetMode="External" /><Relationship Type="http://schemas.openxmlformats.org/officeDocument/2006/relationships/hyperlink" Id="rId31" Target="https://deloitte.wsj.com/cmo/tech-companies-have-a-trust-gap-to-overcomeespecially-with-women-feba78e6?utm_source=chatgpt.com" TargetMode="External" /><Relationship Type="http://schemas.openxmlformats.org/officeDocument/2006/relationships/hyperlink" Id="rId32" Target="https://en.wikipedia.org/wiki/Effects_of_meditation?utm_source=chatgpt.com" TargetMode="External" /><Relationship Type="http://schemas.openxmlformats.org/officeDocument/2006/relationships/hyperlink" Id="rId28" Target="https://en.wikipedia.org/wiki/Implementation_intention?utm_source=chatgpt.com" TargetMode="External" /><Relationship Type="http://schemas.openxmlformats.org/officeDocument/2006/relationships/hyperlink" Id="rId29" Target="https://en.wikipedia.org/wiki/Occupational_burnout?utm_source=chatgpt.com" TargetMode="External" /><Relationship Type="http://schemas.openxmlformats.org/officeDocument/2006/relationships/hyperlink" Id="rId22" Target="https://www.apple.com/ios/health/" TargetMode="External" /><Relationship Type="http://schemas.openxmlformats.org/officeDocument/2006/relationships/hyperlink" Id="rId34" Target="https://www.functionhealth.com/" TargetMode="External" /><Relationship Type="http://schemas.openxmlformats.org/officeDocument/2006/relationships/hyperlink" Id="rId37" Target="https://www.oecd.org/en/publications/health-at-a-glance-europe-2024_b3704e14-en.html" TargetMode="External" /><Relationship Type="http://schemas.openxmlformats.org/officeDocument/2006/relationships/hyperlink" Id="rId38" Target="https://www.vogue.com/article/the-fashion-execs-guide-to-wearables?utm_source=chatgpt.com" TargetMode="External" /><Relationship Type="http://schemas.openxmlformats.org/officeDocument/2006/relationships/hyperlink" Id="rId21" Target="https://www.who.int/news-room/fact-sheets/detail/noncommunicable-diseases" TargetMode="External" /><Relationship Type="http://schemas.openxmlformats.org/officeDocument/2006/relationships/hyperlink" Id="rId26" Target="https://www.whoop.com/" TargetMode="External" /><Relationship Type="http://schemas.openxmlformats.org/officeDocument/2006/relationships/hyperlink" Id="rId35" Target="https://www.zoe.com/" TargetMode="External" /></Relationships>
</file>

<file path=word/_rels/footnotes.xml.rels><?xml version="1.0" encoding="UTF-8"?><Relationships xmlns="http://schemas.openxmlformats.org/package/2006/relationships"><Relationship Type="http://schemas.openxmlformats.org/officeDocument/2006/relationships/hyperlink" Id="rId42" Target="https://arxiv.org/abs/1910.01165?utm_source=chatgpt.com" TargetMode="External" /><Relationship Type="http://schemas.openxmlformats.org/officeDocument/2006/relationships/hyperlink" Id="rId33" Target="https://arxiv.org/abs/2404.08888?utm_source=chatgpt.com" TargetMode="External" /><Relationship Type="http://schemas.openxmlformats.org/officeDocument/2006/relationships/hyperlink" Id="rId25" Target="https://arxiv.org/abs/2406.06464?utm_source=chatgpt.com" TargetMode="External" /><Relationship Type="http://schemas.openxmlformats.org/officeDocument/2006/relationships/hyperlink" Id="rId31" Target="https://deloitte.wsj.com/cmo/tech-companies-have-a-trust-gap-to-overcomeespecially-with-women-feba78e6?utm_source=chatgpt.com" TargetMode="External" /><Relationship Type="http://schemas.openxmlformats.org/officeDocument/2006/relationships/hyperlink" Id="rId32" Target="https://en.wikipedia.org/wiki/Effects_of_meditation?utm_source=chatgpt.com" TargetMode="External" /><Relationship Type="http://schemas.openxmlformats.org/officeDocument/2006/relationships/hyperlink" Id="rId28" Target="https://en.wikipedia.org/wiki/Implementation_intention?utm_source=chatgpt.com" TargetMode="External" /><Relationship Type="http://schemas.openxmlformats.org/officeDocument/2006/relationships/hyperlink" Id="rId29" Target="https://en.wikipedia.org/wiki/Occupational_burnout?utm_source=chatgpt.com" TargetMode="External" /><Relationship Type="http://schemas.openxmlformats.org/officeDocument/2006/relationships/hyperlink" Id="rId22" Target="https://www.apple.com/ios/health/" TargetMode="External" /><Relationship Type="http://schemas.openxmlformats.org/officeDocument/2006/relationships/hyperlink" Id="rId34" Target="https://www.functionhealth.com/" TargetMode="External" /><Relationship Type="http://schemas.openxmlformats.org/officeDocument/2006/relationships/hyperlink" Id="rId37" Target="https://www.oecd.org/en/publications/health-at-a-glance-europe-2024_b3704e14-en.html" TargetMode="External" /><Relationship Type="http://schemas.openxmlformats.org/officeDocument/2006/relationships/hyperlink" Id="rId38" Target="https://www.vogue.com/article/the-fashion-execs-guide-to-wearables?utm_source=chatgpt.com" TargetMode="External" /><Relationship Type="http://schemas.openxmlformats.org/officeDocument/2006/relationships/hyperlink" Id="rId21" Target="https://www.who.int/news-room/fact-sheets/detail/noncommunicable-diseases" TargetMode="External" /><Relationship Type="http://schemas.openxmlformats.org/officeDocument/2006/relationships/hyperlink" Id="rId26" Target="https://www.whoop.com/" TargetMode="External" /><Relationship Type="http://schemas.openxmlformats.org/officeDocument/2006/relationships/hyperlink" Id="rId35" Target="https://www.zo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2026-06-20T08:55:24Z</dcterms:created>
  <dcterms:modified xsi:type="dcterms:W3CDTF">2026-06-20T08:55:24Z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