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95" w:name="what-drives-lasting-human-change"/>
    <w:p>
      <w:pPr>
        <w:pStyle w:val="Heading1"/>
      </w:pPr>
      <w:r>
        <w:t xml:space="preserve">What Drives Lasting Human Change</w:t>
      </w:r>
    </w:p>
    <w:bookmarkStart w:id="29" w:name="executive-summary"/>
    <w:p>
      <w:pPr>
        <w:pStyle w:val="Heading2"/>
      </w:pPr>
      <w:r>
        <w:t xml:space="preserve">Executive Summary</w:t>
      </w:r>
    </w:p>
    <w:p>
      <w:pPr>
        <w:pStyle w:val="FirstParagraph"/>
      </w:pPr>
      <w:r>
        <w:t xml:space="preserve">The strongest conclusion from the modern evidence base is that lasting change is rarely explained by</w:t>
      </w:r>
      <w:r>
        <w:t xml:space="preserve"> </w:t>
      </w:r>
      <w:r>
        <w:rPr>
          <w:b/>
          <w:bCs/>
        </w:rPr>
        <w:t xml:space="preserve">motivation alone</w:t>
      </w:r>
      <w:r>
        <w:t xml:space="preserve">. People change when several conditions align at the same time: the change becomes</w:t>
      </w:r>
      <w:r>
        <w:t xml:space="preserve"> </w:t>
      </w:r>
      <w:r>
        <w:rPr>
          <w:b/>
          <w:bCs/>
        </w:rPr>
        <w:t xml:space="preserve">salient enough to matter now</w:t>
      </w:r>
      <w:r>
        <w:t xml:space="preserve">, the person believes they</w:t>
      </w:r>
      <w:r>
        <w:t xml:space="preserve"> </w:t>
      </w:r>
      <w:r>
        <w:rPr>
          <w:b/>
          <w:bCs/>
        </w:rPr>
        <w:t xml:space="preserve">can</w:t>
      </w:r>
      <w:r>
        <w:t xml:space="preserve"> </w:t>
      </w:r>
      <w:r>
        <w:t xml:space="preserve">do it, the environment makes the behaviour</w:t>
      </w:r>
      <w:r>
        <w:t xml:space="preserve"> </w:t>
      </w:r>
      <w:r>
        <w:rPr>
          <w:b/>
          <w:bCs/>
        </w:rPr>
        <w:t xml:space="preserve">feasible</w:t>
      </w:r>
      <w:r>
        <w:t xml:space="preserve">, the behaviour starts to fit a valued or emerging</w:t>
      </w:r>
      <w:r>
        <w:t xml:space="preserve"> </w:t>
      </w:r>
      <w:r>
        <w:rPr>
          <w:b/>
          <w:bCs/>
        </w:rPr>
        <w:t xml:space="preserve">identity</w:t>
      </w:r>
      <w:r>
        <w:t xml:space="preserve">, and repetition in a stable context turns effortful action into something more</w:t>
      </w:r>
      <w:r>
        <w:t xml:space="preserve"> </w:t>
      </w:r>
      <w:r>
        <w:rPr>
          <w:b/>
          <w:bCs/>
        </w:rPr>
        <w:t xml:space="preserve">automatic</w:t>
      </w:r>
      <w:r>
        <w:t xml:space="preserve">. Across psychology, behavioural medicine, neuroscience, coaching, and public health, durable change is best understood as a multilevel process involving</w:t>
      </w:r>
      <w:r>
        <w:t xml:space="preserve"> </w:t>
      </w:r>
      <w:r>
        <w:rPr>
          <w:b/>
          <w:bCs/>
        </w:rPr>
        <w:t xml:space="preserve">motivation, self-regulation, habit formation, social support, and environmental design</w:t>
      </w:r>
      <w:r>
        <w:t xml:space="preserve">, all operating under biological constraints such as stress load, sleep, and executive function.</w:t>
      </w:r>
      <w:r>
        <w:t xml:space="preserve"> </w:t>
      </w:r>
      <w:hyperlink r:id="rId21">
        <w:r>
          <w:rPr>
            <w:rStyle w:val="Hyperlink"/>
          </w:rPr>
          <w:t xml:space="preserve">[1]</w:t>
        </w:r>
      </w:hyperlink>
    </w:p>
    <w:p>
      <w:pPr>
        <w:pStyle w:val="BodyText"/>
      </w:pPr>
      <w:r>
        <w:t xml:space="preserve">A recurrent mistake in both self-help and professional practice is to treat resistance to change as mainly a problem of weak willpower. The evidence suggests something more precise. People often do not change because they lack one or more of three things:</w:t>
      </w:r>
      <w:r>
        <w:t xml:space="preserve"> </w:t>
      </w:r>
      <w:r>
        <w:rPr>
          <w:b/>
          <w:bCs/>
        </w:rPr>
        <w:t xml:space="preserve">motivation</w:t>
      </w:r>
      <w:r>
        <w:t xml:space="preserve"> </w:t>
      </w:r>
      <w:r>
        <w:t xml:space="preserve">to value the change,</w:t>
      </w:r>
      <w:r>
        <w:t xml:space="preserve"> </w:t>
      </w:r>
      <w:r>
        <w:rPr>
          <w:b/>
          <w:bCs/>
        </w:rPr>
        <w:t xml:space="preserve">capacity</w:t>
      </w:r>
      <w:r>
        <w:t xml:space="preserve"> </w:t>
      </w:r>
      <w:r>
        <w:t xml:space="preserve">to execute it, or</w:t>
      </w:r>
      <w:r>
        <w:t xml:space="preserve"> </w:t>
      </w:r>
      <w:r>
        <w:rPr>
          <w:b/>
          <w:bCs/>
        </w:rPr>
        <w:t xml:space="preserve">opportunity</w:t>
      </w:r>
      <w:r>
        <w:t xml:space="preserve"> </w:t>
      </w:r>
      <w:r>
        <w:t xml:space="preserve">to perform it in the real world. The COM-B model’s language is useful here even though COM-B itself is more a design framework than a predictive theory: behaviour requires Capability, Opportunity, and Motivation. That framing fits a large body of evidence showing that stress, cognitive overload, poor sleep, executive dysfunction, trauma, social norms, and environmental friction can block change despite sincere intentions.</w:t>
      </w:r>
      <w:r>
        <w:t xml:space="preserve"> </w:t>
      </w:r>
      <w:hyperlink r:id="rId22">
        <w:r>
          <w:rPr>
            <w:rStyle w:val="Hyperlink"/>
          </w:rPr>
          <w:t xml:space="preserve">[2]</w:t>
        </w:r>
      </w:hyperlink>
    </w:p>
    <w:p>
      <w:pPr>
        <w:pStyle w:val="BodyText"/>
      </w:pPr>
      <w:r>
        <w:t xml:space="preserve">There are several pathways into change, and they are not equivalent.</w:t>
      </w:r>
      <w:r>
        <w:t xml:space="preserve"> </w:t>
      </w:r>
      <w:r>
        <w:rPr>
          <w:b/>
          <w:bCs/>
        </w:rPr>
        <w:t xml:space="preserve">Gradual change</w:t>
      </w:r>
      <w:r>
        <w:t xml:space="preserve"> </w:t>
      </w:r>
      <w:r>
        <w:t xml:space="preserve">is most likely when a person is already somewhat ready, the target behaviour is concrete, and repeatable routines can be built.</w:t>
      </w:r>
      <w:r>
        <w:t xml:space="preserve"> </w:t>
      </w:r>
      <w:r>
        <w:rPr>
          <w:b/>
          <w:bCs/>
        </w:rPr>
        <w:t xml:space="preserve">Transformational change</w:t>
      </w:r>
      <w:r>
        <w:t xml:space="preserve"> </w:t>
      </w:r>
      <w:r>
        <w:t xml:space="preserve">is more likely when a major life event, illness, burnout, role transition, or powerful emotional experience disrupts existing habits and identity.</w:t>
      </w:r>
      <w:r>
        <w:t xml:space="preserve"> </w:t>
      </w:r>
      <w:r>
        <w:rPr>
          <w:b/>
          <w:bCs/>
        </w:rPr>
        <w:t xml:space="preserve">Crisis-induced change</w:t>
      </w:r>
      <w:r>
        <w:t xml:space="preserve"> </w:t>
      </w:r>
      <w:r>
        <w:t xml:space="preserve">can create a short-lived “window of plasticity”, but maintenance depends on whether that window is converted into new routines, new meanings, and new structures.</w:t>
      </w:r>
      <w:r>
        <w:t xml:space="preserve"> </w:t>
      </w:r>
      <w:r>
        <w:rPr>
          <w:b/>
          <w:bCs/>
        </w:rPr>
        <w:t xml:space="preserve">Values-driven and identity-driven change</w:t>
      </w:r>
      <w:r>
        <w:t xml:space="preserve"> </w:t>
      </w:r>
      <w:r>
        <w:t xml:space="preserve">are especially important for long-term maintenance because they answer the question, “Why does this matter to the kind of person I want to be?”</w:t>
      </w:r>
      <w:r>
        <w:t xml:space="preserve"> </w:t>
      </w:r>
      <w:r>
        <w:rPr>
          <w:b/>
          <w:bCs/>
        </w:rPr>
        <w:t xml:space="preserve">Externally motivated change</w:t>
      </w:r>
      <w:r>
        <w:t xml:space="preserve"> </w:t>
      </w:r>
      <w:r>
        <w:t xml:space="preserve">can work in the short term, particularly for compliance or one-off actions, but is less reliable for maintenance than autonomous motivation and integrated identity.</w:t>
      </w:r>
      <w:r>
        <w:t xml:space="preserve"> </w:t>
      </w:r>
      <w:hyperlink r:id="rId23">
        <w:r>
          <w:rPr>
            <w:rStyle w:val="Hyperlink"/>
          </w:rPr>
          <w:t xml:space="preserve">[3]</w:t>
        </w:r>
      </w:hyperlink>
    </w:p>
    <w:p>
      <w:pPr>
        <w:pStyle w:val="BodyText"/>
      </w:pPr>
      <w:r>
        <w:t xml:space="preserve">Among the traditional theories, several stand out, but for different reasons.</w:t>
      </w:r>
      <w:r>
        <w:t xml:space="preserve"> </w:t>
      </w:r>
      <w:r>
        <w:rPr>
          <w:b/>
          <w:bCs/>
        </w:rPr>
        <w:t xml:space="preserve">Self-Determination Theory</w:t>
      </w:r>
      <w:r>
        <w:t xml:space="preserve"> </w:t>
      </w:r>
      <w:r>
        <w:t xml:space="preserve">has some of the strongest evidence for explaining why autonomous motivation, competence, and relatedness support healthier and more persistent behaviour, although effects are typically modest rather than dramatic.</w:t>
      </w:r>
      <w:r>
        <w:t xml:space="preserve"> </w:t>
      </w:r>
      <w:r>
        <w:rPr>
          <w:b/>
          <w:bCs/>
        </w:rPr>
        <w:t xml:space="preserve">Theory of Planned Behaviour</w:t>
      </w:r>
      <w:r>
        <w:t xml:space="preserve"> </w:t>
      </w:r>
      <w:r>
        <w:t xml:space="preserve">and the broader Reasoned Action Approach predict intentions reasonably well, but they leave a persistent intention–behaviour gap.</w:t>
      </w:r>
      <w:r>
        <w:t xml:space="preserve"> </w:t>
      </w:r>
      <w:r>
        <w:rPr>
          <w:b/>
          <w:bCs/>
        </w:rPr>
        <w:t xml:space="preserve">Health Belief Model</w:t>
      </w:r>
      <w:r>
        <w:t xml:space="preserve"> </w:t>
      </w:r>
      <w:r>
        <w:t xml:space="preserve">remains useful for screening, vaccination, prevention, and other risk-perception tasks, but it is limited by its rational-cognitive bias.</w:t>
      </w:r>
      <w:r>
        <w:t xml:space="preserve"> </w:t>
      </w:r>
      <w:r>
        <w:rPr>
          <w:b/>
          <w:bCs/>
        </w:rPr>
        <w:t xml:space="preserve">Social Cognitive Theory</w:t>
      </w:r>
      <w:r>
        <w:t xml:space="preserve"> </w:t>
      </w:r>
      <w:r>
        <w:t xml:space="preserve">remains influential because self-efficacy is consistently important, even if the theory as a whole can be difficult to test cleanly.</w:t>
      </w:r>
      <w:r>
        <w:t xml:space="preserve"> </w:t>
      </w:r>
      <w:r>
        <w:rPr>
          <w:b/>
          <w:bCs/>
        </w:rPr>
        <w:t xml:space="preserve">Habit theory</w:t>
      </w:r>
      <w:r>
        <w:t xml:space="preserve"> </w:t>
      </w:r>
      <w:r>
        <w:t xml:space="preserve">and</w:t>
      </w:r>
      <w:r>
        <w:t xml:space="preserve"> </w:t>
      </w:r>
      <w:r>
        <w:rPr>
          <w:b/>
          <w:bCs/>
        </w:rPr>
        <w:t xml:space="preserve">implementation intentions</w:t>
      </w:r>
      <w:r>
        <w:t xml:space="preserve"> </w:t>
      </w:r>
      <w:r>
        <w:t xml:space="preserve">are among the most practically useful for turning intentions into repeated action.</w:t>
      </w:r>
      <w:r>
        <w:t xml:space="preserve"> </w:t>
      </w:r>
      <w:r>
        <w:rPr>
          <w:b/>
          <w:bCs/>
        </w:rPr>
        <w:t xml:space="preserve">ACT</w:t>
      </w:r>
      <w:r>
        <w:t xml:space="preserve"> </w:t>
      </w:r>
      <w:r>
        <w:t xml:space="preserve">and the wider</w:t>
      </w:r>
      <w:r>
        <w:t xml:space="preserve"> </w:t>
      </w:r>
      <w:r>
        <w:rPr>
          <w:b/>
          <w:bCs/>
        </w:rPr>
        <w:t xml:space="preserve">psychological flexibility</w:t>
      </w:r>
      <w:r>
        <w:t xml:space="preserve"> </w:t>
      </w:r>
      <w:r>
        <w:t xml:space="preserve">literature are increasingly important when emotional avoidance, identity threat, perfectionism, or chronic stress keep people stuck.</w:t>
      </w:r>
      <w:r>
        <w:t xml:space="preserve"> </w:t>
      </w:r>
      <w:r>
        <w:rPr>
          <w:b/>
          <w:bCs/>
        </w:rPr>
        <w:t xml:space="preserve">Motivational Interviewing</w:t>
      </w:r>
      <w:r>
        <w:t xml:space="preserve"> </w:t>
      </w:r>
      <w:r>
        <w:t xml:space="preserve">is well supported for ambivalence-heavy targets such as alcohol and some substance-related behaviours, but overall evidence is mixed and often low quality outside its best-use contexts.</w:t>
      </w:r>
      <w:r>
        <w:t xml:space="preserve"> </w:t>
      </w:r>
      <w:r>
        <w:rPr>
          <w:b/>
          <w:bCs/>
        </w:rPr>
        <w:t xml:space="preserve">CBT</w:t>
      </w:r>
      <w:r>
        <w:t xml:space="preserve"> </w:t>
      </w:r>
      <w:r>
        <w:t xml:space="preserve">has the strongest clinically established support where maladaptive thoughts, mood symptoms, and behavioural avoidance drive the problem; CBT-I for insomnia is one of the clearest successes in lifestyle medicine.</w:t>
      </w:r>
      <w:r>
        <w:t xml:space="preserve"> </w:t>
      </w:r>
      <w:hyperlink r:id="rId24">
        <w:r>
          <w:rPr>
            <w:rStyle w:val="Hyperlink"/>
          </w:rPr>
          <w:t xml:space="preserve">[4]</w:t>
        </w:r>
      </w:hyperlink>
    </w:p>
    <w:p>
      <w:pPr>
        <w:pStyle w:val="BodyText"/>
      </w:pPr>
      <w:r>
        <w:t xml:space="preserve">The evidence does</w:t>
      </w:r>
      <w:r>
        <w:t xml:space="preserve"> </w:t>
      </w:r>
      <w:r>
        <w:rPr>
          <w:b/>
          <w:bCs/>
        </w:rPr>
        <w:t xml:space="preserve">not</w:t>
      </w:r>
      <w:r>
        <w:t xml:space="preserve"> </w:t>
      </w:r>
      <w:r>
        <w:t xml:space="preserve">support a simple slogan such as “identity beats motivation” or “habits beat identity.” Identity and habit solve different problems.</w:t>
      </w:r>
      <w:r>
        <w:t xml:space="preserve"> </w:t>
      </w:r>
      <w:r>
        <w:rPr>
          <w:b/>
          <w:bCs/>
        </w:rPr>
        <w:t xml:space="preserve">Identity</w:t>
      </w:r>
      <w:r>
        <w:t xml:space="preserve"> </w:t>
      </w:r>
      <w:r>
        <w:t xml:space="preserve">stabilises commitment, attention, standards, and meaning. It helps the person choose, interpret setbacks, and keep returning to the behaviour.</w:t>
      </w:r>
      <w:r>
        <w:t xml:space="preserve"> </w:t>
      </w:r>
      <w:r>
        <w:rPr>
          <w:b/>
          <w:bCs/>
        </w:rPr>
        <w:t xml:space="preserve">Habit</w:t>
      </w:r>
      <w:r>
        <w:t xml:space="preserve"> </w:t>
      </w:r>
      <w:r>
        <w:t xml:space="preserve">reduces the need for repeated deliberation by making the behaviour easier and more automatic in context. The emerging literature suggests they are positively related but clearly separable; strong habits are not always identity-relevant, and identity can carry behaviour when habits are disrupted. The best supported position is that sustainable change usually requires</w:t>
      </w:r>
      <w:r>
        <w:t xml:space="preserve"> </w:t>
      </w:r>
      <w:r>
        <w:rPr>
          <w:b/>
          <w:bCs/>
        </w:rPr>
        <w:t xml:space="preserve">both</w:t>
      </w:r>
      <w:r>
        <w:t xml:space="preserve"> </w:t>
      </w:r>
      <w:r>
        <w:t xml:space="preserve">identity integration</w:t>
      </w:r>
      <w:r>
        <w:t xml:space="preserve"> </w:t>
      </w:r>
      <w:r>
        <w:rPr>
          <w:b/>
          <w:bCs/>
        </w:rPr>
        <w:t xml:space="preserve">and</w:t>
      </w:r>
      <w:r>
        <w:t xml:space="preserve"> </w:t>
      </w:r>
      <w:r>
        <w:t xml:space="preserve">habit formation, with self-efficacy and autonomy linking the two.</w:t>
      </w:r>
      <w:r>
        <w:t xml:space="preserve"> </w:t>
      </w:r>
      <w:hyperlink r:id="rId25">
        <w:r>
          <w:rPr>
            <w:rStyle w:val="Hyperlink"/>
          </w:rPr>
          <w:t xml:space="preserve">[5]</w:t>
        </w:r>
      </w:hyperlink>
    </w:p>
    <w:p>
      <w:pPr>
        <w:pStyle w:val="BodyText"/>
      </w:pPr>
      <w:r>
        <w:t xml:space="preserve">Neuroscience adds useful constraints, but popular accounts often overreach. Well-established findings include: repeated behaviour changes neural pathways through</w:t>
      </w:r>
      <w:r>
        <w:t xml:space="preserve"> </w:t>
      </w:r>
      <w:r>
        <w:rPr>
          <w:b/>
          <w:bCs/>
        </w:rPr>
        <w:t xml:space="preserve">experience-dependent plasticity</w:t>
      </w:r>
      <w:r>
        <w:t xml:space="preserve">; dopamine plays a central role in</w:t>
      </w:r>
      <w:r>
        <w:t xml:space="preserve"> </w:t>
      </w:r>
      <w:r>
        <w:rPr>
          <w:b/>
          <w:bCs/>
        </w:rPr>
        <w:t xml:space="preserve">reward prediction error</w:t>
      </w:r>
      <w:r>
        <w:t xml:space="preserve"> </w:t>
      </w:r>
      <w:r>
        <w:t xml:space="preserve">and reinforcement learning, not simply “motivation” in a vague sense; stress impairs</w:t>
      </w:r>
      <w:r>
        <w:t xml:space="preserve"> </w:t>
      </w:r>
      <w:r>
        <w:rPr>
          <w:b/>
          <w:bCs/>
        </w:rPr>
        <w:t xml:space="preserve">prefrontal</w:t>
      </w:r>
      <w:r>
        <w:t xml:space="preserve"> </w:t>
      </w:r>
      <w:r>
        <w:t xml:space="preserve">functions needed for planning, inhibition, and working memory; and habits rely heavily on context-linked cue–response learning in corticostriatal circuits. More speculative or easily exaggerated areas include claims about “rewiring the brain” through brief interventions, broad claims about dopamine as the “molecule of transformation”, or the idea that memory reconsolidation can routinely produce sweeping life change in everyday coaching settings. Reconsolidation is promising, but the review literature still urges theoretical caution.</w:t>
      </w:r>
      <w:r>
        <w:t xml:space="preserve"> </w:t>
      </w:r>
      <w:hyperlink r:id="rId26">
        <w:r>
          <w:rPr>
            <w:rStyle w:val="Hyperlink"/>
          </w:rPr>
          <w:t xml:space="preserve">[6]</w:t>
        </w:r>
      </w:hyperlink>
    </w:p>
    <w:p>
      <w:pPr>
        <w:pStyle w:val="BodyText"/>
      </w:pPr>
      <w:r>
        <w:t xml:space="preserve">In lifestyle medicine, the interventions that most consistently work are</w:t>
      </w:r>
      <w:r>
        <w:t xml:space="preserve"> </w:t>
      </w:r>
      <w:r>
        <w:rPr>
          <w:b/>
          <w:bCs/>
        </w:rPr>
        <w:t xml:space="preserve">structured, multicomponent, and longitudinal</w:t>
      </w:r>
      <w:r>
        <w:t xml:space="preserve">: CBT-I for sleep; multicomponent diet-plus-activity-plus-behavioural programmes for weight management; combined behavioural support plus medication for smoking cessation; brief alcohol interventions in primary care for hazardous drinkers; and intensive lifestyle intervention for diabetes prevention. Digital tools can help, especially when they deliver self-monitoring, prompts, feedback, and frequent contact, but purely digital programmes generally work best as part of a broader system rather than as stand-alone motivation. For burnout, individual practices such as mindfulness can help symptoms, but the evidence strongly indicates that organisational conditions—workload, control, role clarity, and culture—must also change.</w:t>
      </w:r>
      <w:r>
        <w:t xml:space="preserve"> </w:t>
      </w:r>
      <w:hyperlink r:id="rId27">
        <w:r>
          <w:rPr>
            <w:rStyle w:val="Hyperlink"/>
          </w:rPr>
          <w:t xml:space="preserve">[7]</w:t>
        </w:r>
      </w:hyperlink>
    </w:p>
    <w:p>
      <w:pPr>
        <w:pStyle w:val="BodyText"/>
      </w:pPr>
      <w:r>
        <w:t xml:space="preserve">For coaching, the common mechanisms across successful approaches are clearer than the branding differences: build a strong alliance, increase autonomy rather than control, clarify values and discrepancy without shaming, translate goals into concrete plans, reduce environmental friction, strengthen self-monitoring and feedback, create supportive accountability, and normalise relapse as part of learning rather than proof of failure. Evidence for workplace and executive coaching is positive overall, with moderate average effects in RCT meta-analysis, though publication bias and self-report inflation are real concerns. Health and wellness coaching also has growing support, especially for self-efficacy, quality of life, and chronic illness self-management.</w:t>
      </w:r>
      <w:r>
        <w:t xml:space="preserve"> </w:t>
      </w:r>
      <w:hyperlink r:id="rId28">
        <w:r>
          <w:rPr>
            <w:rStyle w:val="Hyperlink"/>
          </w:rPr>
          <w:t xml:space="preserve">[8]</w:t>
        </w:r>
      </w:hyperlink>
    </w:p>
    <w:p>
      <w:pPr>
        <w:pStyle w:val="BodyText"/>
      </w:pPr>
      <w:r>
        <w:t xml:space="preserve">The smallest set of principles capable of explaining most successful change is this:</w:t>
      </w:r>
      <w:r>
        <w:t xml:space="preserve"> </w:t>
      </w:r>
      <w:r>
        <w:rPr>
          <w:b/>
          <w:bCs/>
        </w:rPr>
        <w:t xml:space="preserve">salience, agency, structure, identity, and support</w:t>
      </w:r>
      <w:r>
        <w:t xml:space="preserve">. People change when something matters enough to interrupt autopilot; when they believe action is possible; when plans, cues, and environments lower the cost of doing the behaviour; when the behaviour becomes part of who they are; and when other people or institutions reinforce rather than sabotage the change. That is the most defensible integrated answer to the question, “What actually drives lasting human change?”</w:t>
      </w:r>
      <w:r>
        <w:t xml:space="preserve"> </w:t>
      </w:r>
      <w:hyperlink r:id="rId21">
        <w:r>
          <w:rPr>
            <w:rStyle w:val="Hyperlink"/>
          </w:rPr>
          <w:t xml:space="preserve">[9]</w:t>
        </w:r>
      </w:hyperlink>
    </w:p>
    <w:bookmarkEnd w:id="29"/>
    <w:bookmarkStart w:id="40" w:name="why-people-change-and-why-they-do-not"/>
    <w:p>
      <w:pPr>
        <w:pStyle w:val="Heading2"/>
      </w:pPr>
      <w:r>
        <w:t xml:space="preserve">Why People Change and Why They Do Not</w:t>
      </w:r>
    </w:p>
    <w:bookmarkStart w:id="35" w:name="why-people-change"/>
    <w:p>
      <w:pPr>
        <w:pStyle w:val="Heading3"/>
      </w:pPr>
      <w:r>
        <w:t xml:space="preserve">Why people change</w:t>
      </w:r>
    </w:p>
    <w:p>
      <w:pPr>
        <w:pStyle w:val="FirstParagraph"/>
      </w:pPr>
      <w:r>
        <w:rPr>
          <w:b/>
          <w:bCs/>
        </w:rPr>
        <w:t xml:space="preserve">Gradual change</w:t>
      </w:r>
      <w:r>
        <w:t xml:space="preserve"> </w:t>
      </w:r>
      <w:r>
        <w:t xml:space="preserve">is the most common route in health behaviour. It typically occurs when people already hold a positive intention, can imagine a feasible next step, and can repeat that step in a stable context until automaticity begins to build. The evidence on habit formation is especially relevant here: habit strength reliably increases with repetition in a stable context, but the time course is highly variable across people and behaviours. In recent synthesis work, habits often began forming after roughly two months, but only with wide individual variation, and not because there is a universal “21-day rule”. This is strong evidence against simplistic timelines and in favour of patient, context-specific repetition.</w:t>
      </w:r>
      <w:r>
        <w:t xml:space="preserve"> </w:t>
      </w:r>
      <w:hyperlink r:id="rId30">
        <w:r>
          <w:rPr>
            <w:rStyle w:val="Hyperlink"/>
          </w:rPr>
          <w:t xml:space="preserve">[10]</w:t>
        </w:r>
      </w:hyperlink>
    </w:p>
    <w:p>
      <w:pPr>
        <w:pStyle w:val="BodyText"/>
      </w:pPr>
      <w:r>
        <w:rPr>
          <w:b/>
          <w:bCs/>
        </w:rPr>
        <w:t xml:space="preserve">Transformational change</w:t>
      </w:r>
      <w:r>
        <w:t xml:space="preserve"> </w:t>
      </w:r>
      <w:r>
        <w:t xml:space="preserve">is more likely when existing routines and meanings are destabilised. Major transitions such as illness, bereavement, burnout, role change, relocation, or parenthood can create what looks like a “habit discontinuity” effect: old cues disappear, identity becomes more fluid, and new behaviours become easier to insert. The social identity literature shows that life change is not only stressful; it can also create opportunities for new group memberships and new role-based identities that reshape behaviour. This helps explain why some people dramatically change after a health scare, a new senior leadership role, or a profound relationship, while others revert once the acute moment passes.</w:t>
      </w:r>
      <w:r>
        <w:t xml:space="preserve"> </w:t>
      </w:r>
      <w:hyperlink r:id="rId31">
        <w:r>
          <w:rPr>
            <w:rStyle w:val="Hyperlink"/>
          </w:rPr>
          <w:t xml:space="preserve">[11]</w:t>
        </w:r>
      </w:hyperlink>
    </w:p>
    <w:p>
      <w:pPr>
        <w:pStyle w:val="BodyText"/>
      </w:pPr>
      <w:r>
        <w:rPr>
          <w:b/>
          <w:bCs/>
        </w:rPr>
        <w:t xml:space="preserve">Crisis-induced change</w:t>
      </w:r>
      <w:r>
        <w:t xml:space="preserve"> </w:t>
      </w:r>
      <w:r>
        <w:t xml:space="preserve">is often real but unstable. Fear, illness, or burnout can create a surge of salience and short-term compliance. Yet fear-based change is durable mainly when the person also sees a credible, efficacious route forward. The fear-appeals literature supports this nuance: fear can influence attitudes, intentions, and behaviour, but messages work better when they include efficacy and actionable recommendations. Without efficacy, fear often produces avoidance, denial, or reactance. That pattern mirrors what coaches see after frightening blood tests, cardiac symptoms, or severe exhaustion: some people upgrade their routines, while others shut down or defer action.</w:t>
      </w:r>
      <w:r>
        <w:t xml:space="preserve"> </w:t>
      </w:r>
      <w:hyperlink r:id="rId32">
        <w:r>
          <w:rPr>
            <w:rStyle w:val="Hyperlink"/>
          </w:rPr>
          <w:t xml:space="preserve">[12]</w:t>
        </w:r>
      </w:hyperlink>
    </w:p>
    <w:p>
      <w:pPr>
        <w:pStyle w:val="BodyText"/>
      </w:pPr>
      <w:r>
        <w:rPr>
          <w:b/>
          <w:bCs/>
        </w:rPr>
        <w:t xml:space="preserve">Identity-driven change</w:t>
      </w:r>
      <w:r>
        <w:t xml:space="preserve"> </w:t>
      </w:r>
      <w:r>
        <w:t xml:space="preserve">becomes most likely when the target behaviour is tied to a valued role or self-story: “I am a non-smoker”, “I am the kind of leader who trains”, “I am a father who protects his sleep because I want to be present.” The evidence here is moderate rather than definitive, but it is increasingly persuasive. Social identity is positively associated with health-related behaviour across many studies, and new meta-analytic work suggests habit and identity are substantially related while remaining distinct. Identity seems particularly useful for maintenance because it gives setbacks a different interpretation: not proof of failure, but a temporary mismatch between actions and self.</w:t>
      </w:r>
      <w:r>
        <w:t xml:space="preserve"> </w:t>
      </w:r>
      <w:hyperlink r:id="rId33">
        <w:r>
          <w:rPr>
            <w:rStyle w:val="Hyperlink"/>
          </w:rPr>
          <w:t xml:space="preserve">[13]</w:t>
        </w:r>
      </w:hyperlink>
    </w:p>
    <w:p>
      <w:pPr>
        <w:pStyle w:val="BodyText"/>
      </w:pPr>
      <w:r>
        <w:rPr>
          <w:b/>
          <w:bCs/>
        </w:rPr>
        <w:t xml:space="preserve">Values-driven change</w:t>
      </w:r>
      <w:r>
        <w:t xml:space="preserve"> </w:t>
      </w:r>
      <w:r>
        <w:t xml:space="preserve">tends to work best when health behaviour is otherwise effortful, emotionally charged, or delayed in reward. ACT and psychological flexibility frameworks are especially useful here because they help people act in line with chosen values even when motivation fluctuates or discomfort is present. This matters in exercise during stress, sobriety during craving, or establishing boundaries during overwork. Values do not remove discomfort; they make discomfort bearable and meaningful. The evidence here is moderate and strongest in clinical and chronic-condition contexts rather than general self-help contexts.</w:t>
      </w:r>
      <w:r>
        <w:t xml:space="preserve"> </w:t>
      </w:r>
      <w:hyperlink r:id="rId34">
        <w:r>
          <w:rPr>
            <w:rStyle w:val="Hyperlink"/>
          </w:rPr>
          <w:t xml:space="preserve">[14]</w:t>
        </w:r>
      </w:hyperlink>
    </w:p>
    <w:p>
      <w:pPr>
        <w:pStyle w:val="BodyText"/>
      </w:pPr>
      <w:r>
        <w:rPr>
          <w:b/>
          <w:bCs/>
        </w:rPr>
        <w:t xml:space="preserve">Externally motivated change</w:t>
      </w:r>
      <w:r>
        <w:t xml:space="preserve"> </w:t>
      </w:r>
      <w:r>
        <w:t xml:space="preserve">is most likely when behaviour is monitored, incentivised, or sanctioned. It can be effective for initiation, compliance, deadlines, and one-off actions—especially in workplaces, healthcare systems, or legal/financial contexts—but it is usually less reliable for maintenance than autonomous motivation. SDT-informed meta-analysis shows that interventions can improve health outcomes partly by increasing self-determined motivation, with effects that are meaningful but typically modest. The practical implication is not that external motivators are useless, but that they work best as scaffolding that is later internalised.</w:t>
      </w:r>
      <w:r>
        <w:t xml:space="preserve"> </w:t>
      </w:r>
      <w:hyperlink r:id="rId24">
        <w:r>
          <w:rPr>
            <w:rStyle w:val="Hyperlink"/>
          </w:rPr>
          <w:t xml:space="preserve">[15]</w:t>
        </w:r>
      </w:hyperlink>
    </w:p>
    <w:bookmarkEnd w:id="35"/>
    <w:bookmarkStart w:id="39" w:name="why-people-do-not-change"/>
    <w:p>
      <w:pPr>
        <w:pStyle w:val="Heading3"/>
      </w:pPr>
      <w:r>
        <w:t xml:space="preserve">Why people do not change</w:t>
      </w:r>
    </w:p>
    <w:p>
      <w:pPr>
        <w:pStyle w:val="FirstParagraph"/>
      </w:pPr>
      <w:r>
        <w:t xml:space="preserve">The strongest evidence-based answer is that non-change is often</w:t>
      </w:r>
      <w:r>
        <w:t xml:space="preserve"> </w:t>
      </w:r>
      <w:r>
        <w:rPr>
          <w:b/>
          <w:bCs/>
        </w:rPr>
        <w:t xml:space="preserve">adaptive in the short term</w:t>
      </w:r>
      <w:r>
        <w:t xml:space="preserve">. Humans are biased toward the familiar because familiar behaviours reduce uncertainty, energy demand, and perceived risk. Status quo bias, present bias, and loss aversion help explain why immediate effort, discomfort, or social risk can outweigh distant benefits, even when the person agrees with the goal in principle. Traditional social cognition models also struggle with this because knowing and endorsing a behaviour is not the same as performing it.</w:t>
      </w:r>
      <w:r>
        <w:t xml:space="preserve"> </w:t>
      </w:r>
      <w:hyperlink r:id="rId21">
        <w:r>
          <w:rPr>
            <w:rStyle w:val="Hyperlink"/>
          </w:rPr>
          <w:t xml:space="preserve">[16]</w:t>
        </w:r>
      </w:hyperlink>
    </w:p>
    <w:p>
      <w:pPr>
        <w:pStyle w:val="BodyText"/>
      </w:pPr>
      <w:r>
        <w:t xml:space="preserve">A key distinction is between</w:t>
      </w:r>
      <w:r>
        <w:t xml:space="preserve"> </w:t>
      </w:r>
      <w:r>
        <w:rPr>
          <w:b/>
          <w:bCs/>
        </w:rPr>
        <w:t xml:space="preserve">lack of motivation</w:t>
      </w:r>
      <w:r>
        <w:t xml:space="preserve">,</w:t>
      </w:r>
      <w:r>
        <w:t xml:space="preserve"> </w:t>
      </w:r>
      <w:r>
        <w:rPr>
          <w:b/>
          <w:bCs/>
        </w:rPr>
        <w:t xml:space="preserve">lack of capacity</w:t>
      </w:r>
      <w:r>
        <w:t xml:space="preserve">, and</w:t>
      </w:r>
      <w:r>
        <w:t xml:space="preserve"> </w:t>
      </w:r>
      <w:r>
        <w:rPr>
          <w:b/>
          <w:bCs/>
        </w:rPr>
        <w:t xml:space="preserve">lack of opportunity</w:t>
      </w:r>
      <w:r>
        <w:t xml:space="preserve">. Lack of motivation means the person does not value the change enough, is ambivalent, or finds the current behaviour more rewarding. Lack of capacity means the person wants the change but lacks some combination of skills, planning ability, emotional regulation, energy, sleep, confidence, or executive function. Lack of opportunity means the environment blocks the behaviour: time scarcity, travel, poor food environments, unsupportive relationships, high workload, alcohol-saturated social settings, or workplace norms that reward self-neglect. Many coaching failures reflect misdiagnosis: treating a capacity or opportunity problem as if it were a motivation problem.</w:t>
      </w:r>
      <w:r>
        <w:t xml:space="preserve"> </w:t>
      </w:r>
      <w:hyperlink r:id="rId22">
        <w:r>
          <w:rPr>
            <w:rStyle w:val="Hyperlink"/>
          </w:rPr>
          <w:t xml:space="preserve">[17]</w:t>
        </w:r>
      </w:hyperlink>
    </w:p>
    <w:p>
      <w:pPr>
        <w:pStyle w:val="BodyText"/>
      </w:pPr>
      <w:r>
        <w:rPr>
          <w:b/>
          <w:bCs/>
        </w:rPr>
        <w:t xml:space="preserve">Cognitive overload, decision fatigue, and chronic stress</w:t>
      </w:r>
      <w:r>
        <w:t xml:space="preserve"> </w:t>
      </w:r>
      <w:r>
        <w:t xml:space="preserve">make change harder by degrading the very systems needed for it. Under acute or chronic stress, people rely more on older habits and have less capacity for inhibition, planning, working memory, and emotional regulation. This is one reason why “high performers” can still neglect sleep, overdrink, or skip exercise: success in one domain does not immunise against executive depletion in another. Burnout and insomnia amplify this.</w:t>
      </w:r>
      <w:r>
        <w:t xml:space="preserve"> </w:t>
      </w:r>
      <w:hyperlink r:id="rId36">
        <w:r>
          <w:rPr>
            <w:rStyle w:val="Hyperlink"/>
          </w:rPr>
          <w:t xml:space="preserve">[18]</w:t>
        </w:r>
      </w:hyperlink>
    </w:p>
    <w:p>
      <w:pPr>
        <w:pStyle w:val="BodyText"/>
      </w:pPr>
      <w:r>
        <w:rPr>
          <w:b/>
          <w:bCs/>
        </w:rPr>
        <w:t xml:space="preserve">Habit loops</w:t>
      </w:r>
      <w:r>
        <w:t xml:space="preserve"> </w:t>
      </w:r>
      <w:r>
        <w:t xml:space="preserve">are powerful because they solve real problems quickly. Many unhealthy routines regulate mood, conserve effort, reduce social friction, or create reliable reward under stress. Habit research shows that attitudes and intentions are weaker predictors when habits are already strong, because past behaviour carries forward through automaticity and stable cues. This is why people often say, truthfully, “I know what to do” while continuing the same behaviour. Knowledge is present; the cue-response architecture is stronger.</w:t>
      </w:r>
      <w:r>
        <w:t xml:space="preserve"> </w:t>
      </w:r>
      <w:hyperlink r:id="rId31">
        <w:r>
          <w:rPr>
            <w:rStyle w:val="Hyperlink"/>
          </w:rPr>
          <w:t xml:space="preserve">[19]</w:t>
        </w:r>
      </w:hyperlink>
    </w:p>
    <w:p>
      <w:pPr>
        <w:pStyle w:val="BodyText"/>
      </w:pPr>
      <w:r>
        <w:rPr>
          <w:b/>
          <w:bCs/>
        </w:rPr>
        <w:t xml:space="preserve">Identity protection</w:t>
      </w:r>
      <w:r>
        <w:t xml:space="preserve"> </w:t>
      </w:r>
      <w:r>
        <w:t xml:space="preserve">and</w:t>
      </w:r>
      <w:r>
        <w:t xml:space="preserve"> </w:t>
      </w:r>
      <w:r>
        <w:rPr>
          <w:b/>
          <w:bCs/>
        </w:rPr>
        <w:t xml:space="preserve">emotional avoidance</w:t>
      </w:r>
      <w:r>
        <w:t xml:space="preserve"> </w:t>
      </w:r>
      <w:r>
        <w:t xml:space="preserve">are often underestimated barriers. People may resist change not because the behaviour itself is impossible, but because the change threatens belonging, status, self-story, or coping patterns. Shame tends to trigger withdrawal and defensiveness more than constructive repair, whereas guilt is more associated with reparative action. This is why blunt health messaging, moralising, or “calling people out” often backfires, particularly in high-striving environments where competence is central to identity.</w:t>
      </w:r>
      <w:r>
        <w:t xml:space="preserve"> </w:t>
      </w:r>
      <w:hyperlink r:id="rId37">
        <w:r>
          <w:rPr>
            <w:rStyle w:val="Hyperlink"/>
          </w:rPr>
          <w:t xml:space="preserve">[20]</w:t>
        </w:r>
      </w:hyperlink>
    </w:p>
    <w:p>
      <w:pPr>
        <w:pStyle w:val="BodyText"/>
      </w:pPr>
      <w:r>
        <w:rPr>
          <w:b/>
          <w:bCs/>
        </w:rPr>
        <w:t xml:space="preserve">Trauma, learned helplessness, and executive dysfunction</w:t>
      </w:r>
      <w:r>
        <w:t xml:space="preserve"> </w:t>
      </w:r>
      <w:r>
        <w:t xml:space="preserve">matter because they change what effort feels like. The literature retrieved here supports a cautious but important point: when people have histories of uncontrollability, chronic adversity, or trauma, avoidance is not merely “resistance”; it may be a learned strategy to minimise overwhelm. In that context, autonomy support, pacing, and competence-building are not soft options. They are preconditions for change. Evidence is moderate for trauma-related barriers broadly, stronger for psychological flexibility and self-compassion as ways of reducing distress-related avoidance, and weaker for broad claims that trauma alone explains ordinary health non-adherence.</w:t>
      </w:r>
      <w:r>
        <w:t xml:space="preserve"> </w:t>
      </w:r>
      <w:hyperlink r:id="rId38">
        <w:r>
          <w:rPr>
            <w:rStyle w:val="Hyperlink"/>
          </w:rPr>
          <w:t xml:space="preserve">[21]</w:t>
        </w:r>
      </w:hyperlink>
    </w:p>
    <w:bookmarkEnd w:id="39"/>
    <w:bookmarkEnd w:id="40"/>
    <w:bookmarkStart w:id="57" w:name="which-models-and-approaches-hold-up-best"/>
    <w:p>
      <w:pPr>
        <w:pStyle w:val="Heading2"/>
      </w:pPr>
      <w:r>
        <w:t xml:space="preserve">Which Models and Approaches Hold Up Best</w:t>
      </w:r>
    </w:p>
    <w:p>
      <w:pPr>
        <w:pStyle w:val="FirstParagraph"/>
      </w:pPr>
      <w:r>
        <w:t xml:space="preserve">A central caution is necessary: many “behaviour change models” are not directly tested in the same way a medicine is tested. Some function mainly as</w:t>
      </w:r>
      <w:r>
        <w:t xml:space="preserve"> </w:t>
      </w:r>
      <w:r>
        <w:rPr>
          <w:b/>
          <w:bCs/>
        </w:rPr>
        <w:t xml:space="preserve">predictive theories</w:t>
      </w:r>
      <w:r>
        <w:t xml:space="preserve">, some as</w:t>
      </w:r>
      <w:r>
        <w:t xml:space="preserve"> </w:t>
      </w:r>
      <w:r>
        <w:rPr>
          <w:b/>
          <w:bCs/>
        </w:rPr>
        <w:t xml:space="preserve">design frameworks</w:t>
      </w:r>
      <w:r>
        <w:t xml:space="preserve">, and some as</w:t>
      </w:r>
      <w:r>
        <w:t xml:space="preserve"> </w:t>
      </w:r>
      <w:r>
        <w:rPr>
          <w:b/>
          <w:bCs/>
        </w:rPr>
        <w:t xml:space="preserve">clinical methods</w:t>
      </w:r>
      <w:r>
        <w:t xml:space="preserve">. The most useful question is not “Which single model wins?” but “Which models best explain initiation, and which best explain maintenance?” The answer differs by target behaviour, timescale, and context.</w:t>
      </w:r>
      <w:r>
        <w:t xml:space="preserve"> </w:t>
      </w:r>
      <w:hyperlink r:id="rId21">
        <w:r>
          <w:rPr>
            <w:rStyle w:val="Hyperlink"/>
          </w:rPr>
          <w:t xml:space="preserve">[22]</w:t>
        </w:r>
      </w:hyperlink>
    </w:p>
    <w:bookmarkStart w:id="50" w:name="Xb81c96639d700443ea0320c3ebf4e2960743827"/>
    <w:p>
      <w:pPr>
        <w:pStyle w:val="Heading3"/>
      </w:pPr>
      <w:r>
        <w:t xml:space="preserve">Comparison table of behaviour change models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Framework</w:t>
            </w:r>
          </w:p>
        </w:tc>
        <w:tc>
          <w:tcPr/>
          <w:p>
            <w:pPr>
              <w:pStyle w:val="Compact"/>
            </w:pPr>
            <w:r>
              <w:t xml:space="preserve">Core assumptions</w:t>
            </w:r>
          </w:p>
        </w:tc>
        <w:tc>
          <w:tcPr/>
          <w:p>
            <w:pPr>
              <w:pStyle w:val="Compact"/>
            </w:pPr>
            <w:r>
              <w:t xml:space="preserve">Best evidence</w:t>
            </w:r>
          </w:p>
        </w:tc>
        <w:tc>
          <w:tcPr/>
          <w:p>
            <w:pPr>
              <w:pStyle w:val="Compact"/>
            </w:pPr>
            <w:r>
              <w:t xml:space="preserve">Limitations and criticisms</w:t>
            </w:r>
          </w:p>
        </w:tc>
        <w:tc>
          <w:tcPr/>
          <w:p>
            <w:pPr>
              <w:pStyle w:val="Compact"/>
            </w:pPr>
            <w:r>
              <w:t xml:space="preserve">Best contexts</w:t>
            </w:r>
          </w:p>
        </w:tc>
        <w:tc>
          <w:tcPr/>
          <w:p>
            <w:pPr>
              <w:pStyle w:val="Compact"/>
            </w:pPr>
            <w:r>
              <w:t xml:space="preserve">Evidence strength</w:t>
            </w:r>
          </w:p>
        </w:tc>
      </w:tr>
      <w:tr>
        <w:tc>
          <w:tcPr/>
          <w:p>
            <w:pPr>
              <w:pStyle w:val="Compact"/>
            </w:pPr>
            <w:r>
              <w:rPr>
                <w:b/>
                <w:bCs/>
              </w:rPr>
              <w:t xml:space="preserve">Transtheoretical Model</w:t>
            </w:r>
          </w:p>
        </w:tc>
        <w:tc>
          <w:tcPr/>
          <w:p>
            <w:pPr>
              <w:pStyle w:val="Compact"/>
            </w:pPr>
            <w:r>
              <w:t xml:space="preserve">Change unfolds through stages such as precontemplation, contemplation, action, maintenance.</w:t>
            </w:r>
          </w:p>
        </w:tc>
        <w:tc>
          <w:tcPr/>
          <w:p>
            <w:pPr>
              <w:pStyle w:val="Compact"/>
            </w:pPr>
            <w:r>
              <w:t xml:space="preserve">Useful as a language for readiness; some specific interventions show benefit.</w:t>
            </w:r>
            <w:r>
              <w:t xml:space="preserve"> </w:t>
            </w:r>
            <w:hyperlink r:id="rId41">
              <w:r>
                <w:rPr>
                  <w:rStyle w:val="Hyperlink"/>
                </w:rPr>
                <w:t xml:space="preserve">[23]</w:t>
              </w:r>
            </w:hyperlink>
          </w:p>
        </w:tc>
        <w:tc>
          <w:tcPr/>
          <w:p>
            <w:pPr>
              <w:pStyle w:val="Compact"/>
            </w:pPr>
            <w:r>
              <w:t xml:space="preserve">Stage boundaries can be arbitrary; older reviews found limited evidence that stage-matched interventions outperform alternatives.</w:t>
            </w:r>
            <w:r>
              <w:t xml:space="preserve"> </w:t>
            </w:r>
            <w:hyperlink r:id="rId42">
              <w:r>
                <w:rPr>
                  <w:rStyle w:val="Hyperlink"/>
                </w:rPr>
                <w:t xml:space="preserve">[24]</w:t>
              </w:r>
            </w:hyperlink>
          </w:p>
        </w:tc>
        <w:tc>
          <w:tcPr/>
          <w:p>
            <w:pPr>
              <w:pStyle w:val="Compact"/>
            </w:pPr>
            <w:r>
              <w:t xml:space="preserve">Readiness assessment, smoking, physical activity in some populations.</w:t>
            </w:r>
          </w:p>
        </w:tc>
        <w:tc>
          <w:tcPr/>
          <w:p>
            <w:pPr>
              <w:pStyle w:val="Compact"/>
            </w:pPr>
            <w:r>
              <w:rPr>
                <w:b/>
                <w:bCs/>
              </w:rPr>
              <w:t xml:space="preserve">Moderate for readiness description; weak-to-moderate for stage-matched superiority</w:t>
            </w:r>
          </w:p>
        </w:tc>
      </w:tr>
      <w:tr>
        <w:tc>
          <w:tcPr/>
          <w:p>
            <w:pPr>
              <w:pStyle w:val="Compact"/>
            </w:pPr>
            <w:r>
              <w:rPr>
                <w:b/>
                <w:bCs/>
              </w:rPr>
              <w:t xml:space="preserve">COM-B / Behaviour Change Wheel</w:t>
            </w:r>
          </w:p>
        </w:tc>
        <w:tc>
          <w:tcPr/>
          <w:p>
            <w:pPr>
              <w:pStyle w:val="Compact"/>
            </w:pPr>
            <w:r>
              <w:t xml:space="preserve">Behaviour requires capability, opportunity, and motivation; intervention design should target the missing components.</w:t>
            </w:r>
          </w:p>
        </w:tc>
        <w:tc>
          <w:tcPr/>
          <w:p>
            <w:pPr>
              <w:pStyle w:val="Compact"/>
            </w:pPr>
            <w:r>
              <w:t xml:space="preserve">Highly practical and widely adopted for intervention design.</w:t>
            </w:r>
            <w:r>
              <w:t xml:space="preserve"> </w:t>
            </w:r>
            <w:hyperlink r:id="rId22">
              <w:r>
                <w:rPr>
                  <w:rStyle w:val="Hyperlink"/>
                </w:rPr>
                <w:t xml:space="preserve">[25]</w:t>
              </w:r>
            </w:hyperlink>
          </w:p>
        </w:tc>
        <w:tc>
          <w:tcPr/>
          <w:p>
            <w:pPr>
              <w:pStyle w:val="Compact"/>
            </w:pPr>
            <w:r>
              <w:t xml:space="preserve">More a design framework than a strongly predictive theory; breadth can reduce specificity.</w:t>
            </w:r>
          </w:p>
        </w:tc>
        <w:tc>
          <w:tcPr/>
          <w:p>
            <w:pPr>
              <w:pStyle w:val="Compact"/>
            </w:pPr>
            <w:r>
              <w:t xml:space="preserve">Behavioural diagnosis, programme design, public health, services.</w:t>
            </w:r>
          </w:p>
        </w:tc>
        <w:tc>
          <w:tcPr/>
          <w:p>
            <w:pPr>
              <w:pStyle w:val="Compact"/>
            </w:pPr>
            <w:r>
              <w:rPr>
                <w:b/>
                <w:bCs/>
              </w:rPr>
              <w:t xml:space="preserve">Moderate as a design framework</w:t>
            </w:r>
          </w:p>
        </w:tc>
      </w:tr>
      <w:tr>
        <w:tc>
          <w:tcPr/>
          <w:p>
            <w:pPr>
              <w:pStyle w:val="Compact"/>
            </w:pPr>
            <w:r>
              <w:rPr>
                <w:b/>
                <w:bCs/>
              </w:rPr>
              <w:t xml:space="preserve">Self-Determination Theory</w:t>
            </w:r>
          </w:p>
        </w:tc>
        <w:tc>
          <w:tcPr/>
          <w:p>
            <w:pPr>
              <w:pStyle w:val="Compact"/>
            </w:pPr>
            <w:r>
              <w:t xml:space="preserve">Autonomous motivation and need satisfaction for autonomy, competence, and relatedness support internalisation and maintenance.</w:t>
            </w:r>
          </w:p>
        </w:tc>
        <w:tc>
          <w:tcPr/>
          <w:p>
            <w:pPr>
              <w:pStyle w:val="Compact"/>
            </w:pPr>
            <w:r>
              <w:t xml:space="preserve">Large meta-analysis shows positive but modest effects on motivation, behaviour, and health outcomes.</w:t>
            </w:r>
            <w:r>
              <w:t xml:space="preserve"> </w:t>
            </w:r>
            <w:hyperlink r:id="rId24">
              <w:r>
                <w:rPr>
                  <w:rStyle w:val="Hyperlink"/>
                </w:rPr>
                <w:t xml:space="preserve">[15]</w:t>
              </w:r>
            </w:hyperlink>
          </w:p>
        </w:tc>
        <w:tc>
          <w:tcPr/>
          <w:p>
            <w:pPr>
              <w:pStyle w:val="Compact"/>
            </w:pPr>
            <w:r>
              <w:t xml:space="preserve">Effects are heterogeneous and often modest; implementation quality matters.</w:t>
            </w:r>
          </w:p>
        </w:tc>
        <w:tc>
          <w:tcPr/>
          <w:p>
            <w:pPr>
              <w:pStyle w:val="Compact"/>
            </w:pPr>
            <w:r>
              <w:t xml:space="preserve">Long-term lifestyle change, coaching, chronic illness management.</w:t>
            </w:r>
          </w:p>
        </w:tc>
        <w:tc>
          <w:tcPr/>
          <w:p>
            <w:pPr>
              <w:pStyle w:val="Compact"/>
            </w:pPr>
            <w:r>
              <w:rPr>
                <w:b/>
                <w:bCs/>
              </w:rPr>
              <w:t xml:space="preserve">Strong</w:t>
            </w:r>
          </w:p>
        </w:tc>
      </w:tr>
      <w:tr>
        <w:tc>
          <w:tcPr/>
          <w:p>
            <w:pPr>
              <w:pStyle w:val="Compact"/>
            </w:pPr>
            <w:r>
              <w:rPr>
                <w:b/>
                <w:bCs/>
              </w:rPr>
              <w:t xml:space="preserve">Health Belief Model</w:t>
            </w:r>
          </w:p>
        </w:tc>
        <w:tc>
          <w:tcPr/>
          <w:p>
            <w:pPr>
              <w:pStyle w:val="Compact"/>
            </w:pPr>
            <w:r>
              <w:t xml:space="preserve">Behaviour depends on perceived susceptibility, severity, benefits, barriers, self-efficacy, cues to action.</w:t>
            </w:r>
          </w:p>
        </w:tc>
        <w:tc>
          <w:tcPr/>
          <w:p>
            <w:pPr>
              <w:pStyle w:val="Compact"/>
            </w:pPr>
            <w:r>
              <w:t xml:space="preserve">Benefits and barriers are consistent predictors, especially for preventive behaviours.</w:t>
            </w:r>
            <w:r>
              <w:t xml:space="preserve"> </w:t>
            </w:r>
            <w:hyperlink r:id="rId43">
              <w:r>
                <w:rPr>
                  <w:rStyle w:val="Hyperlink"/>
                </w:rPr>
                <w:t xml:space="preserve">[26]</w:t>
              </w:r>
            </w:hyperlink>
          </w:p>
        </w:tc>
        <w:tc>
          <w:tcPr/>
          <w:p>
            <w:pPr>
              <w:pStyle w:val="Compact"/>
            </w:pPr>
            <w:r>
              <w:t xml:space="preserve">Overly rational-cognitive; limited treatment of emotion, habit, and social context.</w:t>
            </w:r>
            <w:r>
              <w:t xml:space="preserve"> </w:t>
            </w:r>
            <w:hyperlink r:id="rId44">
              <w:r>
                <w:rPr>
                  <w:rStyle w:val="Hyperlink"/>
                </w:rPr>
                <w:t xml:space="preserve">[27]</w:t>
              </w:r>
            </w:hyperlink>
          </w:p>
        </w:tc>
        <w:tc>
          <w:tcPr/>
          <w:p>
            <w:pPr>
              <w:pStyle w:val="Compact"/>
            </w:pPr>
            <w:r>
              <w:t xml:space="preserve">Screening, vaccination, prevention, one-off decisions.</w:t>
            </w:r>
          </w:p>
        </w:tc>
        <w:tc>
          <w:tcPr/>
          <w:p>
            <w:pPr>
              <w:pStyle w:val="Compact"/>
            </w:pPr>
            <w:r>
              <w:rPr>
                <w:b/>
                <w:bCs/>
              </w:rPr>
              <w:t xml:space="preserve">Moderate</w:t>
            </w:r>
          </w:p>
        </w:tc>
      </w:tr>
      <w:tr>
        <w:tc>
          <w:tcPr/>
          <w:p>
            <w:pPr>
              <w:pStyle w:val="Compact"/>
            </w:pPr>
            <w:r>
              <w:rPr>
                <w:b/>
                <w:bCs/>
              </w:rPr>
              <w:t xml:space="preserve">Theory of Planned Behaviour / Reasoned Action</w:t>
            </w:r>
          </w:p>
        </w:tc>
        <w:tc>
          <w:tcPr/>
          <w:p>
            <w:pPr>
              <w:pStyle w:val="Compact"/>
            </w:pPr>
            <w:r>
              <w:t xml:space="preserve">Attitudes, norms, and perceived control shape intention; intention predicts behaviour.</w:t>
            </w:r>
          </w:p>
        </w:tc>
        <w:tc>
          <w:tcPr/>
          <w:p>
            <w:pPr>
              <w:pStyle w:val="Compact"/>
            </w:pPr>
            <w:r>
              <w:t xml:space="preserve">Predicts intention reasonably well; behaviour prediction is weaker and moderated by control and context.</w:t>
            </w:r>
            <w:r>
              <w:t xml:space="preserve"> </w:t>
            </w:r>
            <w:hyperlink r:id="rId45">
              <w:r>
                <w:rPr>
                  <w:rStyle w:val="Hyperlink"/>
                </w:rPr>
                <w:t xml:space="preserve">[28]</w:t>
              </w:r>
            </w:hyperlink>
          </w:p>
        </w:tc>
        <w:tc>
          <w:tcPr/>
          <w:p>
            <w:pPr>
              <w:pStyle w:val="Compact"/>
            </w:pPr>
            <w:r>
              <w:t xml:space="preserve">Intention–behaviour gap is the central problem; less useful for maintenance without planning/habit extensions.</w:t>
            </w:r>
          </w:p>
        </w:tc>
        <w:tc>
          <w:tcPr/>
          <w:p>
            <w:pPr>
              <w:pStyle w:val="Compact"/>
            </w:pPr>
            <w:r>
              <w:t xml:space="preserve">Intention formation, survey diagnostics, health communication.</w:t>
            </w:r>
          </w:p>
        </w:tc>
        <w:tc>
          <w:tcPr/>
          <w:p>
            <w:pPr>
              <w:pStyle w:val="Compact"/>
            </w:pPr>
            <w:r>
              <w:rPr>
                <w:b/>
                <w:bCs/>
              </w:rPr>
              <w:t xml:space="preserve">Strong for intention, moderate for behaviour</w:t>
            </w:r>
          </w:p>
        </w:tc>
      </w:tr>
      <w:tr>
        <w:tc>
          <w:tcPr/>
          <w:p>
            <w:pPr>
              <w:pStyle w:val="Compact"/>
            </w:pPr>
            <w:r>
              <w:rPr>
                <w:b/>
                <w:bCs/>
              </w:rPr>
              <w:t xml:space="preserve">Social Cognitive Theory</w:t>
            </w:r>
          </w:p>
        </w:tc>
        <w:tc>
          <w:tcPr/>
          <w:p>
            <w:pPr>
              <w:pStyle w:val="Compact"/>
            </w:pPr>
            <w:r>
              <w:t xml:space="preserve">Behaviour reflects reciprocal interaction of personal factors, environment, and behaviour; self-efficacy is central.</w:t>
            </w:r>
          </w:p>
        </w:tc>
        <w:tc>
          <w:tcPr/>
          <w:p>
            <w:pPr>
              <w:pStyle w:val="Compact"/>
            </w:pPr>
            <w:r>
              <w:t xml:space="preserve">Self-efficacy is robustly important across health domains; SCT remains heavily used.</w:t>
            </w:r>
            <w:r>
              <w:t xml:space="preserve"> </w:t>
            </w:r>
            <w:hyperlink r:id="rId46">
              <w:r>
                <w:rPr>
                  <w:rStyle w:val="Hyperlink"/>
                </w:rPr>
                <w:t xml:space="preserve">[29]</w:t>
              </w:r>
            </w:hyperlink>
          </w:p>
        </w:tc>
        <w:tc>
          <w:tcPr/>
          <w:p>
            <w:pPr>
              <w:pStyle w:val="Compact"/>
            </w:pPr>
            <w:r>
              <w:t xml:space="preserve">Broad and difficult to test as a whole; operationalisation varies.</w:t>
            </w:r>
          </w:p>
        </w:tc>
        <w:tc>
          <w:tcPr/>
          <w:p>
            <w:pPr>
              <w:pStyle w:val="Compact"/>
            </w:pPr>
            <w:r>
              <w:t xml:space="preserve">Skills building, coaching, rehabilitation, physical activity.</w:t>
            </w:r>
          </w:p>
        </w:tc>
        <w:tc>
          <w:tcPr/>
          <w:p>
            <w:pPr>
              <w:pStyle w:val="Compact"/>
            </w:pPr>
            <w:r>
              <w:rPr>
                <w:b/>
                <w:bCs/>
              </w:rPr>
              <w:t xml:space="preserve">Strong for self-efficacy; moderate for whole-theory testing</w:t>
            </w:r>
          </w:p>
        </w:tc>
      </w:tr>
      <w:tr>
        <w:tc>
          <w:tcPr/>
          <w:p>
            <w:pPr>
              <w:pStyle w:val="Compact"/>
            </w:pPr>
            <w:r>
              <w:rPr>
                <w:b/>
                <w:bCs/>
              </w:rPr>
              <w:t xml:space="preserve">Habit theory</w:t>
            </w:r>
          </w:p>
        </w:tc>
        <w:tc>
          <w:tcPr/>
          <w:p>
            <w:pPr>
              <w:pStyle w:val="Compact"/>
            </w:pPr>
            <w:r>
              <w:t xml:space="preserve">Repetition in stable contexts creates automaticity that supports maintenance.</w:t>
            </w:r>
          </w:p>
        </w:tc>
        <w:tc>
          <w:tcPr/>
          <w:p>
            <w:pPr>
              <w:pStyle w:val="Compact"/>
            </w:pPr>
            <w:r>
              <w:t xml:space="preserve">Systematic review and meta-analysis support habit growth through repetition; timing is variable.</w:t>
            </w:r>
            <w:r>
              <w:t xml:space="preserve"> </w:t>
            </w:r>
            <w:hyperlink r:id="rId30">
              <w:r>
                <w:rPr>
                  <w:rStyle w:val="Hyperlink"/>
                </w:rPr>
                <w:t xml:space="preserve">[30]</w:t>
              </w:r>
            </w:hyperlink>
          </w:p>
        </w:tc>
        <w:tc>
          <w:tcPr/>
          <w:p>
            <w:pPr>
              <w:pStyle w:val="Compact"/>
            </w:pPr>
            <w:r>
              <w:t xml:space="preserve">Better at maintenance than initiation; weak when behaviour remains emotionally conflicted or context unstable.</w:t>
            </w:r>
          </w:p>
        </w:tc>
        <w:tc>
          <w:tcPr/>
          <w:p>
            <w:pPr>
              <w:pStyle w:val="Compact"/>
            </w:pPr>
            <w:r>
              <w:t xml:space="preserve">Daily routines, sleep routines, movement, diet, medication adherence.</w:t>
            </w:r>
          </w:p>
        </w:tc>
        <w:tc>
          <w:tcPr/>
          <w:p>
            <w:pPr>
              <w:pStyle w:val="Compact"/>
            </w:pPr>
            <w:r>
              <w:rPr>
                <w:b/>
                <w:bCs/>
              </w:rPr>
              <w:t xml:space="preserve">Strong</w:t>
            </w:r>
          </w:p>
        </w:tc>
      </w:tr>
      <w:tr>
        <w:tc>
          <w:tcPr/>
          <w:p>
            <w:pPr>
              <w:pStyle w:val="Compact"/>
            </w:pPr>
            <w:r>
              <w:rPr>
                <w:b/>
                <w:bCs/>
              </w:rPr>
              <w:t xml:space="preserve">Implementation intentions</w:t>
            </w:r>
          </w:p>
        </w:tc>
        <w:tc>
          <w:tcPr/>
          <w:p>
            <w:pPr>
              <w:pStyle w:val="Compact"/>
            </w:pPr>
            <w:r>
              <w:t xml:space="preserve">“If–then” plans help translate goals into action by linking cues to responses.</w:t>
            </w:r>
          </w:p>
        </w:tc>
        <w:tc>
          <w:tcPr/>
          <w:p>
            <w:pPr>
              <w:pStyle w:val="Compact"/>
            </w:pPr>
            <w:r>
              <w:t xml:space="preserve">Long-running evidence base supports improvement in goal attainment and health behaviour enactment, especially when motivation already exists.</w:t>
            </w:r>
            <w:r>
              <w:t xml:space="preserve"> </w:t>
            </w:r>
            <w:hyperlink r:id="rId47">
              <w:r>
                <w:rPr>
                  <w:rStyle w:val="Hyperlink"/>
                </w:rPr>
                <w:t xml:space="preserve">[31]</w:t>
              </w:r>
            </w:hyperlink>
          </w:p>
        </w:tc>
        <w:tc>
          <w:tcPr/>
          <w:p>
            <w:pPr>
              <w:pStyle w:val="Compact"/>
            </w:pPr>
            <w:r>
              <w:t xml:space="preserve">Less effective when goals are externally imposed, vague, or structurally blocked.</w:t>
            </w:r>
          </w:p>
        </w:tc>
        <w:tc>
          <w:tcPr/>
          <w:p>
            <w:pPr>
              <w:pStyle w:val="Compact"/>
            </w:pPr>
            <w:r>
              <w:t xml:space="preserve">Bridging the intention–behaviour gap; busy people; high-friction acts.</w:t>
            </w:r>
          </w:p>
        </w:tc>
        <w:tc>
          <w:tcPr/>
          <w:p>
            <w:pPr>
              <w:pStyle w:val="Compact"/>
            </w:pPr>
            <w:r>
              <w:rPr>
                <w:b/>
                <w:bCs/>
              </w:rPr>
              <w:t xml:space="preserve">Strong</w:t>
            </w:r>
          </w:p>
        </w:tc>
      </w:tr>
      <w:tr>
        <w:tc>
          <w:tcPr/>
          <w:p>
            <w:pPr>
              <w:pStyle w:val="Compact"/>
            </w:pPr>
            <w:r>
              <w:rPr>
                <w:b/>
                <w:bCs/>
              </w:rPr>
              <w:t xml:space="preserve">Motivational Interviewing</w:t>
            </w:r>
          </w:p>
        </w:tc>
        <w:tc>
          <w:tcPr/>
          <w:p>
            <w:pPr>
              <w:pStyle w:val="Compact"/>
            </w:pPr>
            <w:r>
              <w:t xml:space="preserve">Ambivalence is normal; skilful, autonomy-supportive conversation can evoke change talk and commitment.</w:t>
            </w:r>
          </w:p>
        </w:tc>
        <w:tc>
          <w:tcPr/>
          <w:p>
            <w:pPr>
              <w:pStyle w:val="Compact"/>
            </w:pPr>
            <w:r>
              <w:t xml:space="preserve">Best evidence for alcohol, some substance use, and selected unhealthy behaviours; effects are usually small and often short-term.</w:t>
            </w:r>
            <w:r>
              <w:t xml:space="preserve"> </w:t>
            </w:r>
            <w:hyperlink r:id="rId48">
              <w:r>
                <w:rPr>
                  <w:rStyle w:val="Hyperlink"/>
                </w:rPr>
                <w:t xml:space="preserve">[32]</w:t>
              </w:r>
            </w:hyperlink>
          </w:p>
        </w:tc>
        <w:tc>
          <w:tcPr/>
          <w:p>
            <w:pPr>
              <w:pStyle w:val="Compact"/>
            </w:pPr>
            <w:r>
              <w:t xml:space="preserve">Much of the review literature is low quality or inconsistent; fidelity matters a lot.</w:t>
            </w:r>
            <w:r>
              <w:t xml:space="preserve"> </w:t>
            </w:r>
            <w:hyperlink r:id="rId48">
              <w:r>
                <w:rPr>
                  <w:rStyle w:val="Hyperlink"/>
                </w:rPr>
                <w:t xml:space="preserve">[33]</w:t>
              </w:r>
            </w:hyperlink>
          </w:p>
        </w:tc>
        <w:tc>
          <w:tcPr/>
          <w:p>
            <w:pPr>
              <w:pStyle w:val="Compact"/>
            </w:pPr>
            <w:r>
              <w:t xml:space="preserve">Ambivalence-heavy behaviour, substance use, early readiness work.</w:t>
            </w:r>
          </w:p>
        </w:tc>
        <w:tc>
          <w:tcPr/>
          <w:p>
            <w:pPr>
              <w:pStyle w:val="Compact"/>
            </w:pPr>
            <w:r>
              <w:rPr>
                <w:b/>
                <w:bCs/>
              </w:rPr>
              <w:t xml:space="preserve">Moderate</w:t>
            </w:r>
          </w:p>
        </w:tc>
      </w:tr>
      <w:tr>
        <w:tc>
          <w:tcPr/>
          <w:p>
            <w:pPr>
              <w:pStyle w:val="Compact"/>
            </w:pPr>
            <w:r>
              <w:rPr>
                <w:b/>
                <w:bCs/>
              </w:rPr>
              <w:t xml:space="preserve">CBT</w:t>
            </w:r>
          </w:p>
        </w:tc>
        <w:tc>
          <w:tcPr/>
          <w:p>
            <w:pPr>
              <w:pStyle w:val="Compact"/>
            </w:pPr>
            <w:r>
              <w:t xml:space="preserve">Thoughts, behaviours, and emotions reciprocally maintain problems; behavioural experiments and skills can change them.</w:t>
            </w:r>
          </w:p>
        </w:tc>
        <w:tc>
          <w:tcPr/>
          <w:p>
            <w:pPr>
              <w:pStyle w:val="Compact"/>
            </w:pPr>
            <w:r>
              <w:t xml:space="preserve">Very strong clinical evidence overall; CBT-I is especially well supported for insomnia.</w:t>
            </w:r>
            <w:r>
              <w:t xml:space="preserve"> </w:t>
            </w:r>
            <w:hyperlink r:id="rId27">
              <w:r>
                <w:rPr>
                  <w:rStyle w:val="Hyperlink"/>
                </w:rPr>
                <w:t xml:space="preserve">[34]</w:t>
              </w:r>
            </w:hyperlink>
          </w:p>
        </w:tc>
        <w:tc>
          <w:tcPr/>
          <w:p>
            <w:pPr>
              <w:pStyle w:val="Compact"/>
            </w:pPr>
            <w:r>
              <w:t xml:space="preserve">Can feel effortful or overly cognitive if capacity is low; not always sufficient for identity or meaning issues.</w:t>
            </w:r>
          </w:p>
        </w:tc>
        <w:tc>
          <w:tcPr/>
          <w:p>
            <w:pPr>
              <w:pStyle w:val="Compact"/>
            </w:pPr>
            <w:r>
              <w:t xml:space="preserve">Sleep, anxiety-related avoidance, relapse prevention, self-regulation.</w:t>
            </w:r>
          </w:p>
        </w:tc>
        <w:tc>
          <w:tcPr/>
          <w:p>
            <w:pPr>
              <w:pStyle w:val="Compact"/>
            </w:pPr>
            <w:r>
              <w:rPr>
                <w:b/>
                <w:bCs/>
              </w:rPr>
              <w:t xml:space="preserve">Strong</w:t>
            </w:r>
          </w:p>
        </w:tc>
      </w:tr>
      <w:tr>
        <w:tc>
          <w:tcPr/>
          <w:p>
            <w:pPr>
              <w:pStyle w:val="Compact"/>
            </w:pPr>
            <w:r>
              <w:rPr>
                <w:b/>
                <w:bCs/>
              </w:rPr>
              <w:t xml:space="preserve">ACT / Psychological flexibility</w:t>
            </w:r>
          </w:p>
        </w:tc>
        <w:tc>
          <w:tcPr/>
          <w:p>
            <w:pPr>
              <w:pStyle w:val="Compact"/>
            </w:pPr>
            <w:r>
              <w:t xml:space="preserve">Lasting change depends on willingness, present-moment awareness, defusion, values, and committed action.</w:t>
            </w:r>
          </w:p>
        </w:tc>
        <w:tc>
          <w:tcPr/>
          <w:p>
            <w:pPr>
              <w:pStyle w:val="Compact"/>
            </w:pPr>
            <w:r>
              <w:t xml:space="preserve">Growing evidence base; particularly relevant where avoidance and distress interfere with valued action.</w:t>
            </w:r>
            <w:r>
              <w:t xml:space="preserve"> </w:t>
            </w:r>
            <w:hyperlink r:id="rId38">
              <w:r>
                <w:rPr>
                  <w:rStyle w:val="Hyperlink"/>
                </w:rPr>
                <w:t xml:space="preserve">[35]</w:t>
              </w:r>
            </w:hyperlink>
          </w:p>
        </w:tc>
        <w:tc>
          <w:tcPr/>
          <w:p>
            <w:pPr>
              <w:pStyle w:val="Compact"/>
            </w:pPr>
            <w:r>
              <w:t xml:space="preserve">Broader meta-evidence is promising but still more heterogeneous than CBT; component mechanisms still being refined.</w:t>
            </w:r>
          </w:p>
        </w:tc>
        <w:tc>
          <w:tcPr/>
          <w:p>
            <w:pPr>
              <w:pStyle w:val="Compact"/>
            </w:pPr>
            <w:r>
              <w:t xml:space="preserve">Stress, chronic pain, burnout risk, values-based lifestyle change.</w:t>
            </w:r>
          </w:p>
        </w:tc>
        <w:tc>
          <w:tcPr/>
          <w:p>
            <w:pPr>
              <w:pStyle w:val="Compact"/>
            </w:pPr>
            <w:r>
              <w:rPr>
                <w:b/>
                <w:bCs/>
              </w:rPr>
              <w:t xml:space="preserve">Moderate-to-strong</w:t>
            </w:r>
          </w:p>
        </w:tc>
      </w:tr>
      <w:tr>
        <w:tc>
          <w:tcPr/>
          <w:p>
            <w:pPr>
              <w:pStyle w:val="Compact"/>
            </w:pPr>
            <w:r>
              <w:rPr>
                <w:b/>
                <w:bCs/>
              </w:rPr>
              <w:t xml:space="preserve">Fogg Behaviour Model / Tiny Habits</w:t>
            </w:r>
          </w:p>
        </w:tc>
        <w:tc>
          <w:tcPr/>
          <w:p>
            <w:pPr>
              <w:pStyle w:val="Compact"/>
            </w:pPr>
            <w:r>
              <w:t xml:space="preserve">Behaviour occurs when motivation, ability, and prompt converge; make behaviours tiny and easy.</w:t>
            </w:r>
          </w:p>
        </w:tc>
        <w:tc>
          <w:tcPr/>
          <w:p>
            <w:pPr>
              <w:pStyle w:val="Compact"/>
            </w:pPr>
            <w:r>
              <w:t xml:space="preserve">Recent scoping review suggests growing public-health use; underlying principles overlap with habit and friction research.</w:t>
            </w:r>
            <w:r>
              <w:t xml:space="preserve"> </w:t>
            </w:r>
            <w:hyperlink r:id="rId49">
              <w:r>
                <w:rPr>
                  <w:rStyle w:val="Hyperlink"/>
                </w:rPr>
                <w:t xml:space="preserve">[36]</w:t>
              </w:r>
            </w:hyperlink>
          </w:p>
        </w:tc>
        <w:tc>
          <w:tcPr/>
          <w:p>
            <w:pPr>
              <w:pStyle w:val="Compact"/>
            </w:pPr>
            <w:r>
              <w:t xml:space="preserve">Distinct empirical base is much thinner than SDT, TPB, CBT, or habit research.</w:t>
            </w:r>
          </w:p>
        </w:tc>
        <w:tc>
          <w:tcPr/>
          <w:p>
            <w:pPr>
              <w:pStyle w:val="Compact"/>
            </w:pPr>
            <w:r>
              <w:t xml:space="preserve">Micro-habits, initiation, low-friction entry points.</w:t>
            </w:r>
          </w:p>
        </w:tc>
        <w:tc>
          <w:tcPr/>
          <w:p>
            <w:pPr>
              <w:pStyle w:val="Compact"/>
            </w:pPr>
            <w:r>
              <w:rPr>
                <w:b/>
                <w:bCs/>
              </w:rPr>
              <w:t xml:space="preserve">Emerging to moderate</w:t>
            </w:r>
          </w:p>
        </w:tc>
      </w:tr>
      <w:tr>
        <w:tc>
          <w:tcPr/>
          <w:p>
            <w:pPr>
              <w:pStyle w:val="Compact"/>
            </w:pPr>
            <w:r>
              <w:rPr>
                <w:b/>
                <w:bCs/>
              </w:rPr>
              <w:t xml:space="preserve">Atomic Habits</w:t>
            </w:r>
          </w:p>
        </w:tc>
        <w:tc>
          <w:tcPr/>
          <w:p>
            <w:pPr>
              <w:pStyle w:val="Compact"/>
            </w:pPr>
            <w:r>
              <w:t xml:space="preserve">Popular synthesis emphasising cues, environment design, repetition, and identity framing.</w:t>
            </w:r>
          </w:p>
        </w:tc>
        <w:tc>
          <w:tcPr/>
          <w:p>
            <w:pPr>
              <w:pStyle w:val="Compact"/>
            </w:pPr>
            <w:r>
              <w:t xml:space="preserve">Scientific support lies in the underlying habit and identity literature, not in trials of the branded system itself.</w:t>
            </w:r>
            <w:r>
              <w:t xml:space="preserve"> </w:t>
            </w:r>
            <w:hyperlink r:id="rId30">
              <w:r>
                <w:rPr>
                  <w:rStyle w:val="Hyperlink"/>
                </w:rPr>
                <w:t xml:space="preserve">[37]</w:t>
              </w:r>
            </w:hyperlink>
          </w:p>
        </w:tc>
        <w:tc>
          <w:tcPr/>
          <w:p>
            <w:pPr>
              <w:pStyle w:val="Compact"/>
            </w:pPr>
            <w:r>
              <w:t xml:space="preserve">Best treated as a practical synthesis, not a separately validated scientific protocol.</w:t>
            </w:r>
          </w:p>
        </w:tc>
        <w:tc>
          <w:tcPr/>
          <w:p>
            <w:pPr>
              <w:pStyle w:val="Compact"/>
            </w:pPr>
            <w:r>
              <w:t xml:space="preserve">Consumer education, habit design heuristics.</w:t>
            </w:r>
          </w:p>
        </w:tc>
        <w:tc>
          <w:tcPr/>
          <w:p>
            <w:pPr>
              <w:pStyle w:val="Compact"/>
            </w:pPr>
            <w:r>
              <w:rPr>
                <w:b/>
                <w:bCs/>
              </w:rPr>
              <w:t xml:space="preserve">Indirect support only</w:t>
            </w:r>
          </w:p>
        </w:tc>
      </w:tr>
      <w:tr>
        <w:tc>
          <w:tcPr/>
          <w:p>
            <w:pPr>
              <w:pStyle w:val="Compact"/>
            </w:pPr>
            <w:r>
              <w:rPr>
                <w:b/>
                <w:bCs/>
              </w:rPr>
              <w:t xml:space="preserve">Nudge / behavioural economics</w:t>
            </w:r>
          </w:p>
        </w:tc>
        <w:tc>
          <w:tcPr/>
          <w:p>
            <w:pPr>
              <w:pStyle w:val="Compact"/>
            </w:pPr>
            <w:r>
              <w:t xml:space="preserve">Small changes in choice architecture can shift behaviour without coercion.</w:t>
            </w:r>
          </w:p>
        </w:tc>
        <w:tc>
          <w:tcPr/>
          <w:p>
            <w:pPr>
              <w:pStyle w:val="Compact"/>
            </w:pPr>
            <w:r>
              <w:t xml:space="preserve">Strong conceptual relevance for one-off, friction-sensitive choices; less explanatory power for enduring identity-rich change.</w:t>
            </w:r>
          </w:p>
        </w:tc>
        <w:tc>
          <w:tcPr/>
          <w:p>
            <w:pPr>
              <w:pStyle w:val="Compact"/>
            </w:pPr>
            <w:r>
              <w:t xml:space="preserve">Effects for long-term lifestyle maintenance were not as comprehensively captured in the retrieved evidence as for SDT, habit, CBT, or MI.</w:t>
            </w:r>
          </w:p>
        </w:tc>
        <w:tc>
          <w:tcPr/>
          <w:p>
            <w:pPr>
              <w:pStyle w:val="Compact"/>
            </w:pPr>
            <w:r>
              <w:t xml:space="preserve">Defaults, reminders, food environment, workplace choice architecture.</w:t>
            </w:r>
          </w:p>
        </w:tc>
        <w:tc>
          <w:tcPr/>
          <w:p>
            <w:pPr>
              <w:pStyle w:val="Compact"/>
            </w:pPr>
            <w:r>
              <w:rPr>
                <w:b/>
                <w:bCs/>
              </w:rPr>
              <w:t xml:space="preserve">Moderate for single decisions; weaker for maintenance in this synthesis</w:t>
            </w:r>
          </w:p>
        </w:tc>
      </w:tr>
      <w:tr>
        <w:tc>
          <w:tcPr/>
          <w:p>
            <w:pPr>
              <w:pStyle w:val="Compact"/>
            </w:pPr>
            <w:r>
              <w:rPr>
                <w:b/>
                <w:bCs/>
              </w:rPr>
              <w:t xml:space="preserve">Identity-based behaviour change</w:t>
            </w:r>
          </w:p>
        </w:tc>
        <w:tc>
          <w:tcPr/>
          <w:p>
            <w:pPr>
              <w:pStyle w:val="Compact"/>
            </w:pPr>
            <w:r>
              <w:t xml:space="preserve">People sustain actions that feel congruent with “who I am” or “who we are.”</w:t>
            </w:r>
          </w:p>
        </w:tc>
        <w:tc>
          <w:tcPr/>
          <w:p>
            <w:pPr>
              <w:pStyle w:val="Compact"/>
            </w:pPr>
            <w:r>
              <w:t xml:space="preserve">Social identity is positively associated with health behaviour; habit and identity are related but separable.</w:t>
            </w:r>
            <w:r>
              <w:t xml:space="preserve"> </w:t>
            </w:r>
            <w:hyperlink r:id="rId33">
              <w:r>
                <w:rPr>
                  <w:rStyle w:val="Hyperlink"/>
                </w:rPr>
                <w:t xml:space="preserve">[38]</w:t>
              </w:r>
            </w:hyperlink>
          </w:p>
        </w:tc>
        <w:tc>
          <w:tcPr/>
          <w:p>
            <w:pPr>
              <w:pStyle w:val="Compact"/>
            </w:pPr>
            <w:r>
              <w:t xml:space="preserve">Much evidence is observational; causal intervention evidence is newer.</w:t>
            </w:r>
          </w:p>
        </w:tc>
        <w:tc>
          <w:tcPr/>
          <w:p>
            <w:pPr>
              <w:pStyle w:val="Compact"/>
            </w:pPr>
            <w:r>
              <w:t xml:space="preserve">Maintenance, role transitions, executive coaching, recovery from relapse.</w:t>
            </w:r>
          </w:p>
        </w:tc>
        <w:tc>
          <w:tcPr/>
          <w:p>
            <w:pPr>
              <w:pStyle w:val="Compact"/>
            </w:pPr>
            <w:r>
              <w:rPr>
                <w:b/>
                <w:bCs/>
              </w:rPr>
              <w:t xml:space="preserve">Moderate and rising</w:t>
            </w:r>
          </w:p>
        </w:tc>
      </w:tr>
    </w:tbl>
    <w:bookmarkEnd w:id="50"/>
    <w:bookmarkStart w:id="56" w:name="evidence-matrix-by-intervention-approach"/>
    <w:p>
      <w:pPr>
        <w:pStyle w:val="Heading3"/>
      </w:pPr>
      <w:r>
        <w:t xml:space="preserve">Evidence matrix by intervention approach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Outcome pattern</w:t>
            </w:r>
          </w:p>
        </w:tc>
        <w:tc>
          <w:tcPr/>
          <w:p>
            <w:pPr>
              <w:pStyle w:val="Compact"/>
            </w:pPr>
            <w:r>
              <w:t xml:space="preserve">Where it performs best</w:t>
            </w:r>
          </w:p>
        </w:tc>
        <w:tc>
          <w:tcPr/>
          <w:p>
            <w:pPr>
              <w:pStyle w:val="Compact"/>
            </w:pPr>
            <w:r>
              <w:t xml:space="preserve">Overall judgement</w:t>
            </w:r>
          </w:p>
        </w:tc>
      </w:tr>
      <w:tr>
        <w:tc>
          <w:tcPr/>
          <w:p>
            <w:pPr>
              <w:pStyle w:val="Compact"/>
            </w:pPr>
            <w:r>
              <w:rPr>
                <w:b/>
                <w:bCs/>
              </w:rPr>
              <w:t xml:space="preserve">Self-monitoring, feedback, goal setting, action planning</w:t>
            </w:r>
          </w:p>
        </w:tc>
        <w:tc>
          <w:tcPr/>
          <w:p>
            <w:pPr>
              <w:pStyle w:val="Compact"/>
            </w:pPr>
            <w:r>
              <w:t xml:space="preserve">Repeatedly associated with better diet, activity, and weight-related outcomes across meta-reviews.</w:t>
            </w:r>
            <w:r>
              <w:t xml:space="preserve"> </w:t>
            </w:r>
            <w:hyperlink r:id="rId51">
              <w:r>
                <w:rPr>
                  <w:rStyle w:val="Hyperlink"/>
                </w:rPr>
                <w:t xml:space="preserve">[39]</w:t>
              </w:r>
            </w:hyperlink>
          </w:p>
        </w:tc>
        <w:tc>
          <w:tcPr/>
          <w:p>
            <w:pPr>
              <w:pStyle w:val="Compact"/>
            </w:pPr>
            <w:r>
              <w:t xml:space="preserve">Everyday health behaviours, digital programmes, coaching.</w:t>
            </w:r>
          </w:p>
        </w:tc>
        <w:tc>
          <w:tcPr/>
          <w:p>
            <w:pPr>
              <w:pStyle w:val="Compact"/>
            </w:pPr>
            <w:r>
              <w:rPr>
                <w:b/>
                <w:bCs/>
              </w:rPr>
              <w:t xml:space="preserve">Strong</w:t>
            </w:r>
          </w:p>
        </w:tc>
      </w:tr>
      <w:tr>
        <w:tc>
          <w:tcPr/>
          <w:p>
            <w:pPr>
              <w:pStyle w:val="Compact"/>
            </w:pPr>
            <w:r>
              <w:rPr>
                <w:b/>
                <w:bCs/>
              </w:rPr>
              <w:t xml:space="preserve">Habit formation interventions</w:t>
            </w:r>
          </w:p>
        </w:tc>
        <w:tc>
          <w:tcPr/>
          <w:p>
            <w:pPr>
              <w:pStyle w:val="Compact"/>
            </w:pPr>
            <w:r>
              <w:t xml:space="preserve">Improve automaticity and modestly improve physical-activity habit strength.</w:t>
            </w:r>
            <w:r>
              <w:t xml:space="preserve"> </w:t>
            </w:r>
            <w:hyperlink r:id="rId30">
              <w:r>
                <w:rPr>
                  <w:rStyle w:val="Hyperlink"/>
                </w:rPr>
                <w:t xml:space="preserve">[30]</w:t>
              </w:r>
            </w:hyperlink>
          </w:p>
        </w:tc>
        <w:tc>
          <w:tcPr/>
          <w:p>
            <w:pPr>
              <w:pStyle w:val="Compact"/>
            </w:pPr>
            <w:r>
              <w:t xml:space="preserve">Maintenance of small, repeatable routines.</w:t>
            </w:r>
          </w:p>
        </w:tc>
        <w:tc>
          <w:tcPr/>
          <w:p>
            <w:pPr>
              <w:pStyle w:val="Compact"/>
            </w:pPr>
            <w:r>
              <w:rPr>
                <w:b/>
                <w:bCs/>
              </w:rPr>
              <w:t xml:space="preserve">Strong</w:t>
            </w:r>
          </w:p>
        </w:tc>
      </w:tr>
      <w:tr>
        <w:tc>
          <w:tcPr/>
          <w:p>
            <w:pPr>
              <w:pStyle w:val="Compact"/>
            </w:pPr>
            <w:r>
              <w:rPr>
                <w:b/>
                <w:bCs/>
              </w:rPr>
              <w:t xml:space="preserve">MI</w:t>
            </w:r>
          </w:p>
        </w:tc>
        <w:tc>
          <w:tcPr/>
          <w:p>
            <w:pPr>
              <w:pStyle w:val="Compact"/>
            </w:pPr>
            <w:r>
              <w:t xml:space="preserve">Small beneficial effects, strongest for alcohol and some substance-related targets; mixed elsewhere.</w:t>
            </w:r>
            <w:r>
              <w:t xml:space="preserve"> </w:t>
            </w:r>
            <w:hyperlink r:id="rId48">
              <w:r>
                <w:rPr>
                  <w:rStyle w:val="Hyperlink"/>
                </w:rPr>
                <w:t xml:space="preserve">[32]</w:t>
              </w:r>
            </w:hyperlink>
          </w:p>
        </w:tc>
        <w:tc>
          <w:tcPr/>
          <w:p>
            <w:pPr>
              <w:pStyle w:val="Compact"/>
            </w:pPr>
            <w:r>
              <w:t xml:space="preserve">Ambivalence-heavy or stigma-laden behaviours.</w:t>
            </w:r>
          </w:p>
        </w:tc>
        <w:tc>
          <w:tcPr/>
          <w:p>
            <w:pPr>
              <w:pStyle w:val="Compact"/>
            </w:pPr>
            <w:r>
              <w:rPr>
                <w:b/>
                <w:bCs/>
              </w:rPr>
              <w:t xml:space="preserve">Moderate</w:t>
            </w:r>
          </w:p>
        </w:tc>
      </w:tr>
      <w:tr>
        <w:tc>
          <w:tcPr/>
          <w:p>
            <w:pPr>
              <w:pStyle w:val="Compact"/>
            </w:pPr>
            <w:r>
              <w:rPr>
                <w:b/>
                <w:bCs/>
              </w:rPr>
              <w:t xml:space="preserve">ACT / psychological flexibility methods</w:t>
            </w:r>
          </w:p>
        </w:tc>
        <w:tc>
          <w:tcPr/>
          <w:p>
            <w:pPr>
              <w:pStyle w:val="Compact"/>
            </w:pPr>
            <w:r>
              <w:t xml:space="preserve">Useful where emotional avoidance blocks action; growing evidence in chronic conditions and wellbeing.</w:t>
            </w:r>
            <w:r>
              <w:t xml:space="preserve"> </w:t>
            </w:r>
            <w:hyperlink r:id="rId38">
              <w:r>
                <w:rPr>
                  <w:rStyle w:val="Hyperlink"/>
                </w:rPr>
                <w:t xml:space="preserve">[40]</w:t>
              </w:r>
            </w:hyperlink>
          </w:p>
        </w:tc>
        <w:tc>
          <w:tcPr/>
          <w:p>
            <w:pPr>
              <w:pStyle w:val="Compact"/>
            </w:pPr>
            <w:r>
              <w:t xml:space="preserve">Stress, chronic illness, values conflicts, relapse-prone patterns.</w:t>
            </w:r>
          </w:p>
        </w:tc>
        <w:tc>
          <w:tcPr/>
          <w:p>
            <w:pPr>
              <w:pStyle w:val="Compact"/>
            </w:pPr>
            <w:r>
              <w:rPr>
                <w:b/>
                <w:bCs/>
              </w:rPr>
              <w:t xml:space="preserve">Moderate-to-strong</w:t>
            </w:r>
          </w:p>
        </w:tc>
      </w:tr>
      <w:tr>
        <w:tc>
          <w:tcPr/>
          <w:p>
            <w:pPr>
              <w:pStyle w:val="Compact"/>
            </w:pPr>
            <w:r>
              <w:rPr>
                <w:b/>
                <w:bCs/>
              </w:rPr>
              <w:t xml:space="preserve">Health and wellness coaching</w:t>
            </w:r>
          </w:p>
        </w:tc>
        <w:tc>
          <w:tcPr/>
          <w:p>
            <w:pPr>
              <w:pStyle w:val="Compact"/>
            </w:pPr>
            <w:r>
              <w:t xml:space="preserve">Improves quality of life, self-efficacy, self-management, and some mental-health outcomes in chronic illness care.</w:t>
            </w:r>
            <w:r>
              <w:t xml:space="preserve"> </w:t>
            </w:r>
            <w:hyperlink r:id="rId52">
              <w:r>
                <w:rPr>
                  <w:rStyle w:val="Hyperlink"/>
                </w:rPr>
                <w:t xml:space="preserve">[41]</w:t>
              </w:r>
            </w:hyperlink>
          </w:p>
        </w:tc>
        <w:tc>
          <w:tcPr/>
          <w:p>
            <w:pPr>
              <w:pStyle w:val="Compact"/>
            </w:pPr>
            <w:r>
              <w:t xml:space="preserve">Chronic disease prevention and management; behaviour support over time.</w:t>
            </w:r>
          </w:p>
        </w:tc>
        <w:tc>
          <w:tcPr/>
          <w:p>
            <w:pPr>
              <w:pStyle w:val="Compact"/>
            </w:pPr>
            <w:r>
              <w:rPr>
                <w:b/>
                <w:bCs/>
              </w:rPr>
              <w:t xml:space="preserve">Moderate-to-strong</w:t>
            </w:r>
          </w:p>
        </w:tc>
      </w:tr>
      <w:tr>
        <w:tc>
          <w:tcPr/>
          <w:p>
            <w:pPr>
              <w:pStyle w:val="Compact"/>
            </w:pPr>
            <w:r>
              <w:rPr>
                <w:b/>
                <w:bCs/>
              </w:rPr>
              <w:t xml:space="preserve">Executive/workplace coaching</w:t>
            </w:r>
          </w:p>
        </w:tc>
        <w:tc>
          <w:tcPr/>
          <w:p>
            <w:pPr>
              <w:pStyle w:val="Compact"/>
            </w:pPr>
            <w:r>
              <w:t xml:space="preserve">Moderate overall effects in RCT meta-analysis, but evidence is vulnerable to self-report and publication bias.</w:t>
            </w:r>
            <w:r>
              <w:t xml:space="preserve"> </w:t>
            </w:r>
            <w:hyperlink r:id="rId28">
              <w:r>
                <w:rPr>
                  <w:rStyle w:val="Hyperlink"/>
                </w:rPr>
                <w:t xml:space="preserve">[42]</w:t>
              </w:r>
            </w:hyperlink>
          </w:p>
        </w:tc>
        <w:tc>
          <w:tcPr/>
          <w:p>
            <w:pPr>
              <w:pStyle w:val="Compact"/>
            </w:pPr>
            <w:r>
              <w:t xml:space="preserve">Behavioural, leadership, and self-regulatory outcomes in professionals.</w:t>
            </w:r>
          </w:p>
        </w:tc>
        <w:tc>
          <w:tcPr/>
          <w:p>
            <w:pPr>
              <w:pStyle w:val="Compact"/>
            </w:pPr>
            <w:r>
              <w:rPr>
                <w:b/>
                <w:bCs/>
              </w:rPr>
              <w:t xml:space="preserve">Moderate</w:t>
            </w:r>
          </w:p>
        </w:tc>
      </w:tr>
      <w:tr>
        <w:tc>
          <w:tcPr/>
          <w:p>
            <w:pPr>
              <w:pStyle w:val="Compact"/>
            </w:pPr>
            <w:r>
              <w:rPr>
                <w:b/>
                <w:bCs/>
              </w:rPr>
              <w:t xml:space="preserve">CBT-I</w:t>
            </w:r>
          </w:p>
        </w:tc>
        <w:tc>
          <w:tcPr/>
          <w:p>
            <w:pPr>
              <w:pStyle w:val="Compact"/>
            </w:pPr>
            <w:r>
              <w:t xml:space="preserve">One of the clearest durable treatment effects in lifestyle medicine.</w:t>
            </w:r>
            <w:r>
              <w:t xml:space="preserve"> </w:t>
            </w:r>
            <w:hyperlink r:id="rId27">
              <w:r>
                <w:rPr>
                  <w:rStyle w:val="Hyperlink"/>
                </w:rPr>
                <w:t xml:space="preserve">[34]</w:t>
              </w:r>
            </w:hyperlink>
          </w:p>
        </w:tc>
        <w:tc>
          <w:tcPr/>
          <w:p>
            <w:pPr>
              <w:pStyle w:val="Compact"/>
            </w:pPr>
            <w:r>
              <w:t xml:space="preserve">Sleep disruption, burnout-related insomnia, recovery.</w:t>
            </w:r>
          </w:p>
        </w:tc>
        <w:tc>
          <w:tcPr/>
          <w:p>
            <w:pPr>
              <w:pStyle w:val="Compact"/>
            </w:pPr>
            <w:r>
              <w:rPr>
                <w:b/>
                <w:bCs/>
              </w:rPr>
              <w:t xml:space="preserve">Strong</w:t>
            </w:r>
          </w:p>
        </w:tc>
      </w:tr>
      <w:tr>
        <w:tc>
          <w:tcPr/>
          <w:p>
            <w:pPr>
              <w:pStyle w:val="Compact"/>
            </w:pPr>
            <w:r>
              <w:rPr>
                <w:b/>
                <w:bCs/>
              </w:rPr>
              <w:t xml:space="preserve">Positive psychology interventions</w:t>
            </w:r>
          </w:p>
        </w:tc>
        <w:tc>
          <w:tcPr/>
          <w:p>
            <w:pPr>
              <w:pStyle w:val="Compact"/>
            </w:pPr>
            <w:r>
              <w:t xml:space="preserve">Improve wellbeing and depressive symptoms; workplace evidence is positive but not uniformly large.</w:t>
            </w:r>
            <w:r>
              <w:t xml:space="preserve"> </w:t>
            </w:r>
            <w:hyperlink r:id="rId53">
              <w:r>
                <w:rPr>
                  <w:rStyle w:val="Hyperlink"/>
                </w:rPr>
                <w:t xml:space="preserve">[43]</w:t>
              </w:r>
            </w:hyperlink>
          </w:p>
        </w:tc>
        <w:tc>
          <w:tcPr/>
          <w:p>
            <w:pPr>
              <w:pStyle w:val="Compact"/>
            </w:pPr>
            <w:r>
              <w:t xml:space="preserve">Wellbeing enhancement, meaning, strengths, morale.</w:t>
            </w:r>
          </w:p>
        </w:tc>
        <w:tc>
          <w:tcPr/>
          <w:p>
            <w:pPr>
              <w:pStyle w:val="Compact"/>
            </w:pPr>
            <w:r>
              <w:rPr>
                <w:b/>
                <w:bCs/>
              </w:rPr>
              <w:t xml:space="preserve">Moderate</w:t>
            </w:r>
          </w:p>
        </w:tc>
      </w:tr>
      <w:tr>
        <w:tc>
          <w:tcPr/>
          <w:p>
            <w:pPr>
              <w:pStyle w:val="Compact"/>
            </w:pPr>
            <w:r>
              <w:rPr>
                <w:b/>
                <w:bCs/>
              </w:rPr>
              <w:t xml:space="preserve">Solution-focused approaches</w:t>
            </w:r>
          </w:p>
        </w:tc>
        <w:tc>
          <w:tcPr/>
          <w:p>
            <w:pPr>
              <w:pStyle w:val="Compact"/>
            </w:pPr>
            <w:r>
              <w:t xml:space="preserve">Umbrella review suggests broad psychosocial usefulness, though not primarily a health-behaviour evidence base.</w:t>
            </w:r>
            <w:r>
              <w:t xml:space="preserve"> </w:t>
            </w:r>
            <w:hyperlink r:id="rId54">
              <w:r>
                <w:rPr>
                  <w:rStyle w:val="Hyperlink"/>
                </w:rPr>
                <w:t xml:space="preserve">[44]</w:t>
              </w:r>
            </w:hyperlink>
          </w:p>
        </w:tc>
        <w:tc>
          <w:tcPr/>
          <w:p>
            <w:pPr>
              <w:pStyle w:val="Compact"/>
            </w:pPr>
            <w:r>
              <w:t xml:space="preserve">Brief coaching or therapy focused on solutions and agency.</w:t>
            </w:r>
          </w:p>
        </w:tc>
        <w:tc>
          <w:tcPr/>
          <w:p>
            <w:pPr>
              <w:pStyle w:val="Compact"/>
            </w:pPr>
            <w:r>
              <w:rPr>
                <w:b/>
                <w:bCs/>
              </w:rPr>
              <w:t xml:space="preserve">Moderate</w:t>
            </w:r>
          </w:p>
        </w:tc>
      </w:tr>
      <w:tr>
        <w:tc>
          <w:tcPr/>
          <w:p>
            <w:pPr>
              <w:pStyle w:val="Compact"/>
            </w:pPr>
            <w:r>
              <w:rPr>
                <w:b/>
                <w:bCs/>
              </w:rPr>
              <w:t xml:space="preserve">Strengths-based methods</w:t>
            </w:r>
          </w:p>
        </w:tc>
        <w:tc>
          <w:tcPr/>
          <w:p>
            <w:pPr>
              <w:pStyle w:val="Compact"/>
            </w:pPr>
            <w:r>
              <w:t xml:space="preserve">Narrative and comparative evidence is encouraging, but targeted health-behaviour evidence is much thinner than for self-regulation or habit methods.</w:t>
            </w:r>
            <w:r>
              <w:t xml:space="preserve"> </w:t>
            </w:r>
            <w:hyperlink r:id="rId55">
              <w:r>
                <w:rPr>
                  <w:rStyle w:val="Hyperlink"/>
                </w:rPr>
                <w:t xml:space="preserve">[45]</w:t>
              </w:r>
            </w:hyperlink>
          </w:p>
        </w:tc>
        <w:tc>
          <w:tcPr/>
          <w:p>
            <w:pPr>
              <w:pStyle w:val="Compact"/>
            </w:pPr>
            <w:r>
              <w:t xml:space="preserve">Engagement, confidence, meaning, workplace development.</w:t>
            </w:r>
          </w:p>
        </w:tc>
        <w:tc>
          <w:tcPr/>
          <w:p>
            <w:pPr>
              <w:pStyle w:val="Compact"/>
            </w:pPr>
            <w:r>
              <w:rPr>
                <w:b/>
                <w:bCs/>
              </w:rPr>
              <w:t xml:space="preserve">Emerging to moderate</w:t>
            </w:r>
          </w:p>
        </w:tc>
      </w:tr>
    </w:tbl>
    <w:bookmarkEnd w:id="56"/>
    <w:bookmarkEnd w:id="57"/>
    <w:bookmarkStart w:id="65" w:name="the-mechanisms-of-lasting-change"/>
    <w:p>
      <w:pPr>
        <w:pStyle w:val="Heading2"/>
      </w:pPr>
      <w:r>
        <w:t xml:space="preserve">The Mechanisms of Lasting Change</w:t>
      </w:r>
    </w:p>
    <w:bookmarkStart w:id="59" w:name="motivation-versus-identity"/>
    <w:p>
      <w:pPr>
        <w:pStyle w:val="Heading3"/>
      </w:pPr>
      <w:r>
        <w:t xml:space="preserve">Motivation versus identity</w:t>
      </w:r>
    </w:p>
    <w:p>
      <w:pPr>
        <w:pStyle w:val="FirstParagraph"/>
      </w:pPr>
      <w:r>
        <w:t xml:space="preserve">The evidence does not support a winner-takes-all framing.</w:t>
      </w:r>
      <w:r>
        <w:t xml:space="preserve"> </w:t>
      </w:r>
      <w:r>
        <w:rPr>
          <w:b/>
          <w:bCs/>
        </w:rPr>
        <w:t xml:space="preserve">Motivation</w:t>
      </w:r>
      <w:r>
        <w:t xml:space="preserve"> </w:t>
      </w:r>
      <w:r>
        <w:t xml:space="preserve">is still necessary. Without some valued reason to act, planning and habit strategies have little fuel. But motivation alone is unstable, because it fluctuates with mood, stress, time pressure, and competing rewards.</w:t>
      </w:r>
      <w:r>
        <w:t xml:space="preserve"> </w:t>
      </w:r>
      <w:r>
        <w:rPr>
          <w:b/>
          <w:bCs/>
        </w:rPr>
        <w:t xml:space="preserve">Identity</w:t>
      </w:r>
      <w:r>
        <w:t xml:space="preserve"> </w:t>
      </w:r>
      <w:r>
        <w:t xml:space="preserve">matters because it changes the meaning of the behaviour. It influences what the person notices, how they interpret discomfort, which groups they seek out, and how quickly they recover after lapses. In plain language: motivation starts movement; identity keeps returning the person to the path.</w:t>
      </w:r>
      <w:r>
        <w:t xml:space="preserve"> </w:t>
      </w:r>
      <w:hyperlink r:id="rId24">
        <w:r>
          <w:rPr>
            <w:rStyle w:val="Hyperlink"/>
          </w:rPr>
          <w:t xml:space="preserve">[46]</w:t>
        </w:r>
      </w:hyperlink>
    </w:p>
    <w:p>
      <w:pPr>
        <w:pStyle w:val="BodyText"/>
      </w:pPr>
      <w:r>
        <w:t xml:space="preserve">Self-efficacy and agency are essential bridges between values and action. Social Cognitive Theory’s lasting contribution is the demonstration that belief in capability predicts whether people persist when behaviour is difficult. SDT adds that competence works best when paired with autonomy rather than pressure. People are more likely to persist when they experience themselves as</w:t>
      </w:r>
      <w:r>
        <w:t xml:space="preserve"> </w:t>
      </w:r>
      <w:r>
        <w:rPr>
          <w:b/>
          <w:bCs/>
        </w:rPr>
        <w:t xml:space="preserve">authors</w:t>
      </w:r>
      <w:r>
        <w:t xml:space="preserve"> </w:t>
      </w:r>
      <w:r>
        <w:t xml:space="preserve">of the change, not merely targets of it.</w:t>
      </w:r>
      <w:r>
        <w:t xml:space="preserve"> </w:t>
      </w:r>
      <w:hyperlink r:id="rId46">
        <w:r>
          <w:rPr>
            <w:rStyle w:val="Hyperlink"/>
          </w:rPr>
          <w:t xml:space="preserve">[47]</w:t>
        </w:r>
      </w:hyperlink>
    </w:p>
    <w:p>
      <w:pPr>
        <w:pStyle w:val="BodyText"/>
      </w:pPr>
      <w:r>
        <w:t xml:space="preserve">Narrative identity is probably important, but the evidence here is less intervention-rich than for habit and self-efficacy. The best-supported interpretation is that people use life stories to integrate change into a coherent self: illness, success, failure, and recovery all have to be made sense of. This is one reason meaning-making, reflective writing, and coaching conversations can matter even when they do not directly “cause” behaviour. They may help the person reorganise the self-story that makes future action possible.</w:t>
      </w:r>
      <w:r>
        <w:t xml:space="preserve"> </w:t>
      </w:r>
      <w:hyperlink r:id="rId58">
        <w:r>
          <w:rPr>
            <w:rStyle w:val="Hyperlink"/>
          </w:rPr>
          <w:t xml:space="preserve">[48]</w:t>
        </w:r>
      </w:hyperlink>
    </w:p>
    <w:bookmarkEnd w:id="59"/>
    <w:bookmarkStart w:id="62" w:name="X1db9254496f617b78c364a8fdb73c8c8ac7a9db"/>
    <w:p>
      <w:pPr>
        <w:pStyle w:val="Heading3"/>
      </w:pPr>
      <w:r>
        <w:t xml:space="preserve">Well-established neuroscience and what remains speculative</w:t>
      </w:r>
    </w:p>
    <w:p>
      <w:pPr>
        <w:pStyle w:val="FirstParagraph"/>
      </w:pPr>
      <w:r>
        <w:t xml:space="preserve">The well-established part is straightforward. Repeated practice induces</w:t>
      </w:r>
      <w:r>
        <w:t xml:space="preserve"> </w:t>
      </w:r>
      <w:r>
        <w:rPr>
          <w:b/>
          <w:bCs/>
        </w:rPr>
        <w:t xml:space="preserve">experience-dependent neuroplasticity</w:t>
      </w:r>
      <w:r>
        <w:t xml:space="preserve">. Dopamine supports learning through</w:t>
      </w:r>
      <w:r>
        <w:t xml:space="preserve"> </w:t>
      </w:r>
      <w:r>
        <w:rPr>
          <w:b/>
          <w:bCs/>
        </w:rPr>
        <w:t xml:space="preserve">prediction error</w:t>
      </w:r>
      <w:r>
        <w:t xml:space="preserve"> </w:t>
      </w:r>
      <w:r>
        <w:t xml:space="preserve">signals that strengthen or weaken action tendencies depending on outcomes and context. The prefrontal cortex is vital for planning, inhibition, and working memory, while stress and poor sleep reduce the reliability of those functions. Habit learning involves context-sensitive reinforcement in corticostriatal systems, which helps explain why the same person can behave differently across environments.</w:t>
      </w:r>
      <w:r>
        <w:t xml:space="preserve"> </w:t>
      </w:r>
      <w:hyperlink r:id="rId60">
        <w:r>
          <w:rPr>
            <w:rStyle w:val="Hyperlink"/>
          </w:rPr>
          <w:t xml:space="preserve">[49]</w:t>
        </w:r>
      </w:hyperlink>
    </w:p>
    <w:p>
      <w:pPr>
        <w:pStyle w:val="BodyText"/>
      </w:pPr>
      <w:r>
        <w:t xml:space="preserve">The speculative zone is equally important to name. Outside tightly controlled lab contexts, claims that a brief insight, meditation session, or coaching conversation has “rewired the brain” are usually overstated. Memory reconsolidation is a promising concept, especially in fear and trauma-related learning, but recent reviews argue for broader theoretical caution rather than sweeping claims. Likewise, dopamine is not simply “the motivation chemical”; it is part of a more precise learning system. Overdramatic neuroscience can make coaching sound scientific while obscuring the simpler truth that repetition, emotion, context, and support are doing most of the work.</w:t>
      </w:r>
      <w:r>
        <w:t xml:space="preserve"> </w:t>
      </w:r>
      <w:hyperlink r:id="rId61">
        <w:r>
          <w:rPr>
            <w:rStyle w:val="Hyperlink"/>
          </w:rPr>
          <w:t xml:space="preserve">[50]</w:t>
        </w:r>
      </w:hyperlink>
    </w:p>
    <w:bookmarkEnd w:id="62"/>
    <w:bookmarkStart w:id="64" w:name="the-role-of-emotion"/>
    <w:p>
      <w:pPr>
        <w:pStyle w:val="Heading3"/>
      </w:pPr>
      <w:r>
        <w:t xml:space="preserve">The role of emotion</w:t>
      </w:r>
    </w:p>
    <w:p>
      <w:pPr>
        <w:pStyle w:val="FirstParagraph"/>
      </w:pPr>
      <w:r>
        <w:t xml:space="preserve">Emotion is not noise in the behaviour-change system. It is often the</w:t>
      </w:r>
      <w:r>
        <w:t xml:space="preserve"> </w:t>
      </w:r>
      <w:r>
        <w:rPr>
          <w:b/>
          <w:bCs/>
        </w:rPr>
        <w:t xml:space="preserve">engine</w:t>
      </w:r>
      <w:r>
        <w:t xml:space="preserve"> </w:t>
      </w:r>
      <w:r>
        <w:t xml:space="preserve">or the</w:t>
      </w:r>
      <w:r>
        <w:t xml:space="preserve"> </w:t>
      </w:r>
      <w:r>
        <w:rPr>
          <w:b/>
          <w:bCs/>
        </w:rPr>
        <w:t xml:space="preserve">brake</w:t>
      </w:r>
      <w:r>
        <w:t xml:space="preserve">. Fear can prompt action when paired with efficacy, but it is risky when it becomes overwhelming or shaming. Shame usually promotes concealment, self-attack, and withdrawal. Guilt is more likely to support reparative action. Self-compassion appears helpful because it reduces threat-based self-regulation and makes re-engagement after setbacks more likely. Meta-analyses show that self-compassion interventions improve psychosocial outcomes, and review work suggests self-compassion can support health self-regulation at least as well as many standard behaviour-change strategies.</w:t>
      </w:r>
      <w:r>
        <w:t xml:space="preserve"> </w:t>
      </w:r>
      <w:hyperlink r:id="rId32">
        <w:r>
          <w:rPr>
            <w:rStyle w:val="Hyperlink"/>
          </w:rPr>
          <w:t xml:space="preserve">[51]</w:t>
        </w:r>
      </w:hyperlink>
    </w:p>
    <w:p>
      <w:pPr>
        <w:pStyle w:val="BodyText"/>
      </w:pPr>
      <w:r>
        <w:t xml:space="preserve">Hope, curiosity, inspiration, and awe are promising but less directly tested as engines of durable lifestyle change. The available evidence supports them more clearly as wellbeing or exploratory states than as independently validated behaviour-change levers. Still, they likely matter because they expand attention, reduce defensive narrowing, and help people imagine a better future self. In executive coaching, that makes them valuable complements to planning and accountability, not substitutes for them. The evidence here is</w:t>
      </w:r>
      <w:r>
        <w:t xml:space="preserve"> </w:t>
      </w:r>
      <w:r>
        <w:rPr>
          <w:b/>
          <w:bCs/>
        </w:rPr>
        <w:t xml:space="preserve">emerging</w:t>
      </w:r>
      <w:r>
        <w:t xml:space="preserve">, not definitive.</w:t>
      </w:r>
      <w:r>
        <w:t xml:space="preserve"> </w:t>
      </w:r>
      <w:hyperlink r:id="rId63">
        <w:r>
          <w:rPr>
            <w:rStyle w:val="Hyperlink"/>
          </w:rPr>
          <w:t xml:space="preserve">[52]</w:t>
        </w:r>
      </w:hyperlink>
    </w:p>
    <w:bookmarkEnd w:id="64"/>
    <w:bookmarkEnd w:id="65"/>
    <w:bookmarkStart w:id="79" w:name="X679dcd1a9283771f3de9697bb8d034bd025effc"/>
    <w:p>
      <w:pPr>
        <w:pStyle w:val="Heading2"/>
      </w:pPr>
      <w:r>
        <w:t xml:space="preserve">Lifestyle Medicine, Social Context, and Transformational Experiences</w:t>
      </w:r>
    </w:p>
    <w:bookmarkStart w:id="73" w:name="X76794d814d3cead16fdc44bf42222d22b0bcab9"/>
    <w:p>
      <w:pPr>
        <w:pStyle w:val="Heading3"/>
      </w:pPr>
      <w:r>
        <w:t xml:space="preserve">Which interventions produce lasting outcomes in lifestyle medicine</w:t>
      </w:r>
    </w:p>
    <w:p>
      <w:pPr>
        <w:pStyle w:val="FirstParagraph"/>
      </w:pPr>
      <w:r>
        <w:t xml:space="preserve">For</w:t>
      </w:r>
      <w:r>
        <w:t xml:space="preserve"> </w:t>
      </w:r>
      <w:r>
        <w:rPr>
          <w:b/>
          <w:bCs/>
        </w:rPr>
        <w:t xml:space="preserve">sleep</w:t>
      </w:r>
      <w:r>
        <w:t xml:space="preserve">, CBT-I is among the strongest cases in behavioural medicine. Major reviews and guidelines recommend multicomponent CBT-I as the first-line treatment for chronic insomnia, and component network meta-analysis indicates that cognitive restructuring, third-wave elements, sleep restriction, and stimulus control are the active ingredients, while sleep hygiene education alone is not enough. Digital CBT-I works, often with moderate-to-large effects, but therapist-supported formats still outperform purely automated ones.</w:t>
      </w:r>
      <w:r>
        <w:t xml:space="preserve"> </w:t>
      </w:r>
      <w:hyperlink r:id="rId27">
        <w:r>
          <w:rPr>
            <w:rStyle w:val="Hyperlink"/>
          </w:rPr>
          <w:t xml:space="preserve">[53]</w:t>
        </w:r>
      </w:hyperlink>
    </w:p>
    <w:p>
      <w:pPr>
        <w:pStyle w:val="BodyText"/>
      </w:pPr>
      <w:r>
        <w:t xml:space="preserve">For</w:t>
      </w:r>
      <w:r>
        <w:t xml:space="preserve"> </w:t>
      </w:r>
      <w:r>
        <w:rPr>
          <w:b/>
          <w:bCs/>
        </w:rPr>
        <w:t xml:space="preserve">physical activity</w:t>
      </w:r>
      <w:r>
        <w:t xml:space="preserve">, lasting change is most likely when interventions combine self-monitoring, goals, action planning, prompts, and habit formation, rather than relying on education alone. Habit-formation interventions produce modest but meaningful gains in physical-activity habit strength, and stand-alone digital behaviour-change interventions show small-to-moderate improvements in activity and body metrics, especially when they include frequent contact and clear behaviour-regulation tools.</w:t>
      </w:r>
      <w:r>
        <w:t xml:space="preserve"> </w:t>
      </w:r>
      <w:hyperlink r:id="rId66">
        <w:r>
          <w:rPr>
            <w:rStyle w:val="Hyperlink"/>
          </w:rPr>
          <w:t xml:space="preserve">[54]</w:t>
        </w:r>
      </w:hyperlink>
    </w:p>
    <w:p>
      <w:pPr>
        <w:pStyle w:val="BodyText"/>
      </w:pPr>
      <w:r>
        <w:t xml:space="preserve">For</w:t>
      </w:r>
      <w:r>
        <w:t xml:space="preserve"> </w:t>
      </w:r>
      <w:r>
        <w:rPr>
          <w:b/>
          <w:bCs/>
        </w:rPr>
        <w:t xml:space="preserve">nutrition</w:t>
      </w:r>
      <w:r>
        <w:t xml:space="preserve">, the clearest pattern is that information-only approaches are weaker than behaviourally designed ones. Technology-supported sodium-reduction interventions, for example, reduce sodium intake and modestly lower blood pressure, with more frequent contact associated with stronger effects. In diet more broadly, self-monitoring, feedback, and action planning are among the most repeatably useful ingredients.</w:t>
      </w:r>
      <w:r>
        <w:t xml:space="preserve"> </w:t>
      </w:r>
      <w:hyperlink r:id="rId67">
        <w:r>
          <w:rPr>
            <w:rStyle w:val="Hyperlink"/>
          </w:rPr>
          <w:t xml:space="preserve">[55]</w:t>
        </w:r>
      </w:hyperlink>
    </w:p>
    <w:p>
      <w:pPr>
        <w:pStyle w:val="BodyText"/>
      </w:pPr>
      <w:r>
        <w:t xml:space="preserve">For</w:t>
      </w:r>
      <w:r>
        <w:t xml:space="preserve"> </w:t>
      </w:r>
      <w:r>
        <w:rPr>
          <w:b/>
          <w:bCs/>
        </w:rPr>
        <w:t xml:space="preserve">smoking cessation</w:t>
      </w:r>
      <w:r>
        <w:t xml:space="preserve">, the evidence is unusually clear that combined behavioural and pharmacological support works better than minimal advice or either component alone. High-quality Cochrane evidence suggests the chance of quitting after at least six months rises by around 70–100% compared with brief advice or less support when medication is combined with behavioural treatment. WHO’s 2024 guideline also emphasises evidence-based behavioural and pharmacological treatment together.</w:t>
      </w:r>
      <w:r>
        <w:t xml:space="preserve"> </w:t>
      </w:r>
      <w:hyperlink r:id="rId68">
        <w:r>
          <w:rPr>
            <w:rStyle w:val="Hyperlink"/>
          </w:rPr>
          <w:t xml:space="preserve">[56]</w:t>
        </w:r>
      </w:hyperlink>
    </w:p>
    <w:p>
      <w:pPr>
        <w:pStyle w:val="BodyText"/>
      </w:pPr>
      <w:r>
        <w:t xml:space="preserve">For</w:t>
      </w:r>
      <w:r>
        <w:t xml:space="preserve"> </w:t>
      </w:r>
      <w:r>
        <w:rPr>
          <w:b/>
          <w:bCs/>
        </w:rPr>
        <w:t xml:space="preserve">alcohol reduction</w:t>
      </w:r>
      <w:r>
        <w:t xml:space="preserve">, brief interventions in primary care reduce harmful drinking better than minimal or no intervention, especially for hazardous or non-dependent drinkers. Motivational approaches appear useful here, but again, the evidence is strongest for short and moderate reductions rather than dramatic transformations in all populations. In higher-severity cases, brief motivational work usually needs to be part of a wider treatment package.</w:t>
      </w:r>
      <w:r>
        <w:t xml:space="preserve"> </w:t>
      </w:r>
      <w:hyperlink r:id="rId69">
        <w:r>
          <w:rPr>
            <w:rStyle w:val="Hyperlink"/>
          </w:rPr>
          <w:t xml:space="preserve">[57]</w:t>
        </w:r>
      </w:hyperlink>
    </w:p>
    <w:p>
      <w:pPr>
        <w:pStyle w:val="BodyText"/>
      </w:pPr>
      <w:r>
        <w:t xml:space="preserve">For</w:t>
      </w:r>
      <w:r>
        <w:t xml:space="preserve"> </w:t>
      </w:r>
      <w:r>
        <w:rPr>
          <w:b/>
          <w:bCs/>
        </w:rPr>
        <w:t xml:space="preserve">weight management</w:t>
      </w:r>
      <w:r>
        <w:t xml:space="preserve">, structured behavioural lifestyle interventions work best when they are multicomponent and ongoing. Recent synthesis suggests that structured programmes with frequent feedback and support can produce clinically meaningful weight loss, and guidelines continue to emphasise comprehensive behavioural management rather than education alone. But relapse is common when the post-programme environment goes unchanged.</w:t>
      </w:r>
      <w:r>
        <w:t xml:space="preserve"> </w:t>
      </w:r>
      <w:hyperlink r:id="rId70">
        <w:r>
          <w:rPr>
            <w:rStyle w:val="Hyperlink"/>
          </w:rPr>
          <w:t xml:space="preserve">[58]</w:t>
        </w:r>
      </w:hyperlink>
    </w:p>
    <w:p>
      <w:pPr>
        <w:pStyle w:val="BodyText"/>
      </w:pPr>
      <w:r>
        <w:t xml:space="preserve">For</w:t>
      </w:r>
      <w:r>
        <w:t xml:space="preserve"> </w:t>
      </w:r>
      <w:r>
        <w:rPr>
          <w:b/>
          <w:bCs/>
        </w:rPr>
        <w:t xml:space="preserve">chronic disease prevention</w:t>
      </w:r>
      <w:r>
        <w:t xml:space="preserve">, the long-term Diabetes Prevention Program remains a landmark. The original intensive lifestyle intervention reduced diabetes incidence far more than metformin in the initial trial, and 21-year follow-up still shows sustained reductions in cumulative diabetes incidence, with the largest absolute effects in those at higher baseline risk. This is one of the best examples that relatively short periods of high-quality behavioural support can have durable downstream effects if they meaningfully change early behaviour trajectories.</w:t>
      </w:r>
      <w:r>
        <w:t xml:space="preserve"> </w:t>
      </w:r>
      <w:hyperlink r:id="rId71">
        <w:r>
          <w:rPr>
            <w:rStyle w:val="Hyperlink"/>
          </w:rPr>
          <w:t xml:space="preserve">[59]</w:t>
        </w:r>
      </w:hyperlink>
    </w:p>
    <w:p>
      <w:pPr>
        <w:pStyle w:val="BodyText"/>
      </w:pPr>
      <w:r>
        <w:t xml:space="preserve">For</w:t>
      </w:r>
      <w:r>
        <w:t xml:space="preserve"> </w:t>
      </w:r>
      <w:r>
        <w:rPr>
          <w:b/>
          <w:bCs/>
        </w:rPr>
        <w:t xml:space="preserve">burnout recovery</w:t>
      </w:r>
      <w:r>
        <w:t xml:space="preserve">, individual interventions such as mindfulness can reduce burnout symptoms, but they are not enough if organisational drivers remain unchanged. The evidence base supports both individual and system-level methods, with organisational interventions particularly relevant because they address workload, autonomy, and workflow. This matters enormously for executive healthspan, where burnout is often sustained by role demands and culture, not only by individual coping deficits.</w:t>
      </w:r>
      <w:r>
        <w:t xml:space="preserve"> </w:t>
      </w:r>
      <w:hyperlink r:id="rId72">
        <w:r>
          <w:rPr>
            <w:rStyle w:val="Hyperlink"/>
          </w:rPr>
          <w:t xml:space="preserve">[60]</w:t>
        </w:r>
      </w:hyperlink>
    </w:p>
    <w:bookmarkEnd w:id="73"/>
    <w:bookmarkStart w:id="75" w:name="social-and-environmental-influences"/>
    <w:p>
      <w:pPr>
        <w:pStyle w:val="Heading3"/>
      </w:pPr>
      <w:r>
        <w:t xml:space="preserve">Social and environmental influences</w:t>
      </w:r>
    </w:p>
    <w:p>
      <w:pPr>
        <w:pStyle w:val="FirstParagraph"/>
      </w:pPr>
      <w:r>
        <w:t xml:space="preserve">Relationships and environments shape behaviour through norms, accountability, identity, and friction. A large 2024 meta-analysis found a small but reliable positive association between social identity and health-related behaviour, stronger when the identity itself is health-relevant. Put simply: groups do not merely support behaviour; they define what behaviour means. This is why running groups, alcohol-sparse peer cultures, family meal rituals, or “culture of health” workplaces often matter more than more information.</w:t>
      </w:r>
      <w:r>
        <w:t xml:space="preserve"> </w:t>
      </w:r>
      <w:hyperlink r:id="rId33">
        <w:r>
          <w:rPr>
            <w:rStyle w:val="Hyperlink"/>
          </w:rPr>
          <w:t xml:space="preserve">[61]</w:t>
        </w:r>
      </w:hyperlink>
    </w:p>
    <w:p>
      <w:pPr>
        <w:pStyle w:val="BodyText"/>
      </w:pPr>
      <w:r>
        <w:t xml:space="preserve">Supportive accountability is one of the most practically useful concepts in coaching and digital health. Evidence suggests that adherence improves when a person feels accountable to someone who is trustworthy, benevolent, and competent, with clear and collaboratively set expectations. Accountability works best when it supports autonomy rather than surveillance.</w:t>
      </w:r>
      <w:r>
        <w:t xml:space="preserve"> </w:t>
      </w:r>
      <w:hyperlink r:id="rId74">
        <w:r>
          <w:rPr>
            <w:rStyle w:val="Hyperlink"/>
          </w:rPr>
          <w:t xml:space="preserve">[62]</w:t>
        </w:r>
      </w:hyperlink>
    </w:p>
    <w:bookmarkEnd w:id="75"/>
    <w:bookmarkStart w:id="78" w:name="transformational-experiences"/>
    <w:p>
      <w:pPr>
        <w:pStyle w:val="Heading3"/>
      </w:pPr>
      <w:r>
        <w:t xml:space="preserve">Transformational experiences</w:t>
      </w:r>
    </w:p>
    <w:p>
      <w:pPr>
        <w:pStyle w:val="FirstParagraph"/>
      </w:pPr>
      <w:r>
        <w:t xml:space="preserve">Transformational experiences often work because they do three things at once: they</w:t>
      </w:r>
      <w:r>
        <w:t xml:space="preserve"> </w:t>
      </w:r>
      <w:r>
        <w:rPr>
          <w:b/>
          <w:bCs/>
        </w:rPr>
        <w:t xml:space="preserve">disrupt routine</w:t>
      </w:r>
      <w:r>
        <w:t xml:space="preserve">,</w:t>
      </w:r>
      <w:r>
        <w:t xml:space="preserve"> </w:t>
      </w:r>
      <w:r>
        <w:rPr>
          <w:b/>
          <w:bCs/>
        </w:rPr>
        <w:t xml:space="preserve">heighten salience</w:t>
      </w:r>
      <w:r>
        <w:t xml:space="preserve">, and</w:t>
      </w:r>
      <w:r>
        <w:t xml:space="preserve"> </w:t>
      </w:r>
      <w:r>
        <w:rPr>
          <w:b/>
          <w:bCs/>
        </w:rPr>
        <w:t xml:space="preserve">reorganise identity</w:t>
      </w:r>
      <w:r>
        <w:t xml:space="preserve">. Illness, burnout, parenthood, meditation retreats, significant relationships, and some spiritual experiences all can do this. Post-traumatic growth research supports the existence of enduring positive change after adversity, but it is not automatic and may coexist with distress. The strongest interpretation is that adversity can become developmental when people can make meaning, regain agency, and rebuild social identity and daily practices around the new reality.</w:t>
      </w:r>
      <w:r>
        <w:t xml:space="preserve"> </w:t>
      </w:r>
      <w:hyperlink r:id="rId76">
        <w:r>
          <w:rPr>
            <w:rStyle w:val="Hyperlink"/>
          </w:rPr>
          <w:t xml:space="preserve">[63]</w:t>
        </w:r>
      </w:hyperlink>
    </w:p>
    <w:p>
      <w:pPr>
        <w:pStyle w:val="BodyText"/>
      </w:pPr>
      <w:r>
        <w:t xml:space="preserve">Evidence for</w:t>
      </w:r>
      <w:r>
        <w:t xml:space="preserve"> </w:t>
      </w:r>
      <w:r>
        <w:rPr>
          <w:b/>
          <w:bCs/>
        </w:rPr>
        <w:t xml:space="preserve">psychedelic-triggered behaviour change</w:t>
      </w:r>
      <w:r>
        <w:t xml:space="preserve"> </w:t>
      </w:r>
      <w:r>
        <w:t xml:space="preserve">is intriguing but still early. Survey and observational work reports self-described positive changes in health behaviours after psychedelic experiences, and substance-use treatment research is active, but this is not yet a robust base for general coaching claims about transformation. Lasting effects probably depend on integration, context, expectations, and follow-up behaviour, not the acute experience alone. This area should be treated as</w:t>
      </w:r>
      <w:r>
        <w:t xml:space="preserve"> </w:t>
      </w:r>
      <w:r>
        <w:rPr>
          <w:b/>
          <w:bCs/>
        </w:rPr>
        <w:t xml:space="preserve">emerging evidence</w:t>
      </w:r>
      <w:r>
        <w:t xml:space="preserve">, not settled science.</w:t>
      </w:r>
      <w:r>
        <w:t xml:space="preserve"> </w:t>
      </w:r>
      <w:hyperlink r:id="rId77">
        <w:r>
          <w:rPr>
            <w:rStyle w:val="Hyperlink"/>
          </w:rPr>
          <w:t xml:space="preserve">[64]</w:t>
        </w:r>
      </w:hyperlink>
    </w:p>
    <w:bookmarkEnd w:id="78"/>
    <w:bookmarkEnd w:id="79"/>
    <w:bookmarkStart w:id="85" w:name="X7c88daf7f5b499dbde5ce9069dd29ff191468bd"/>
    <w:p>
      <w:pPr>
        <w:pStyle w:val="Heading2"/>
      </w:pPr>
      <w:r>
        <w:t xml:space="preserve">Implications for Coaching Practice and Executive Healthspan</w:t>
      </w:r>
    </w:p>
    <w:bookmarkStart w:id="80" w:name="Xcf0a4f46cb99f1a19f4cc50675a4810f8c3ebb2"/>
    <w:p>
      <w:pPr>
        <w:pStyle w:val="Heading3"/>
      </w:pPr>
      <w:r>
        <w:t xml:space="preserve">What successful coaching approaches have in common</w:t>
      </w:r>
    </w:p>
    <w:p>
      <w:pPr>
        <w:pStyle w:val="FirstParagraph"/>
      </w:pPr>
      <w:r>
        <w:t xml:space="preserve">Across health coaching, executive coaching, MI, ACT, CBT, positive psychology, and solution-focused practice, the common mechanisms are more important than the labels. Successful approaches tend to: strengthen alliance; increase autonomous reasons for change; surface discrepancy between current action and valued identity; convert aspiration into specific plans; use feedback and self-monitoring; redesign the environment; draw on social support; and treat setbacks as data rather than moral failure. That pattern is visible across coaching meta-analyses, SDT, implementation-intention research, and supportive-accountability work.</w:t>
      </w:r>
      <w:r>
        <w:t xml:space="preserve"> </w:t>
      </w:r>
      <w:hyperlink r:id="rId28">
        <w:r>
          <w:rPr>
            <w:rStyle w:val="Hyperlink"/>
          </w:rPr>
          <w:t xml:space="preserve">[65]</w:t>
        </w:r>
      </w:hyperlink>
    </w:p>
    <w:p>
      <w:pPr>
        <w:pStyle w:val="BodyText"/>
      </w:pPr>
      <w:r>
        <w:t xml:space="preserve">A practical implication is that</w:t>
      </w:r>
      <w:r>
        <w:t xml:space="preserve"> </w:t>
      </w:r>
      <w:r>
        <w:rPr>
          <w:b/>
          <w:bCs/>
        </w:rPr>
        <w:t xml:space="preserve">readiness should not be manipulated</w:t>
      </w:r>
      <w:r>
        <w:t xml:space="preserve">. Ethical coaching increases readiness by clarifying values, reducing ambiguity, increasing competence, and making the next step safe and concrete. MI is particularly useful here, but only when used as an autonomy-supportive method rather than as a clever persuasion technology.</w:t>
      </w:r>
      <w:r>
        <w:t xml:space="preserve"> </w:t>
      </w:r>
      <w:hyperlink r:id="rId48">
        <w:r>
          <w:rPr>
            <w:rStyle w:val="Hyperlink"/>
          </w:rPr>
          <w:t xml:space="preserve">[66]</w:t>
        </w:r>
      </w:hyperlink>
    </w:p>
    <w:bookmarkEnd w:id="80"/>
    <w:bookmarkStart w:id="81" w:name="X27eadd6d5e96a741e70ff6178454a86c2dc37a5"/>
    <w:p>
      <w:pPr>
        <w:pStyle w:val="Heading3"/>
      </w:pPr>
      <w:r>
        <w:t xml:space="preserve">Why executives delay health behaviour change</w:t>
      </w:r>
    </w:p>
    <w:p>
      <w:pPr>
        <w:pStyle w:val="FirstParagraph"/>
      </w:pPr>
      <w:r>
        <w:t xml:space="preserve">The literature does not single out executives as a biologically different group, but it strongly supports several</w:t>
      </w:r>
      <w:r>
        <w:t xml:space="preserve"> </w:t>
      </w:r>
      <w:r>
        <w:rPr>
          <w:b/>
          <w:bCs/>
        </w:rPr>
        <w:t xml:space="preserve">plausible mechanisms</w:t>
      </w:r>
      <w:r>
        <w:t xml:space="preserve"> </w:t>
      </w:r>
      <w:r>
        <w:t xml:space="preserve">for executive delay. This is partly an inference from the evidence and should be read as such. Executives often operate in environments with chronic overload, high role salience, low recovery, strong social norms for availability, and reward systems that privilege urgent performance over long-term health. Those conditions increase present bias, reduce executive bandwidth for self-regulation, and can turn health into “another task” rather than a core identity commitment. Burnout and work-culture evidence strongly support this interpretation.</w:t>
      </w:r>
      <w:r>
        <w:t xml:space="preserve"> </w:t>
      </w:r>
      <w:hyperlink r:id="rId72">
        <w:r>
          <w:rPr>
            <w:rStyle w:val="Hyperlink"/>
          </w:rPr>
          <w:t xml:space="preserve">[67]</w:t>
        </w:r>
      </w:hyperlink>
    </w:p>
    <w:p>
      <w:pPr>
        <w:pStyle w:val="BodyText"/>
      </w:pPr>
      <w:r>
        <w:t xml:space="preserve">Intelligence and resources do not solve this automatically. In fact, they can enable more sophisticated rationalisation: outsourcing recovery, postponing health until after the next raise, using busyness as identity protection, or interpreting stress tolerance as virtue. When health change threatens the executive self-story of indispensability, self-sacrifice, or constant optimisation, delay becomes psychologically coherent even when it is physiologically costly. This is consistent with the identity and self-regulation evidence, though direct executive-specific causal evidence remains limited.</w:t>
      </w:r>
      <w:r>
        <w:t xml:space="preserve"> </w:t>
      </w:r>
      <w:hyperlink r:id="rId33">
        <w:r>
          <w:rPr>
            <w:rStyle w:val="Hyperlink"/>
          </w:rPr>
          <w:t xml:space="preserve">[68]</w:t>
        </w:r>
      </w:hyperlink>
    </w:p>
    <w:bookmarkEnd w:id="81"/>
    <w:bookmarkStart w:id="82" w:name="X4a4b582b1925acf0f3dee91e5eb4e2f33689998"/>
    <w:p>
      <w:pPr>
        <w:pStyle w:val="Heading3"/>
      </w:pPr>
      <w:r>
        <w:t xml:space="preserve">What works best in high-pressure environments</w:t>
      </w:r>
    </w:p>
    <w:p>
      <w:pPr>
        <w:pStyle w:val="FirstParagraph"/>
      </w:pPr>
      <w:r>
        <w:t xml:space="preserve">For founders and senior leaders, the best-fitting interventions usually have five features. They are</w:t>
      </w:r>
      <w:r>
        <w:t xml:space="preserve"> </w:t>
      </w:r>
      <w:r>
        <w:rPr>
          <w:b/>
          <w:bCs/>
        </w:rPr>
        <w:t xml:space="preserve">brief enough to execute under load</w:t>
      </w:r>
      <w:r>
        <w:t xml:space="preserve">,</w:t>
      </w:r>
      <w:r>
        <w:t xml:space="preserve"> </w:t>
      </w:r>
      <w:r>
        <w:rPr>
          <w:b/>
          <w:bCs/>
        </w:rPr>
        <w:t xml:space="preserve">structured enough to reduce decision cost</w:t>
      </w:r>
      <w:r>
        <w:t xml:space="preserve">,</w:t>
      </w:r>
      <w:r>
        <w:t xml:space="preserve"> </w:t>
      </w:r>
      <w:r>
        <w:rPr>
          <w:b/>
          <w:bCs/>
        </w:rPr>
        <w:t xml:space="preserve">identity-congruent</w:t>
      </w:r>
      <w:r>
        <w:t xml:space="preserve">,</w:t>
      </w:r>
      <w:r>
        <w:t xml:space="preserve"> </w:t>
      </w:r>
      <w:r>
        <w:rPr>
          <w:b/>
          <w:bCs/>
        </w:rPr>
        <w:t xml:space="preserve">socially reinforced</w:t>
      </w:r>
      <w:r>
        <w:t xml:space="preserve">, and</w:t>
      </w:r>
      <w:r>
        <w:t xml:space="preserve"> </w:t>
      </w:r>
      <w:r>
        <w:rPr>
          <w:b/>
          <w:bCs/>
        </w:rPr>
        <w:t xml:space="preserve">designed for rapid recovery from disruption</w:t>
      </w:r>
      <w:r>
        <w:t xml:space="preserve">. In practice that means if–then plans, sleep protection, default calendars for movement, friction-reducing nutrition systems, small daily recovery rituals, trusted accountability, and pre-agreed setback rules. This is the environment where implementation intentions, habit design, supportive accountability, and health coaching are especially useful.</w:t>
      </w:r>
      <w:r>
        <w:t xml:space="preserve"> </w:t>
      </w:r>
      <w:hyperlink r:id="rId47">
        <w:r>
          <w:rPr>
            <w:rStyle w:val="Hyperlink"/>
          </w:rPr>
          <w:t xml:space="preserve">[69]</w:t>
        </w:r>
      </w:hyperlink>
    </w:p>
    <w:bookmarkEnd w:id="82"/>
    <w:bookmarkStart w:id="84" w:name="X29594aff1809197276bd2ad305b85fcb348ad22"/>
    <w:p>
      <w:pPr>
        <w:pStyle w:val="Heading3"/>
      </w:pPr>
      <w:r>
        <w:t xml:space="preserve">Implications for O!Sapiens and Sapiens OS Healthspan</w:t>
      </w:r>
    </w:p>
    <w:p>
      <w:pPr>
        <w:pStyle w:val="FirstParagraph"/>
      </w:pPr>
      <w:r>
        <w:t xml:space="preserve">As an evidence-based design inference, a healthspan platform for leaders should not be built as a content library plus reminders. It should function as a</w:t>
      </w:r>
      <w:r>
        <w:t xml:space="preserve"> </w:t>
      </w:r>
      <w:r>
        <w:rPr>
          <w:b/>
          <w:bCs/>
        </w:rPr>
        <w:t xml:space="preserve">behavioural operating system</w:t>
      </w:r>
      <w:r>
        <w:t xml:space="preserve"> </w:t>
      </w:r>
      <w:r>
        <w:t xml:space="preserve">with the following layers:</w:t>
      </w:r>
    </w:p>
    <w:p>
      <w:pPr>
        <w:pStyle w:val="BodyText"/>
      </w:pPr>
      <w:r>
        <w:t xml:space="preserve">A</w:t>
      </w:r>
      <w:r>
        <w:t xml:space="preserve"> </w:t>
      </w:r>
      <w:r>
        <w:rPr>
          <w:b/>
          <w:bCs/>
        </w:rPr>
        <w:t xml:space="preserve">readiness and constraint diagnostic</w:t>
      </w:r>
      <w:r>
        <w:t xml:space="preserve"> </w:t>
      </w:r>
      <w:r>
        <w:t xml:space="preserve">that distinguishes motivation, capacity, and opportunity problems rather than assuming low motivation. That maps well to COM-B logic and the intention–behaviour literature.</w:t>
      </w:r>
      <w:r>
        <w:t xml:space="preserve"> </w:t>
      </w:r>
      <w:hyperlink r:id="rId22">
        <w:r>
          <w:rPr>
            <w:rStyle w:val="Hyperlink"/>
          </w:rPr>
          <w:t xml:space="preserve">[70]</w:t>
        </w:r>
      </w:hyperlink>
    </w:p>
    <w:p>
      <w:pPr>
        <w:pStyle w:val="BodyText"/>
      </w:pPr>
      <w:r>
        <w:t xml:space="preserve">An</w:t>
      </w:r>
      <w:r>
        <w:t xml:space="preserve"> </w:t>
      </w:r>
      <w:r>
        <w:rPr>
          <w:b/>
          <w:bCs/>
        </w:rPr>
        <w:t xml:space="preserve">identity and values layer</w:t>
      </w:r>
      <w:r>
        <w:t xml:space="preserve"> </w:t>
      </w:r>
      <w:r>
        <w:t xml:space="preserve">that links sleep, exercise, recovery, and alcohol boundaries to the leader’s professional identity, relationships, and mission, not only to biomarkers. This is where SDT, identity research, and ACT are most relevant.</w:t>
      </w:r>
      <w:r>
        <w:t xml:space="preserve"> </w:t>
      </w:r>
      <w:hyperlink r:id="rId24">
        <w:r>
          <w:rPr>
            <w:rStyle w:val="Hyperlink"/>
          </w:rPr>
          <w:t xml:space="preserve">[71]</w:t>
        </w:r>
      </w:hyperlink>
    </w:p>
    <w:p>
      <w:pPr>
        <w:pStyle w:val="BodyText"/>
      </w:pPr>
      <w:r>
        <w:t xml:space="preserve">A</w:t>
      </w:r>
      <w:r>
        <w:t xml:space="preserve"> </w:t>
      </w:r>
      <w:r>
        <w:rPr>
          <w:b/>
          <w:bCs/>
        </w:rPr>
        <w:t xml:space="preserve">self-regulation layer</w:t>
      </w:r>
      <w:r>
        <w:t xml:space="preserve"> </w:t>
      </w:r>
      <w:r>
        <w:t xml:space="preserve">centred on self-monitoring, implementation intentions, goal revision, and feedback. These are among the most repeatedly supported active ingredients across health behaviour research.</w:t>
      </w:r>
      <w:r>
        <w:t xml:space="preserve"> </w:t>
      </w:r>
      <w:hyperlink r:id="rId51">
        <w:r>
          <w:rPr>
            <w:rStyle w:val="Hyperlink"/>
          </w:rPr>
          <w:t xml:space="preserve">[39]</w:t>
        </w:r>
      </w:hyperlink>
    </w:p>
    <w:p>
      <w:pPr>
        <w:pStyle w:val="BodyText"/>
      </w:pPr>
      <w:r>
        <w:t xml:space="preserve">An</w:t>
      </w:r>
      <w:r>
        <w:t xml:space="preserve"> </w:t>
      </w:r>
      <w:r>
        <w:rPr>
          <w:b/>
          <w:bCs/>
        </w:rPr>
        <w:t xml:space="preserve">environmental design layer</w:t>
      </w:r>
      <w:r>
        <w:t xml:space="preserve"> </w:t>
      </w:r>
      <w:r>
        <w:t xml:space="preserve">that reduces friction in calendars, travel, food decisions, alcohol exposure, and recovery opportunities, because executives fail as much from environmental architecture as from weak intention.</w:t>
      </w:r>
      <w:r>
        <w:t xml:space="preserve"> </w:t>
      </w:r>
      <w:hyperlink r:id="rId31">
        <w:r>
          <w:rPr>
            <w:rStyle w:val="Hyperlink"/>
          </w:rPr>
          <w:t xml:space="preserve">[72]</w:t>
        </w:r>
      </w:hyperlink>
    </w:p>
    <w:p>
      <w:pPr>
        <w:pStyle w:val="BodyText"/>
      </w:pPr>
      <w:r>
        <w:t xml:space="preserve">A</w:t>
      </w:r>
      <w:r>
        <w:t xml:space="preserve"> </w:t>
      </w:r>
      <w:r>
        <w:rPr>
          <w:b/>
          <w:bCs/>
        </w:rPr>
        <w:t xml:space="preserve">supportive-accountability layer</w:t>
      </w:r>
      <w:r>
        <w:t xml:space="preserve"> </w:t>
      </w:r>
      <w:r>
        <w:t xml:space="preserve">using coach, peer, partner, or team accountability in an autonomy-supportive style.</w:t>
      </w:r>
      <w:r>
        <w:t xml:space="preserve"> </w:t>
      </w:r>
      <w:hyperlink r:id="rId74">
        <w:r>
          <w:rPr>
            <w:rStyle w:val="Hyperlink"/>
          </w:rPr>
          <w:t xml:space="preserve">[73]</w:t>
        </w:r>
      </w:hyperlink>
    </w:p>
    <w:p>
      <w:pPr>
        <w:pStyle w:val="BodyText"/>
      </w:pPr>
      <w:r>
        <w:t xml:space="preserve">A</w:t>
      </w:r>
      <w:r>
        <w:t xml:space="preserve"> </w:t>
      </w:r>
      <w:r>
        <w:rPr>
          <w:b/>
          <w:bCs/>
        </w:rPr>
        <w:t xml:space="preserve">relapse and recovery layer</w:t>
      </w:r>
      <w:r>
        <w:t xml:space="preserve"> </w:t>
      </w:r>
      <w:r>
        <w:t xml:space="preserve">that treats breaks in routine as expected and teaches rapid re-entry, since behavioural flexibility predicts maintenance better than perfectionism.</w:t>
      </w:r>
      <w:r>
        <w:t xml:space="preserve"> </w:t>
      </w:r>
      <w:hyperlink r:id="rId83">
        <w:r>
          <w:rPr>
            <w:rStyle w:val="Hyperlink"/>
          </w:rPr>
          <w:t xml:space="preserve">[74]</w:t>
        </w:r>
      </w:hyperlink>
    </w:p>
    <w:bookmarkEnd w:id="84"/>
    <w:bookmarkEnd w:id="85"/>
    <w:bookmarkStart w:id="94" w:name="X203cb753e537b58de499fc30641357567ac2f6e"/>
    <w:p>
      <w:pPr>
        <w:pStyle w:val="Heading2"/>
      </w:pPr>
      <w:r>
        <w:t xml:space="preserve">Integrated Framework, Foundational Papers, and Open Questions</w:t>
      </w:r>
    </w:p>
    <w:bookmarkStart w:id="87" w:name="X81b01f29c412ff30606af5bc1339782bfa2212d"/>
    <w:p>
      <w:pPr>
        <w:pStyle w:val="Heading3"/>
      </w:pPr>
      <w:r>
        <w:t xml:space="preserve">Integrated framework for sustainable change</w:t>
      </w:r>
    </w:p>
    <w:p>
      <w:pPr>
        <w:pStyle w:val="FirstParagraph"/>
      </w:pPr>
      <w:r>
        <w:t xml:space="preserve">A compact, evidence-based framework for lasting human change can be expressed as five linked mechanisms.</w:t>
      </w:r>
    </w:p>
    <w:p>
      <w:pPr>
        <w:pStyle w:val="BodyText"/>
      </w:pPr>
      <w:r>
        <w:rPr>
          <w:b/>
          <w:bCs/>
        </w:rPr>
        <w:t xml:space="preserve">Salience</w:t>
      </w:r>
      <w:r>
        <w:t xml:space="preserve">. Something must become important enough to interrupt autopilot now, not merely in the abstract future. This can come from illness, social comparison, values conflict, a life transition, or a well-timed coaching conversation.</w:t>
      </w:r>
      <w:r>
        <w:t xml:space="preserve"> </w:t>
      </w:r>
      <w:hyperlink r:id="rId23">
        <w:r>
          <w:rPr>
            <w:rStyle w:val="Hyperlink"/>
          </w:rPr>
          <w:t xml:space="preserve">[75]</w:t>
        </w:r>
      </w:hyperlink>
    </w:p>
    <w:p>
      <w:pPr>
        <w:pStyle w:val="BodyText"/>
      </w:pPr>
      <w:r>
        <w:rPr>
          <w:b/>
          <w:bCs/>
        </w:rPr>
        <w:t xml:space="preserve">Agency</w:t>
      </w:r>
      <w:r>
        <w:t xml:space="preserve">. The person must believe the behaviour is possible and that they can influence outcomes. This depends on self-efficacy, competence, and emotional tolerance, not only information.</w:t>
      </w:r>
      <w:r>
        <w:t xml:space="preserve"> </w:t>
      </w:r>
      <w:hyperlink r:id="rId86">
        <w:r>
          <w:rPr>
            <w:rStyle w:val="Hyperlink"/>
          </w:rPr>
          <w:t xml:space="preserve">[76]</w:t>
        </w:r>
      </w:hyperlink>
    </w:p>
    <w:p>
      <w:pPr>
        <w:pStyle w:val="BodyText"/>
      </w:pPr>
      <w:r>
        <w:rPr>
          <w:b/>
          <w:bCs/>
        </w:rPr>
        <w:t xml:space="preserve">Structure</w:t>
      </w:r>
      <w:r>
        <w:t xml:space="preserve">. Intentions must be translated into cues, plans, defaults, and environments that lower friction and increase repetition. This is the domain of implementation intentions, self-monitoring, prompts, and habit formation.</w:t>
      </w:r>
      <w:r>
        <w:t xml:space="preserve"> </w:t>
      </w:r>
      <w:hyperlink r:id="rId47">
        <w:r>
          <w:rPr>
            <w:rStyle w:val="Hyperlink"/>
          </w:rPr>
          <w:t xml:space="preserve">[77]</w:t>
        </w:r>
      </w:hyperlink>
    </w:p>
    <w:p>
      <w:pPr>
        <w:pStyle w:val="BodyText"/>
      </w:pPr>
      <w:r>
        <w:rPr>
          <w:b/>
          <w:bCs/>
        </w:rPr>
        <w:t xml:space="preserve">Identity</w:t>
      </w:r>
      <w:r>
        <w:t xml:space="preserve">. The behaviour must become congruent with a valued self or group membership. Identity makes maintenance more resilient and setbacks less identity-destructive.</w:t>
      </w:r>
      <w:r>
        <w:t xml:space="preserve"> </w:t>
      </w:r>
      <w:hyperlink r:id="rId33">
        <w:r>
          <w:rPr>
            <w:rStyle w:val="Hyperlink"/>
          </w:rPr>
          <w:t xml:space="preserve">[78]</w:t>
        </w:r>
      </w:hyperlink>
    </w:p>
    <w:p>
      <w:pPr>
        <w:pStyle w:val="BodyText"/>
      </w:pPr>
      <w:r>
        <w:rPr>
          <w:b/>
          <w:bCs/>
        </w:rPr>
        <w:t xml:space="preserve">Support</w:t>
      </w:r>
      <w:r>
        <w:t xml:space="preserve">. Social reinforcement and system conditions must sustain the change. Human beings do not maintain lifestyle transformation in a vacuum. Belonging, accountability, and culture determine whether the behaviour survives pressure.</w:t>
      </w:r>
      <w:r>
        <w:t xml:space="preserve"> </w:t>
      </w:r>
      <w:hyperlink r:id="rId74">
        <w:r>
          <w:rPr>
            <w:rStyle w:val="Hyperlink"/>
          </w:rPr>
          <w:t xml:space="preserve">[79]</w:t>
        </w:r>
      </w:hyperlink>
    </w:p>
    <w:p>
      <w:pPr>
        <w:pStyle w:val="BodyText"/>
      </w:pPr>
      <w:r>
        <w:t xml:space="preserve">That framework explains why some people “finally change” after years of knowledge and motivation: one or more missing mechanisms became available. It also explains why some transformative experiences fail to last: salience rose, but structure, identity integration, and support did not follow.</w:t>
      </w:r>
    </w:p>
    <w:bookmarkEnd w:id="87"/>
    <w:bookmarkStart w:id="88" w:name="X2d3b2b6aabc634fd191eb33619eeed8a23e01bd"/>
    <w:p>
      <w:pPr>
        <w:pStyle w:val="Heading3"/>
      </w:pPr>
      <w:r>
        <w:t xml:space="preserve">Practical principles that recur across disciplines</w:t>
      </w:r>
    </w:p>
    <w:p>
      <w:pPr>
        <w:pStyle w:val="FirstParagraph"/>
      </w:pPr>
      <w:r>
        <w:t xml:space="preserve">The evidence repeatedly converges on a small set of practical principles.</w:t>
      </w:r>
    </w:p>
    <w:p>
      <w:pPr>
        <w:pStyle w:val="BodyText"/>
      </w:pPr>
      <w:r>
        <w:t xml:space="preserve">Make the next step</w:t>
      </w:r>
      <w:r>
        <w:t xml:space="preserve"> </w:t>
      </w:r>
      <w:r>
        <w:rPr>
          <w:b/>
          <w:bCs/>
        </w:rPr>
        <w:t xml:space="preserve">specific</w:t>
      </w:r>
      <w:r>
        <w:t xml:space="preserve"> </w:t>
      </w:r>
      <w:r>
        <w:t xml:space="preserve">rather than inspirational.</w:t>
      </w:r>
      <w:r>
        <w:t xml:space="preserve"> </w:t>
      </w:r>
      <w:hyperlink r:id="rId47">
        <w:r>
          <w:rPr>
            <w:rStyle w:val="Hyperlink"/>
          </w:rPr>
          <w:t xml:space="preserve">[80]</w:t>
        </w:r>
      </w:hyperlink>
    </w:p>
    <w:p>
      <w:pPr>
        <w:pStyle w:val="BodyText"/>
      </w:pPr>
      <w:r>
        <w:t xml:space="preserve">Support</w:t>
      </w:r>
      <w:r>
        <w:t xml:space="preserve"> </w:t>
      </w:r>
      <w:r>
        <w:rPr>
          <w:b/>
          <w:bCs/>
        </w:rPr>
        <w:t xml:space="preserve">autonomy</w:t>
      </w:r>
      <w:r>
        <w:t xml:space="preserve"> </w:t>
      </w:r>
      <w:r>
        <w:t xml:space="preserve">rather than coercion.</w:t>
      </w:r>
      <w:r>
        <w:t xml:space="preserve"> </w:t>
      </w:r>
      <w:hyperlink r:id="rId24">
        <w:r>
          <w:rPr>
            <w:rStyle w:val="Hyperlink"/>
          </w:rPr>
          <w:t xml:space="preserve">[81]</w:t>
        </w:r>
      </w:hyperlink>
    </w:p>
    <w:p>
      <w:pPr>
        <w:pStyle w:val="BodyText"/>
      </w:pPr>
      <w:r>
        <w:t xml:space="preserve">Build</w:t>
      </w:r>
      <w:r>
        <w:t xml:space="preserve"> </w:t>
      </w:r>
      <w:r>
        <w:rPr>
          <w:b/>
          <w:bCs/>
        </w:rPr>
        <w:t xml:space="preserve">self-efficacy</w:t>
      </w:r>
      <w:r>
        <w:t xml:space="preserve"> </w:t>
      </w:r>
      <w:r>
        <w:t xml:space="preserve">through mastery, not pep talks.</w:t>
      </w:r>
      <w:r>
        <w:t xml:space="preserve"> </w:t>
      </w:r>
      <w:hyperlink r:id="rId86">
        <w:r>
          <w:rPr>
            <w:rStyle w:val="Hyperlink"/>
          </w:rPr>
          <w:t xml:space="preserve">[82]</w:t>
        </w:r>
      </w:hyperlink>
    </w:p>
    <w:p>
      <w:pPr>
        <w:pStyle w:val="BodyText"/>
      </w:pPr>
      <w:r>
        <w:t xml:space="preserve">Use</w:t>
      </w:r>
      <w:r>
        <w:t xml:space="preserve"> </w:t>
      </w:r>
      <w:r>
        <w:rPr>
          <w:b/>
          <w:bCs/>
        </w:rPr>
        <w:t xml:space="preserve">self-monitoring and feedback</w:t>
      </w:r>
      <w:r>
        <w:t xml:space="preserve"> </w:t>
      </w:r>
      <w:r>
        <w:t xml:space="preserve">early and often.</w:t>
      </w:r>
      <w:r>
        <w:t xml:space="preserve"> </w:t>
      </w:r>
      <w:hyperlink r:id="rId51">
        <w:r>
          <w:rPr>
            <w:rStyle w:val="Hyperlink"/>
          </w:rPr>
          <w:t xml:space="preserve">[83]</w:t>
        </w:r>
      </w:hyperlink>
    </w:p>
    <w:p>
      <w:pPr>
        <w:pStyle w:val="BodyText"/>
      </w:pPr>
      <w:r>
        <w:t xml:space="preserve">Redesign the</w:t>
      </w:r>
      <w:r>
        <w:t xml:space="preserve"> </w:t>
      </w:r>
      <w:r>
        <w:rPr>
          <w:b/>
          <w:bCs/>
        </w:rPr>
        <w:t xml:space="preserve">environment</w:t>
      </w:r>
      <w:r>
        <w:t xml:space="preserve"> </w:t>
      </w:r>
      <w:r>
        <w:t xml:space="preserve">instead of relying on restraint alone.</w:t>
      </w:r>
      <w:r>
        <w:t xml:space="preserve"> </w:t>
      </w:r>
      <w:hyperlink r:id="rId31">
        <w:r>
          <w:rPr>
            <w:rStyle w:val="Hyperlink"/>
          </w:rPr>
          <w:t xml:space="preserve">[84]</w:t>
        </w:r>
      </w:hyperlink>
    </w:p>
    <w:p>
      <w:pPr>
        <w:pStyle w:val="BodyText"/>
      </w:pPr>
      <w:r>
        <w:t xml:space="preserve">Treat</w:t>
      </w:r>
      <w:r>
        <w:t xml:space="preserve"> </w:t>
      </w:r>
      <w:r>
        <w:rPr>
          <w:b/>
          <w:bCs/>
        </w:rPr>
        <w:t xml:space="preserve">setbacks as expected</w:t>
      </w:r>
      <w:r>
        <w:t xml:space="preserve"> </w:t>
      </w:r>
      <w:r>
        <w:t xml:space="preserve">and pre-plan recovery.</w:t>
      </w:r>
      <w:r>
        <w:t xml:space="preserve"> </w:t>
      </w:r>
      <w:hyperlink r:id="rId83">
        <w:r>
          <w:rPr>
            <w:rStyle w:val="Hyperlink"/>
          </w:rPr>
          <w:t xml:space="preserve">[74]</w:t>
        </w:r>
      </w:hyperlink>
    </w:p>
    <w:p>
      <w:pPr>
        <w:pStyle w:val="BodyText"/>
      </w:pPr>
      <w:r>
        <w:t xml:space="preserve">Use</w:t>
      </w:r>
      <w:r>
        <w:t xml:space="preserve"> </w:t>
      </w:r>
      <w:r>
        <w:rPr>
          <w:b/>
          <w:bCs/>
        </w:rPr>
        <w:t xml:space="preserve">identity and values</w:t>
      </w:r>
      <w:r>
        <w:t xml:space="preserve"> </w:t>
      </w:r>
      <w:r>
        <w:t xml:space="preserve">for maintenance, not just motivation theatre.</w:t>
      </w:r>
      <w:r>
        <w:t xml:space="preserve"> </w:t>
      </w:r>
      <w:hyperlink r:id="rId33">
        <w:r>
          <w:rPr>
            <w:rStyle w:val="Hyperlink"/>
          </w:rPr>
          <w:t xml:space="preserve">[38]</w:t>
        </w:r>
      </w:hyperlink>
    </w:p>
    <w:p>
      <w:pPr>
        <w:pStyle w:val="BodyText"/>
      </w:pPr>
      <w:r>
        <w:t xml:space="preserve">Change systems and culture when the problem is systemic.</w:t>
      </w:r>
      <w:r>
        <w:t xml:space="preserve"> </w:t>
      </w:r>
      <w:hyperlink r:id="rId72">
        <w:r>
          <w:rPr>
            <w:rStyle w:val="Hyperlink"/>
          </w:rPr>
          <w:t xml:space="preserve">[85]</w:t>
        </w:r>
      </w:hyperlink>
    </w:p>
    <w:bookmarkEnd w:id="88"/>
    <w:bookmarkStart w:id="91" w:name="key-quotes-and-foundational-papers"/>
    <w:p>
      <w:pPr>
        <w:pStyle w:val="Heading3"/>
      </w:pPr>
      <w:r>
        <w:t xml:space="preserve">Key quotes and foundational papers</w:t>
      </w:r>
    </w:p>
    <w:p>
      <w:pPr>
        <w:pStyle w:val="FirstParagraph"/>
      </w:pPr>
      <w:r>
        <w:t xml:space="preserve">A few short formulations still summarise the field well.</w:t>
      </w:r>
    </w:p>
    <w:p>
      <w:pPr>
        <w:pStyle w:val="BodyText"/>
      </w:pPr>
      <w:r>
        <w:t xml:space="preserve">The Transtheoretical Model: health behaviour change involves progress through “</w:t>
      </w:r>
      <w:r>
        <w:rPr>
          <w:b/>
          <w:bCs/>
        </w:rPr>
        <w:t xml:space="preserve">six stages of change</w:t>
      </w:r>
      <w:r>
        <w:t xml:space="preserve">”.</w:t>
      </w:r>
      <w:r>
        <w:t xml:space="preserve"> </w:t>
      </w:r>
      <w:hyperlink r:id="rId41">
        <w:r>
          <w:rPr>
            <w:rStyle w:val="Hyperlink"/>
          </w:rPr>
          <w:t xml:space="preserve">[86]</w:t>
        </w:r>
      </w:hyperlink>
    </w:p>
    <w:p>
      <w:pPr>
        <w:pStyle w:val="BodyText"/>
      </w:pPr>
      <w:r>
        <w:t xml:space="preserve">The Health Belief Model centres on “</w:t>
      </w:r>
      <w:r>
        <w:rPr>
          <w:b/>
          <w:bCs/>
        </w:rPr>
        <w:t xml:space="preserve">perceived susceptibility, perceived severity, perceived benefits, perceived barriers</w:t>
      </w:r>
      <w:r>
        <w:t xml:space="preserve">”.</w:t>
      </w:r>
      <w:r>
        <w:t xml:space="preserve"> </w:t>
      </w:r>
      <w:hyperlink r:id="rId89">
        <w:r>
          <w:rPr>
            <w:rStyle w:val="Hyperlink"/>
          </w:rPr>
          <w:t xml:space="preserve">[87]</w:t>
        </w:r>
      </w:hyperlink>
    </w:p>
    <w:p>
      <w:pPr>
        <w:pStyle w:val="BodyText"/>
      </w:pPr>
      <w:r>
        <w:t xml:space="preserve">The Theory of Planned Behaviour identifies “</w:t>
      </w:r>
      <w:r>
        <w:rPr>
          <w:b/>
          <w:bCs/>
        </w:rPr>
        <w:t xml:space="preserve">attitude, subjective norm, and perceived behavioural control</w:t>
      </w:r>
      <w:r>
        <w:t xml:space="preserve">” as the bases of intention.</w:t>
      </w:r>
      <w:r>
        <w:t xml:space="preserve"> </w:t>
      </w:r>
      <w:hyperlink r:id="rId90">
        <w:r>
          <w:rPr>
            <w:rStyle w:val="Hyperlink"/>
          </w:rPr>
          <w:t xml:space="preserve">[88]</w:t>
        </w:r>
      </w:hyperlink>
    </w:p>
    <w:p>
      <w:pPr>
        <w:pStyle w:val="BodyText"/>
      </w:pPr>
      <w:r>
        <w:t xml:space="preserve">COM-B reduces behaviour to the interaction of “</w:t>
      </w:r>
      <w:r>
        <w:rPr>
          <w:b/>
          <w:bCs/>
        </w:rPr>
        <w:t xml:space="preserve">Capability, Opportunity, Motivation</w:t>
      </w:r>
      <w:r>
        <w:t xml:space="preserve">”.</w:t>
      </w:r>
      <w:r>
        <w:t xml:space="preserve"> </w:t>
      </w:r>
      <w:hyperlink r:id="rId22">
        <w:r>
          <w:rPr>
            <w:rStyle w:val="Hyperlink"/>
          </w:rPr>
          <w:t xml:space="preserve">[89]</w:t>
        </w:r>
      </w:hyperlink>
    </w:p>
    <w:p>
      <w:pPr>
        <w:pStyle w:val="BodyText"/>
      </w:pPr>
      <w:r>
        <w:t xml:space="preserve">Implementation intentions exist to enhance “</w:t>
      </w:r>
      <w:r>
        <w:rPr>
          <w:b/>
          <w:bCs/>
        </w:rPr>
        <w:t xml:space="preserve">the translation of goal intentions into action</w:t>
      </w:r>
      <w:r>
        <w:t xml:space="preserve">”.</w:t>
      </w:r>
      <w:r>
        <w:t xml:space="preserve"> </w:t>
      </w:r>
      <w:hyperlink r:id="rId47">
        <w:r>
          <w:rPr>
            <w:rStyle w:val="Hyperlink"/>
          </w:rPr>
          <w:t xml:space="preserve">[90]</w:t>
        </w:r>
      </w:hyperlink>
    </w:p>
    <w:bookmarkEnd w:id="91"/>
    <w:bookmarkStart w:id="92" w:name="X30b8ef3a74e201bcf80a8cd7c29d79a031c72f7"/>
    <w:p>
      <w:pPr>
        <w:pStyle w:val="Heading3"/>
      </w:pPr>
      <w:r>
        <w:t xml:space="preserve">Annotated bibliography of landmark and high-value sources</w:t>
      </w:r>
    </w:p>
    <w:p>
      <w:pPr>
        <w:pStyle w:val="FirstParagraph"/>
      </w:pPr>
      <w:r>
        <w:rPr>
          <w:b/>
          <w:bCs/>
        </w:rPr>
        <w:t xml:space="preserve">Prochaska &amp; Velicer, Transtheoretical Model</w:t>
      </w:r>
      <w:r>
        <w:t xml:space="preserve">. Seminal staging account; still influential for readiness language, though not definitive on intervention superiority.</w:t>
      </w:r>
      <w:r>
        <w:t xml:space="preserve"> </w:t>
      </w:r>
      <w:hyperlink r:id="rId41">
        <w:r>
          <w:rPr>
            <w:rStyle w:val="Hyperlink"/>
          </w:rPr>
          <w:t xml:space="preserve">[91]</w:t>
        </w:r>
      </w:hyperlink>
    </w:p>
    <w:p>
      <w:pPr>
        <w:pStyle w:val="BodyText"/>
      </w:pPr>
      <w:r>
        <w:rPr>
          <w:b/>
          <w:bCs/>
        </w:rPr>
        <w:t xml:space="preserve">Ntoumanis et al., 2021, SDT-informed interventions</w:t>
      </w:r>
      <w:r>
        <w:t xml:space="preserve">. One of the most important modern meta-analyses for autonomous motivation and internalisation in health. Effects are positive but modest.</w:t>
      </w:r>
      <w:r>
        <w:t xml:space="preserve"> </w:t>
      </w:r>
      <w:hyperlink r:id="rId24">
        <w:r>
          <w:rPr>
            <w:rStyle w:val="Hyperlink"/>
          </w:rPr>
          <w:t xml:space="preserve">[92]</w:t>
        </w:r>
      </w:hyperlink>
    </w:p>
    <w:p>
      <w:pPr>
        <w:pStyle w:val="BodyText"/>
      </w:pPr>
      <w:r>
        <w:rPr>
          <w:b/>
          <w:bCs/>
        </w:rPr>
        <w:t xml:space="preserve">McEachan et al., 2016, Reasoned Action meta-analysis</w:t>
      </w:r>
      <w:r>
        <w:t xml:space="preserve">. Strong synthesis on intention formation, useful for understanding why intention prediction still does not solve enactment.</w:t>
      </w:r>
      <w:r>
        <w:t xml:space="preserve"> </w:t>
      </w:r>
      <w:hyperlink r:id="rId45">
        <w:r>
          <w:rPr>
            <w:rStyle w:val="Hyperlink"/>
          </w:rPr>
          <w:t xml:space="preserve">[93]</w:t>
        </w:r>
      </w:hyperlink>
    </w:p>
    <w:p>
      <w:pPr>
        <w:pStyle w:val="BodyText"/>
      </w:pPr>
      <w:r>
        <w:rPr>
          <w:b/>
          <w:bCs/>
        </w:rPr>
        <w:t xml:space="preserve">Carpenter, 2010, HBM variables meta-analysis</w:t>
      </w:r>
      <w:r>
        <w:t xml:space="preserve">. Important for showing benefits and barriers as the most consistent HBM predictors.</w:t>
      </w:r>
      <w:r>
        <w:t xml:space="preserve"> </w:t>
      </w:r>
      <w:hyperlink r:id="rId43">
        <w:r>
          <w:rPr>
            <w:rStyle w:val="Hyperlink"/>
          </w:rPr>
          <w:t xml:space="preserve">[94]</w:t>
        </w:r>
      </w:hyperlink>
    </w:p>
    <w:p>
      <w:pPr>
        <w:pStyle w:val="BodyText"/>
      </w:pPr>
      <w:r>
        <w:rPr>
          <w:b/>
          <w:bCs/>
        </w:rPr>
        <w:t xml:space="preserve">Kwasnicka et al., 2016, maintenance theories review</w:t>
      </w:r>
      <w:r>
        <w:t xml:space="preserve">. Foundational review specifically on what explains maintenance rather than initiation.</w:t>
      </w:r>
      <w:r>
        <w:t xml:space="preserve"> </w:t>
      </w:r>
      <w:hyperlink r:id="rId83">
        <w:r>
          <w:rPr>
            <w:rStyle w:val="Hyperlink"/>
          </w:rPr>
          <w:t xml:space="preserve">[95]</w:t>
        </w:r>
      </w:hyperlink>
    </w:p>
    <w:p>
      <w:pPr>
        <w:pStyle w:val="BodyText"/>
      </w:pPr>
      <w:r>
        <w:rPr>
          <w:b/>
          <w:bCs/>
        </w:rPr>
        <w:t xml:space="preserve">Verplanken &amp; Orbell, 2022, attitudes and habits</w:t>
      </w:r>
      <w:r>
        <w:t xml:space="preserve">. Important corrective to overly cognitive approaches; clarifies that habits set boundary conditions on attitude-based change.</w:t>
      </w:r>
      <w:r>
        <w:t xml:space="preserve"> </w:t>
      </w:r>
      <w:hyperlink r:id="rId31">
        <w:r>
          <w:rPr>
            <w:rStyle w:val="Hyperlink"/>
          </w:rPr>
          <w:t xml:space="preserve">[96]</w:t>
        </w:r>
      </w:hyperlink>
    </w:p>
    <w:p>
      <w:pPr>
        <w:pStyle w:val="BodyText"/>
      </w:pPr>
      <w:r>
        <w:rPr>
          <w:b/>
          <w:bCs/>
        </w:rPr>
        <w:t xml:space="preserve">Habit formation meta-analysis, 2024</w:t>
      </w:r>
      <w:r>
        <w:t xml:space="preserve">. Best recent summary on timing and determinants of health-habit formation.</w:t>
      </w:r>
      <w:r>
        <w:t xml:space="preserve"> </w:t>
      </w:r>
      <w:hyperlink r:id="rId30">
        <w:r>
          <w:rPr>
            <w:rStyle w:val="Hyperlink"/>
          </w:rPr>
          <w:t xml:space="preserve">[97]</w:t>
        </w:r>
      </w:hyperlink>
    </w:p>
    <w:p>
      <w:pPr>
        <w:pStyle w:val="BodyText"/>
      </w:pPr>
      <w:r>
        <w:rPr>
          <w:b/>
          <w:bCs/>
        </w:rPr>
        <w:t xml:space="preserve">Frost et al., 2018, MI review of reviews</w:t>
      </w:r>
      <w:r>
        <w:t xml:space="preserve">. Essential reality check: MI helps in some domains, but much of the evidence base is low quality or short-term.</w:t>
      </w:r>
      <w:r>
        <w:t xml:space="preserve"> </w:t>
      </w:r>
      <w:hyperlink r:id="rId48">
        <w:r>
          <w:rPr>
            <w:rStyle w:val="Hyperlink"/>
          </w:rPr>
          <w:t xml:space="preserve">[33]</w:t>
        </w:r>
      </w:hyperlink>
    </w:p>
    <w:p>
      <w:pPr>
        <w:pStyle w:val="BodyText"/>
      </w:pPr>
      <w:r>
        <w:rPr>
          <w:b/>
          <w:bCs/>
        </w:rPr>
        <w:t xml:space="preserve">Boehmer et al., 2023, health and wellness coaching meta-analysis</w:t>
      </w:r>
      <w:r>
        <w:t xml:space="preserve">. Useful for coaching practice because it shifts focus from anecdotes to patient-important outcomes.</w:t>
      </w:r>
      <w:r>
        <w:t xml:space="preserve"> </w:t>
      </w:r>
      <w:hyperlink r:id="rId52">
        <w:r>
          <w:rPr>
            <w:rStyle w:val="Hyperlink"/>
          </w:rPr>
          <w:t xml:space="preserve">[98]</w:t>
        </w:r>
      </w:hyperlink>
    </w:p>
    <w:p>
      <w:pPr>
        <w:pStyle w:val="BodyText"/>
      </w:pPr>
      <w:r>
        <w:rPr>
          <w:b/>
          <w:bCs/>
        </w:rPr>
        <w:t xml:space="preserve">de Haan &amp; Nilsson, 2023, workplace coaching RCT meta-analysis</w:t>
      </w:r>
      <w:r>
        <w:t xml:space="preserve">. Strongest current summary for executive and workplace coaching, while also highlighting publication-bias concerns.</w:t>
      </w:r>
      <w:r>
        <w:t xml:space="preserve"> </w:t>
      </w:r>
      <w:hyperlink r:id="rId28">
        <w:r>
          <w:rPr>
            <w:rStyle w:val="Hyperlink"/>
          </w:rPr>
          <w:t xml:space="preserve">[99]</w:t>
        </w:r>
      </w:hyperlink>
    </w:p>
    <w:p>
      <w:pPr>
        <w:pStyle w:val="BodyText"/>
      </w:pPr>
      <w:r>
        <w:rPr>
          <w:b/>
          <w:bCs/>
        </w:rPr>
        <w:t xml:space="preserve">Furukawa et al., 2024, CBT-I component network meta-analysis</w:t>
      </w:r>
      <w:r>
        <w:t xml:space="preserve">. Excellent example of identifying active ingredients rather than treating an intervention package as a black box.</w:t>
      </w:r>
      <w:r>
        <w:t xml:space="preserve"> </w:t>
      </w:r>
      <w:hyperlink r:id="rId27">
        <w:r>
          <w:rPr>
            <w:rStyle w:val="Hyperlink"/>
          </w:rPr>
          <w:t xml:space="preserve">[100]</w:t>
        </w:r>
      </w:hyperlink>
    </w:p>
    <w:p>
      <w:pPr>
        <w:pStyle w:val="BodyText"/>
      </w:pPr>
      <w:r>
        <w:rPr>
          <w:b/>
          <w:bCs/>
        </w:rPr>
        <w:t xml:space="preserve">US Diabetes Prevention Program and 21-year follow-up</w:t>
      </w:r>
      <w:r>
        <w:t xml:space="preserve">. A landmark demonstration that intensive lifestyle intervention can yield durable chronic-disease prevention benefits.</w:t>
      </w:r>
      <w:r>
        <w:t xml:space="preserve"> </w:t>
      </w:r>
      <w:hyperlink r:id="rId71">
        <w:r>
          <w:rPr>
            <w:rStyle w:val="Hyperlink"/>
          </w:rPr>
          <w:t xml:space="preserve">[101]</w:t>
        </w:r>
      </w:hyperlink>
    </w:p>
    <w:p>
      <w:pPr>
        <w:pStyle w:val="BodyText"/>
      </w:pPr>
      <w:r>
        <w:rPr>
          <w:b/>
          <w:bCs/>
        </w:rPr>
        <w:t xml:space="preserve">de Hoog &amp; Pat-El, 2024, social identity and health behaviour meta-analysis</w:t>
      </w:r>
      <w:r>
        <w:t xml:space="preserve">. Crucial for integrating belonging and identification into behaviour-change science.</w:t>
      </w:r>
      <w:r>
        <w:t xml:space="preserve"> </w:t>
      </w:r>
      <w:hyperlink r:id="rId33">
        <w:r>
          <w:rPr>
            <w:rStyle w:val="Hyperlink"/>
          </w:rPr>
          <w:t xml:space="preserve">[102]</w:t>
        </w:r>
      </w:hyperlink>
    </w:p>
    <w:bookmarkEnd w:id="92"/>
    <w:bookmarkStart w:id="93" w:name="open-questions-and-limitations"/>
    <w:p>
      <w:pPr>
        <w:pStyle w:val="Heading3"/>
      </w:pPr>
      <w:r>
        <w:t xml:space="preserve">Open questions and limitations</w:t>
      </w:r>
    </w:p>
    <w:p>
      <w:pPr>
        <w:pStyle w:val="FirstParagraph"/>
      </w:pPr>
      <w:r>
        <w:t xml:space="preserve">The evidence is much stronger for</w:t>
      </w:r>
      <w:r>
        <w:t xml:space="preserve"> </w:t>
      </w:r>
      <w:r>
        <w:rPr>
          <w:b/>
          <w:bCs/>
        </w:rPr>
        <w:t xml:space="preserve">small-to-moderate average effects</w:t>
      </w:r>
      <w:r>
        <w:t xml:space="preserve"> </w:t>
      </w:r>
      <w:r>
        <w:t xml:space="preserve">than for dramatic, universal transformation. Many interventions work, but usually not spectacularly, and often not for everyone.</w:t>
      </w:r>
      <w:r>
        <w:t xml:space="preserve"> </w:t>
      </w:r>
      <w:hyperlink r:id="rId21">
        <w:r>
          <w:rPr>
            <w:rStyle w:val="Hyperlink"/>
          </w:rPr>
          <w:t xml:space="preserve">[103]</w:t>
        </w:r>
      </w:hyperlink>
    </w:p>
    <w:p>
      <w:pPr>
        <w:pStyle w:val="BodyText"/>
      </w:pPr>
      <w:r>
        <w:t xml:space="preserve">Identity-based behaviour change is promising, but much of the strongest evidence is still</w:t>
      </w:r>
      <w:r>
        <w:t xml:space="preserve"> </w:t>
      </w:r>
      <w:r>
        <w:rPr>
          <w:b/>
          <w:bCs/>
        </w:rPr>
        <w:t xml:space="preserve">observational</w:t>
      </w:r>
      <w:r>
        <w:t xml:space="preserve"> </w:t>
      </w:r>
      <w:r>
        <w:t xml:space="preserve">rather than from identity-targeted RCTs.</w:t>
      </w:r>
      <w:r>
        <w:t xml:space="preserve"> </w:t>
      </w:r>
      <w:hyperlink r:id="rId33">
        <w:r>
          <w:rPr>
            <w:rStyle w:val="Hyperlink"/>
          </w:rPr>
          <w:t xml:space="preserve">[38]</w:t>
        </w:r>
      </w:hyperlink>
    </w:p>
    <w:p>
      <w:pPr>
        <w:pStyle w:val="BodyText"/>
      </w:pPr>
      <w:r>
        <w:t xml:space="preserve">The retrieved evidence for</w:t>
      </w:r>
      <w:r>
        <w:t xml:space="preserve"> </w:t>
      </w:r>
      <w:r>
        <w:rPr>
          <w:b/>
          <w:bCs/>
        </w:rPr>
        <w:t xml:space="preserve">nudge theory</w:t>
      </w:r>
      <w:r>
        <w:t xml:space="preserve">,</w:t>
      </w:r>
      <w:r>
        <w:t xml:space="preserve"> </w:t>
      </w:r>
      <w:r>
        <w:rPr>
          <w:b/>
          <w:bCs/>
        </w:rPr>
        <w:t xml:space="preserve">Tiny Habits as a branded method</w:t>
      </w:r>
      <w:r>
        <w:t xml:space="preserve">, and</w:t>
      </w:r>
      <w:r>
        <w:t xml:space="preserve"> </w:t>
      </w:r>
      <w:r>
        <w:rPr>
          <w:b/>
          <w:bCs/>
        </w:rPr>
        <w:t xml:space="preserve">Atomic Habits as a branded method</w:t>
      </w:r>
      <w:r>
        <w:t xml:space="preserve"> </w:t>
      </w:r>
      <w:r>
        <w:t xml:space="preserve">was noticeably thinner than for SDT, TPB, habit theory, CBT, ACT, MI, and health coaching. Their underlying principles are often plausible; their distinct evidence bases are weaker in this synthesis.</w:t>
      </w:r>
      <w:r>
        <w:t xml:space="preserve"> </w:t>
      </w:r>
      <w:hyperlink r:id="rId49">
        <w:r>
          <w:rPr>
            <w:rStyle w:val="Hyperlink"/>
          </w:rPr>
          <w:t xml:space="preserve">[104]</w:t>
        </w:r>
      </w:hyperlink>
    </w:p>
    <w:p>
      <w:pPr>
        <w:pStyle w:val="BodyText"/>
      </w:pPr>
      <w:r>
        <w:t xml:space="preserve">Transformational experiences, especially</w:t>
      </w:r>
      <w:r>
        <w:t xml:space="preserve"> </w:t>
      </w:r>
      <w:r>
        <w:rPr>
          <w:b/>
          <w:bCs/>
        </w:rPr>
        <w:t xml:space="preserve">psychedelic</w:t>
      </w:r>
      <w:r>
        <w:t xml:space="preserve"> </w:t>
      </w:r>
      <w:r>
        <w:t xml:space="preserve">and some spiritual or retreat-based experiences, remain an area where enthusiasm currently runs ahead of high-certainty evidence for durable, generalisable behaviour change.</w:t>
      </w:r>
      <w:r>
        <w:t xml:space="preserve"> </w:t>
      </w:r>
      <w:hyperlink r:id="rId77">
        <w:r>
          <w:rPr>
            <w:rStyle w:val="Hyperlink"/>
          </w:rPr>
          <w:t xml:space="preserve">[105]</w:t>
        </w:r>
      </w:hyperlink>
    </w:p>
    <w:p>
      <w:pPr>
        <w:pStyle w:val="BodyText"/>
      </w:pPr>
      <w:r>
        <w:t xml:space="preserve">For executives specifically, some implications above are informed by strong general evidence plus</w:t>
      </w:r>
      <w:r>
        <w:t xml:space="preserve"> </w:t>
      </w:r>
      <w:r>
        <w:rPr>
          <w:b/>
          <w:bCs/>
        </w:rPr>
        <w:t xml:space="preserve">careful inference</w:t>
      </w:r>
      <w:r>
        <w:t xml:space="preserve">, because executive-only causal studies remain limited.</w:t>
      </w:r>
      <w:r>
        <w:t xml:space="preserve"> </w:t>
      </w:r>
      <w:hyperlink r:id="rId72">
        <w:r>
          <w:rPr>
            <w:rStyle w:val="Hyperlink"/>
          </w:rPr>
          <w:t xml:space="preserve">[106]</w:t>
        </w:r>
      </w:hyperlink>
    </w:p>
    <w:p>
      <w:pPr>
        <w:pStyle w:val="BodyText"/>
      </w:pPr>
      <w:r>
        <w:t xml:space="preserve">The most defensible synthesis, however, is already clear: lasting change is not magic, not mere information, and not pure discipline. It is the repeated alignment of</w:t>
      </w:r>
      <w:r>
        <w:t xml:space="preserve"> </w:t>
      </w:r>
      <w:r>
        <w:rPr>
          <w:b/>
          <w:bCs/>
        </w:rPr>
        <w:t xml:space="preserve">why this matters</w:t>
      </w:r>
      <w:r>
        <w:t xml:space="preserve">,</w:t>
      </w:r>
      <w:r>
        <w:t xml:space="preserve"> </w:t>
      </w:r>
      <w:r>
        <w:rPr>
          <w:b/>
          <w:bCs/>
        </w:rPr>
        <w:t xml:space="preserve">how it becomes doable</w:t>
      </w:r>
      <w:r>
        <w:t xml:space="preserve">,</w:t>
      </w:r>
      <w:r>
        <w:t xml:space="preserve"> </w:t>
      </w:r>
      <w:r>
        <w:rPr>
          <w:b/>
          <w:bCs/>
        </w:rPr>
        <w:t xml:space="preserve">who this lets me become</w:t>
      </w:r>
      <w:r>
        <w:t xml:space="preserve">, and</w:t>
      </w:r>
      <w:r>
        <w:t xml:space="preserve"> </w:t>
      </w:r>
      <w:r>
        <w:rPr>
          <w:b/>
          <w:bCs/>
        </w:rPr>
        <w:t xml:space="preserve">what my environment and relationships make easier or harder</w:t>
      </w:r>
      <w:r>
        <w:t xml:space="preserve">. That is the core knowledge base most worth building into ethical coaching, lifestyle medicine, executive healthspan strategy, and human-flourishing products.</w:t>
      </w:r>
      <w:r>
        <w:t xml:space="preserve"> </w:t>
      </w:r>
      <w:hyperlink r:id="rId21">
        <w:r>
          <w:rPr>
            <w:rStyle w:val="Hyperlink"/>
          </w:rPr>
          <w:t xml:space="preserve">[107]</w:t>
        </w:r>
      </w:hyperlink>
    </w:p>
    <w:bookmarkEnd w:id="93"/>
    <w:bookmarkEnd w:id="94"/>
    <w:bookmarkEnd w:id="95"/>
    <w:bookmarkEnd w:id="96"/>
    <w:p>
      <w:r>
        <w:pict>
          <v:rect style="width:0;height:1.5pt" o:hralign="center" o:hrstd="t" o:hr="t"/>
        </w:pict>
      </w:r>
    </w:p>
    <w:bookmarkStart w:id="97" w:name="citations"/>
    <w:p>
      <w:pPr>
        <w:pStyle w:val="FirstParagraph"/>
      </w:pPr>
      <w:hyperlink r:id="rId21">
        <w:r>
          <w:rPr>
            <w:rStyle w:val="Hyperlink"/>
          </w:rPr>
          <w:t xml:space="preserve">[1]</w:t>
        </w:r>
      </w:hyperlink>
      <w:r>
        <w:t xml:space="preserve"> </w:t>
      </w:r>
      <w:hyperlink r:id="rId21">
        <w:r>
          <w:rPr>
            <w:rStyle w:val="Hyperlink"/>
          </w:rPr>
          <w:t xml:space="preserve">[9]</w:t>
        </w:r>
      </w:hyperlink>
      <w:r>
        <w:t xml:space="preserve"> </w:t>
      </w:r>
      <w:hyperlink r:id="rId21">
        <w:r>
          <w:rPr>
            <w:rStyle w:val="Hyperlink"/>
          </w:rPr>
          <w:t xml:space="preserve">[16]</w:t>
        </w:r>
      </w:hyperlink>
      <w:r>
        <w:t xml:space="preserve"> </w:t>
      </w:r>
      <w:hyperlink r:id="rId21">
        <w:r>
          <w:rPr>
            <w:rStyle w:val="Hyperlink"/>
          </w:rPr>
          <w:t xml:space="preserve">[22]</w:t>
        </w:r>
      </w:hyperlink>
      <w:r>
        <w:t xml:space="preserve"> </w:t>
      </w:r>
      <w:hyperlink r:id="rId21">
        <w:r>
          <w:rPr>
            <w:rStyle w:val="Hyperlink"/>
          </w:rPr>
          <w:t xml:space="preserve">[103]</w:t>
        </w:r>
      </w:hyperlink>
      <w:r>
        <w:t xml:space="preserve"> </w:t>
      </w:r>
      <w:hyperlink r:id="rId21">
        <w:r>
          <w:rPr>
            <w:rStyle w:val="Hyperlink"/>
          </w:rPr>
          <w:t xml:space="preserve">[107]</w:t>
        </w:r>
      </w:hyperlink>
      <w:r>
        <w:t xml:space="preserve"> </w:t>
      </w:r>
      <w:r>
        <w:t xml:space="preserve">Psychological Determinants of Health Behavior | Annual Reviews</w:t>
      </w:r>
    </w:p>
    <w:p>
      <w:pPr>
        <w:pStyle w:val="BodyText"/>
      </w:pPr>
      <w:hyperlink r:id="rId21">
        <w:r>
          <w:rPr>
            <w:rStyle w:val="Hyperlink"/>
          </w:rPr>
          <w:t xml:space="preserve">https://www.annualreviews.org/content/journals/10.1146/annurev-psych-020124-114222?TRACK=RSS</w:t>
        </w:r>
      </w:hyperlink>
    </w:p>
    <w:p>
      <w:pPr>
        <w:pStyle w:val="BodyText"/>
      </w:pPr>
      <w:hyperlink r:id="rId22">
        <w:r>
          <w:rPr>
            <w:rStyle w:val="Hyperlink"/>
          </w:rPr>
          <w:t xml:space="preserve">[2]</w:t>
        </w:r>
      </w:hyperlink>
      <w:r>
        <w:t xml:space="preserve"> </w:t>
      </w:r>
      <w:hyperlink r:id="rId22">
        <w:r>
          <w:rPr>
            <w:rStyle w:val="Hyperlink"/>
          </w:rPr>
          <w:t xml:space="preserve">[17]</w:t>
        </w:r>
      </w:hyperlink>
      <w:r>
        <w:t xml:space="preserve"> </w:t>
      </w:r>
      <w:hyperlink r:id="rId22">
        <w:r>
          <w:rPr>
            <w:rStyle w:val="Hyperlink"/>
          </w:rPr>
          <w:t xml:space="preserve">[25]</w:t>
        </w:r>
      </w:hyperlink>
      <w:r>
        <w:t xml:space="preserve"> </w:t>
      </w:r>
      <w:hyperlink r:id="rId22">
        <w:r>
          <w:rPr>
            <w:rStyle w:val="Hyperlink"/>
          </w:rPr>
          <w:t xml:space="preserve">[70]</w:t>
        </w:r>
      </w:hyperlink>
      <w:r>
        <w:t xml:space="preserve"> </w:t>
      </w:r>
      <w:hyperlink r:id="rId22">
        <w:r>
          <w:rPr>
            <w:rStyle w:val="Hyperlink"/>
          </w:rPr>
          <w:t xml:space="preserve">[89]</w:t>
        </w:r>
      </w:hyperlink>
      <w:r>
        <w:t xml:space="preserve"> </w:t>
      </w:r>
      <w:r>
        <w:t xml:space="preserve">The behaviour change wheel: A new method for ...</w:t>
      </w:r>
    </w:p>
    <w:p>
      <w:pPr>
        <w:pStyle w:val="BodyText"/>
      </w:pPr>
      <w:hyperlink r:id="rId22">
        <w:r>
          <w:rPr>
            <w:rStyle w:val="Hyperlink"/>
          </w:rPr>
          <w:t xml:space="preserve">https://cris.maastrichtuniversity.nl/en/publications/the-behaviour-change-wheel-a-new-method-for-characterising-and-de/?utm_source=chatgpt.com</w:t>
        </w:r>
      </w:hyperlink>
    </w:p>
    <w:p>
      <w:pPr>
        <w:pStyle w:val="BodyText"/>
      </w:pPr>
      <w:hyperlink r:id="rId23">
        <w:r>
          <w:rPr>
            <w:rStyle w:val="Hyperlink"/>
          </w:rPr>
          <w:t xml:space="preserve">[3]</w:t>
        </w:r>
      </w:hyperlink>
      <w:r>
        <w:t xml:space="preserve"> </w:t>
      </w:r>
      <w:hyperlink r:id="rId23">
        <w:r>
          <w:rPr>
            <w:rStyle w:val="Hyperlink"/>
          </w:rPr>
          <w:t xml:space="preserve">[75]</w:t>
        </w:r>
      </w:hyperlink>
      <w:r>
        <w:t xml:space="preserve"> </w:t>
      </w:r>
      <w:r>
        <w:t xml:space="preserve">annualreviews.org</w:t>
      </w:r>
    </w:p>
    <w:p>
      <w:pPr>
        <w:pStyle w:val="BodyText"/>
      </w:pPr>
      <w:hyperlink r:id="rId23">
        <w:r>
          <w:rPr>
            <w:rStyle w:val="Hyperlink"/>
          </w:rPr>
          <w:t xml:space="preserve">https://www.annualreviews.org/doi/pdf/10.1146/annurev-psych-060120-111721</w:t>
        </w:r>
      </w:hyperlink>
    </w:p>
    <w:p>
      <w:pPr>
        <w:pStyle w:val="BodyText"/>
      </w:pPr>
      <w:hyperlink r:id="rId24">
        <w:r>
          <w:rPr>
            <w:rStyle w:val="Hyperlink"/>
          </w:rPr>
          <w:t xml:space="preserve">[4]</w:t>
        </w:r>
      </w:hyperlink>
      <w:r>
        <w:t xml:space="preserve"> </w:t>
      </w:r>
      <w:hyperlink r:id="rId24">
        <w:r>
          <w:rPr>
            <w:rStyle w:val="Hyperlink"/>
          </w:rPr>
          <w:t xml:space="preserve">[15]</w:t>
        </w:r>
      </w:hyperlink>
      <w:r>
        <w:t xml:space="preserve"> </w:t>
      </w:r>
      <w:hyperlink r:id="rId24">
        <w:r>
          <w:rPr>
            <w:rStyle w:val="Hyperlink"/>
          </w:rPr>
          <w:t xml:space="preserve">[46]</w:t>
        </w:r>
      </w:hyperlink>
      <w:r>
        <w:t xml:space="preserve"> </w:t>
      </w:r>
      <w:hyperlink r:id="rId24">
        <w:r>
          <w:rPr>
            <w:rStyle w:val="Hyperlink"/>
          </w:rPr>
          <w:t xml:space="preserve">[71]</w:t>
        </w:r>
      </w:hyperlink>
      <w:r>
        <w:t xml:space="preserve"> </w:t>
      </w:r>
      <w:hyperlink r:id="rId24">
        <w:r>
          <w:rPr>
            <w:rStyle w:val="Hyperlink"/>
          </w:rPr>
          <w:t xml:space="preserve">[81]</w:t>
        </w:r>
      </w:hyperlink>
      <w:r>
        <w:t xml:space="preserve"> </w:t>
      </w:r>
      <w:hyperlink r:id="rId24">
        <w:r>
          <w:rPr>
            <w:rStyle w:val="Hyperlink"/>
          </w:rPr>
          <w:t xml:space="preserve">[92]</w:t>
        </w:r>
      </w:hyperlink>
      <w:r>
        <w:t xml:space="preserve"> </w:t>
      </w:r>
      <w:r>
        <w:t xml:space="preserve">A meta-analysis of self-determination theory-informed ...</w:t>
      </w:r>
    </w:p>
    <w:p>
      <w:pPr>
        <w:pStyle w:val="BodyText"/>
      </w:pPr>
      <w:hyperlink r:id="rId24">
        <w:r>
          <w:rPr>
            <w:rStyle w:val="Hyperlink"/>
          </w:rPr>
          <w:t xml:space="preserve">https://pubmed.ncbi.nlm.nih.gov/31983293/?utm_source=chatgpt.com</w:t>
        </w:r>
      </w:hyperlink>
    </w:p>
    <w:p>
      <w:pPr>
        <w:pStyle w:val="BodyText"/>
      </w:pPr>
      <w:hyperlink r:id="rId25">
        <w:r>
          <w:rPr>
            <w:rStyle w:val="Hyperlink"/>
          </w:rPr>
          <w:t xml:space="preserve">[5]</w:t>
        </w:r>
      </w:hyperlink>
      <w:r>
        <w:t xml:space="preserve"> </w:t>
      </w:r>
      <w:r>
        <w:t xml:space="preserve">The relationship between habit and identity in health ...</w:t>
      </w:r>
    </w:p>
    <w:p>
      <w:pPr>
        <w:pStyle w:val="BodyText"/>
      </w:pPr>
      <w:hyperlink r:id="rId25">
        <w:r>
          <w:rPr>
            <w:rStyle w:val="Hyperlink"/>
          </w:rPr>
          <w:t xml:space="preserve">https://iaap-journals.onlinelibrary.wiley.com/doi/10.1111/aphw.70017?utm_source=chatgpt.com</w:t>
        </w:r>
      </w:hyperlink>
    </w:p>
    <w:p>
      <w:pPr>
        <w:pStyle w:val="BodyText"/>
      </w:pPr>
      <w:hyperlink r:id="rId26">
        <w:r>
          <w:rPr>
            <w:rStyle w:val="Hyperlink"/>
          </w:rPr>
          <w:t xml:space="preserve">[6]</w:t>
        </w:r>
      </w:hyperlink>
      <w:r>
        <w:t xml:space="preserve"> </w:t>
      </w:r>
      <w:r>
        <w:t xml:space="preserve"> </w:t>
      </w:r>
      <w:r>
        <w:t xml:space="preserve">Dopamine as a teaching signal: understanding its role in shaping individual behavior - PMC</w:t>
      </w:r>
      <w:r>
        <w:t xml:space="preserve"> </w:t>
      </w:r>
    </w:p>
    <w:p>
      <w:pPr>
        <w:pStyle w:val="BodyText"/>
      </w:pPr>
      <w:hyperlink r:id="rId26">
        <w:r>
          <w:rPr>
            <w:rStyle w:val="Hyperlink"/>
          </w:rPr>
          <w:t xml:space="preserve">https://pmc.ncbi.nlm.nih.gov/articles/PMC12411607/</w:t>
        </w:r>
      </w:hyperlink>
    </w:p>
    <w:p>
      <w:pPr>
        <w:pStyle w:val="BodyText"/>
      </w:pPr>
      <w:hyperlink r:id="rId27">
        <w:r>
          <w:rPr>
            <w:rStyle w:val="Hyperlink"/>
          </w:rPr>
          <w:t xml:space="preserve">[7]</w:t>
        </w:r>
      </w:hyperlink>
      <w:r>
        <w:t xml:space="preserve"> </w:t>
      </w:r>
      <w:hyperlink r:id="rId27">
        <w:r>
          <w:rPr>
            <w:rStyle w:val="Hyperlink"/>
          </w:rPr>
          <w:t xml:space="preserve">[34]</w:t>
        </w:r>
      </w:hyperlink>
      <w:r>
        <w:t xml:space="preserve"> </w:t>
      </w:r>
      <w:hyperlink r:id="rId27">
        <w:r>
          <w:rPr>
            <w:rStyle w:val="Hyperlink"/>
          </w:rPr>
          <w:t xml:space="preserve">[53]</w:t>
        </w:r>
      </w:hyperlink>
      <w:r>
        <w:t xml:space="preserve"> </w:t>
      </w:r>
      <w:hyperlink r:id="rId27">
        <w:r>
          <w:rPr>
            <w:rStyle w:val="Hyperlink"/>
          </w:rPr>
          <w:t xml:space="preserve">[100]</w:t>
        </w:r>
      </w:hyperlink>
      <w:r>
        <w:t xml:space="preserve"> </w:t>
      </w:r>
      <w:r>
        <w:t xml:space="preserve">https://pubmed.ncbi.nlm.nih.gov/38231522/</w:t>
      </w:r>
    </w:p>
    <w:p>
      <w:pPr>
        <w:pStyle w:val="BodyText"/>
      </w:pPr>
      <w:hyperlink r:id="rId27">
        <w:r>
          <w:rPr>
            <w:rStyle w:val="Hyperlink"/>
          </w:rPr>
          <w:t xml:space="preserve">https://pubmed.ncbi.nlm.nih.gov/38231522/</w:t>
        </w:r>
      </w:hyperlink>
    </w:p>
    <w:p>
      <w:pPr>
        <w:pStyle w:val="BodyText"/>
      </w:pPr>
      <w:hyperlink r:id="rId28">
        <w:r>
          <w:rPr>
            <w:rStyle w:val="Hyperlink"/>
          </w:rPr>
          <w:t xml:space="preserve">[8]</w:t>
        </w:r>
      </w:hyperlink>
      <w:r>
        <w:t xml:space="preserve"> </w:t>
      </w:r>
      <w:hyperlink r:id="rId28">
        <w:r>
          <w:rPr>
            <w:rStyle w:val="Hyperlink"/>
          </w:rPr>
          <w:t xml:space="preserve">[42]</w:t>
        </w:r>
      </w:hyperlink>
      <w:r>
        <w:t xml:space="preserve"> </w:t>
      </w:r>
      <w:hyperlink r:id="rId28">
        <w:r>
          <w:rPr>
            <w:rStyle w:val="Hyperlink"/>
          </w:rPr>
          <w:t xml:space="preserve">[65]</w:t>
        </w:r>
      </w:hyperlink>
      <w:r>
        <w:t xml:space="preserve"> </w:t>
      </w:r>
      <w:hyperlink r:id="rId28">
        <w:r>
          <w:rPr>
            <w:rStyle w:val="Hyperlink"/>
          </w:rPr>
          <w:t xml:space="preserve">[99]</w:t>
        </w:r>
      </w:hyperlink>
      <w:r>
        <w:t xml:space="preserve"> </w:t>
      </w:r>
      <w:r>
        <w:t xml:space="preserve"> </w:t>
      </w:r>
      <w:r>
        <w:t xml:space="preserve">What Can We Know about the Effectiveness of Coaching? A Meta-Analysis Based Only on Randomized Controlled Trials</w:t>
      </w:r>
      <w:r>
        <w:t xml:space="preserve"> </w:t>
      </w:r>
      <w:r>
        <w:t xml:space="preserve">- Vrije Universiteit Amsterdam</w:t>
      </w:r>
    </w:p>
    <w:p>
      <w:pPr>
        <w:pStyle w:val="BodyText"/>
      </w:pPr>
      <w:hyperlink r:id="rId28">
        <w:r>
          <w:rPr>
            <w:rStyle w:val="Hyperlink"/>
          </w:rPr>
          <w:t xml:space="preserve">https://research.vu.nl/en/publications/what-can-we-know-about-the-effectiveness-of-coaching-a-meta-analy/</w:t>
        </w:r>
      </w:hyperlink>
    </w:p>
    <w:p>
      <w:pPr>
        <w:pStyle w:val="BodyText"/>
      </w:pPr>
      <w:hyperlink r:id="rId30">
        <w:r>
          <w:rPr>
            <w:rStyle w:val="Hyperlink"/>
          </w:rPr>
          <w:t xml:space="preserve">[10]</w:t>
        </w:r>
      </w:hyperlink>
      <w:r>
        <w:t xml:space="preserve"> </w:t>
      </w:r>
      <w:hyperlink r:id="rId30">
        <w:r>
          <w:rPr>
            <w:rStyle w:val="Hyperlink"/>
          </w:rPr>
          <w:t xml:space="preserve">[30]</w:t>
        </w:r>
      </w:hyperlink>
      <w:r>
        <w:t xml:space="preserve"> </w:t>
      </w:r>
      <w:hyperlink r:id="rId30">
        <w:r>
          <w:rPr>
            <w:rStyle w:val="Hyperlink"/>
          </w:rPr>
          <w:t xml:space="preserve">[37]</w:t>
        </w:r>
      </w:hyperlink>
      <w:r>
        <w:t xml:space="preserve"> </w:t>
      </w:r>
      <w:hyperlink r:id="rId30">
        <w:r>
          <w:rPr>
            <w:rStyle w:val="Hyperlink"/>
          </w:rPr>
          <w:t xml:space="preserve">[97]</w:t>
        </w:r>
      </w:hyperlink>
      <w:r>
        <w:t xml:space="preserve"> </w:t>
      </w:r>
      <w:r>
        <w:t xml:space="preserve">https://pmc.ncbi.nlm.nih.gov/articles/PMC11641623/</w:t>
      </w:r>
    </w:p>
    <w:p>
      <w:pPr>
        <w:pStyle w:val="BodyText"/>
      </w:pPr>
      <w:hyperlink r:id="rId30">
        <w:r>
          <w:rPr>
            <w:rStyle w:val="Hyperlink"/>
          </w:rPr>
          <w:t xml:space="preserve">https://pmc.ncbi.nlm.nih.gov/articles/PMC11641623/</w:t>
        </w:r>
      </w:hyperlink>
    </w:p>
    <w:p>
      <w:pPr>
        <w:pStyle w:val="BodyText"/>
      </w:pPr>
      <w:hyperlink r:id="rId31">
        <w:r>
          <w:rPr>
            <w:rStyle w:val="Hyperlink"/>
          </w:rPr>
          <w:t xml:space="preserve">[11]</w:t>
        </w:r>
      </w:hyperlink>
      <w:r>
        <w:t xml:space="preserve"> </w:t>
      </w:r>
      <w:hyperlink r:id="rId31">
        <w:r>
          <w:rPr>
            <w:rStyle w:val="Hyperlink"/>
          </w:rPr>
          <w:t xml:space="preserve">[19]</w:t>
        </w:r>
      </w:hyperlink>
      <w:r>
        <w:t xml:space="preserve"> </w:t>
      </w:r>
      <w:hyperlink r:id="rId31">
        <w:r>
          <w:rPr>
            <w:rStyle w:val="Hyperlink"/>
          </w:rPr>
          <w:t xml:space="preserve">[72]</w:t>
        </w:r>
      </w:hyperlink>
      <w:r>
        <w:t xml:space="preserve"> </w:t>
      </w:r>
      <w:hyperlink r:id="rId31">
        <w:r>
          <w:rPr>
            <w:rStyle w:val="Hyperlink"/>
          </w:rPr>
          <w:t xml:space="preserve">[84]</w:t>
        </w:r>
      </w:hyperlink>
      <w:r>
        <w:t xml:space="preserve"> </w:t>
      </w:r>
      <w:hyperlink r:id="rId31">
        <w:r>
          <w:rPr>
            <w:rStyle w:val="Hyperlink"/>
          </w:rPr>
          <w:t xml:space="preserve">[96]</w:t>
        </w:r>
      </w:hyperlink>
      <w:r>
        <w:t xml:space="preserve"> </w:t>
      </w:r>
      <w:r>
        <w:t xml:space="preserve">Attitudes, Habits, and Behavior Change | Annual Reviews</w:t>
      </w:r>
    </w:p>
    <w:p>
      <w:pPr>
        <w:pStyle w:val="BodyText"/>
      </w:pPr>
      <w:hyperlink r:id="rId31">
        <w:r>
          <w:rPr>
            <w:rStyle w:val="Hyperlink"/>
          </w:rPr>
          <w:t xml:space="preserve">https://www.annualreviews.org/content/journals/10.1146/annurev-psych-020821-011744</w:t>
        </w:r>
      </w:hyperlink>
    </w:p>
    <w:p>
      <w:pPr>
        <w:pStyle w:val="BodyText"/>
      </w:pPr>
      <w:hyperlink r:id="rId32">
        <w:r>
          <w:rPr>
            <w:rStyle w:val="Hyperlink"/>
          </w:rPr>
          <w:t xml:space="preserve">[12]</w:t>
        </w:r>
      </w:hyperlink>
      <w:r>
        <w:t xml:space="preserve"> </w:t>
      </w:r>
      <w:hyperlink r:id="rId32">
        <w:r>
          <w:rPr>
            <w:rStyle w:val="Hyperlink"/>
          </w:rPr>
          <w:t xml:space="preserve">[51]</w:t>
        </w:r>
      </w:hyperlink>
      <w:r>
        <w:t xml:space="preserve"> </w:t>
      </w:r>
      <w:r>
        <w:t xml:space="preserve">A Meta-Analysis of Fear Appeal Effectiveness and Theories</w:t>
      </w:r>
    </w:p>
    <w:p>
      <w:pPr>
        <w:pStyle w:val="BodyText"/>
      </w:pPr>
      <w:hyperlink r:id="rId32">
        <w:r>
          <w:rPr>
            <w:rStyle w:val="Hyperlink"/>
          </w:rPr>
          <w:t xml:space="preserve">https://socialactionlab.org/wp-content/uploads/2024/01/Tannenbaum_Appealing-to-Fear-A-Meta-Analysis-of-Fear-Appeal-Effectiveness-and-Theories_2015.pdf?utm_source=chatgpt.com</w:t>
        </w:r>
      </w:hyperlink>
    </w:p>
    <w:p>
      <w:pPr>
        <w:pStyle w:val="BodyText"/>
      </w:pPr>
      <w:hyperlink r:id="rId33">
        <w:r>
          <w:rPr>
            <w:rStyle w:val="Hyperlink"/>
          </w:rPr>
          <w:t xml:space="preserve">[13]</w:t>
        </w:r>
      </w:hyperlink>
      <w:r>
        <w:t xml:space="preserve"> </w:t>
      </w:r>
      <w:hyperlink r:id="rId33">
        <w:r>
          <w:rPr>
            <w:rStyle w:val="Hyperlink"/>
          </w:rPr>
          <w:t xml:space="preserve">[38]</w:t>
        </w:r>
      </w:hyperlink>
      <w:r>
        <w:t xml:space="preserve"> </w:t>
      </w:r>
      <w:hyperlink r:id="rId33">
        <w:r>
          <w:rPr>
            <w:rStyle w:val="Hyperlink"/>
          </w:rPr>
          <w:t xml:space="preserve">[61]</w:t>
        </w:r>
      </w:hyperlink>
      <w:r>
        <w:t xml:space="preserve"> </w:t>
      </w:r>
      <w:hyperlink r:id="rId33">
        <w:r>
          <w:rPr>
            <w:rStyle w:val="Hyperlink"/>
          </w:rPr>
          <w:t xml:space="preserve">[68]</w:t>
        </w:r>
      </w:hyperlink>
      <w:r>
        <w:t xml:space="preserve"> </w:t>
      </w:r>
      <w:hyperlink r:id="rId33">
        <w:r>
          <w:rPr>
            <w:rStyle w:val="Hyperlink"/>
          </w:rPr>
          <w:t xml:space="preserve">[78]</w:t>
        </w:r>
      </w:hyperlink>
      <w:r>
        <w:t xml:space="preserve"> </w:t>
      </w:r>
      <w:hyperlink r:id="rId33">
        <w:r>
          <w:rPr>
            <w:rStyle w:val="Hyperlink"/>
          </w:rPr>
          <w:t xml:space="preserve">[102]</w:t>
        </w:r>
      </w:hyperlink>
      <w:r>
        <w:t xml:space="preserve"> </w:t>
      </w:r>
      <w:r>
        <w:t xml:space="preserve">Social identity and health-related behavior: A systematic review and meta-analysis</w:t>
      </w:r>
    </w:p>
    <w:p>
      <w:pPr>
        <w:pStyle w:val="BodyText"/>
      </w:pPr>
      <w:hyperlink r:id="rId33">
        <w:r>
          <w:rPr>
            <w:rStyle w:val="Hyperlink"/>
          </w:rPr>
          <w:t xml:space="preserve">https://ideas.repec.org/a/eee/socmed/v344y2024ics027795362400073x.html</w:t>
        </w:r>
      </w:hyperlink>
    </w:p>
    <w:p>
      <w:pPr>
        <w:pStyle w:val="BodyText"/>
      </w:pPr>
      <w:hyperlink r:id="rId34">
        <w:r>
          <w:rPr>
            <w:rStyle w:val="Hyperlink"/>
          </w:rPr>
          <w:t xml:space="preserve">[14]</w:t>
        </w:r>
      </w:hyperlink>
      <w:r>
        <w:t xml:space="preserve"> </w:t>
      </w:r>
      <w:r>
        <w:t xml:space="preserve">Acceptance and Commitment Therapy for Health Behavior ...</w:t>
      </w:r>
    </w:p>
    <w:p>
      <w:pPr>
        <w:pStyle w:val="BodyText"/>
      </w:pPr>
      <w:hyperlink r:id="rId34">
        <w:r>
          <w:rPr>
            <w:rStyle w:val="Hyperlink"/>
          </w:rPr>
          <w:t xml:space="preserve">https://www.frontiersin.org/journals/psychology/articles/10.3389/fpsyg.2017.02350/full?field=&amp;id=&amp;journalName=Frontiers_in_Psychology&amp;utm_source=chatgpt.com</w:t>
        </w:r>
      </w:hyperlink>
    </w:p>
    <w:p>
      <w:pPr>
        <w:pStyle w:val="BodyText"/>
      </w:pPr>
      <w:hyperlink r:id="rId36">
        <w:r>
          <w:rPr>
            <w:rStyle w:val="Hyperlink"/>
          </w:rPr>
          <w:t xml:space="preserve">[18]</w:t>
        </w:r>
      </w:hyperlink>
      <w:r>
        <w:t xml:space="preserve"> </w:t>
      </w:r>
      <w:r>
        <w:t xml:space="preserve">https://pmc.ncbi.nlm.nih.gov/articles/PMC5485368/</w:t>
      </w:r>
    </w:p>
    <w:p>
      <w:pPr>
        <w:pStyle w:val="BodyText"/>
      </w:pPr>
      <w:hyperlink r:id="rId36">
        <w:r>
          <w:rPr>
            <w:rStyle w:val="Hyperlink"/>
          </w:rPr>
          <w:t xml:space="preserve">https://pmc.ncbi.nlm.nih.gov/articles/PMC5485368/</w:t>
        </w:r>
      </w:hyperlink>
    </w:p>
    <w:p>
      <w:pPr>
        <w:pStyle w:val="BodyText"/>
      </w:pPr>
      <w:hyperlink r:id="rId37">
        <w:r>
          <w:rPr>
            <w:rStyle w:val="Hyperlink"/>
          </w:rPr>
          <w:t xml:space="preserve">[20]</w:t>
        </w:r>
      </w:hyperlink>
      <w:r>
        <w:t xml:space="preserve"> </w:t>
      </w:r>
      <w:r>
        <w:t xml:space="preserve">https://pmc.ncbi.nlm.nih.gov/articles/PMC3083636/</w:t>
      </w:r>
    </w:p>
    <w:p>
      <w:pPr>
        <w:pStyle w:val="BodyText"/>
      </w:pPr>
      <w:hyperlink r:id="rId37">
        <w:r>
          <w:rPr>
            <w:rStyle w:val="Hyperlink"/>
          </w:rPr>
          <w:t xml:space="preserve">https://pmc.ncbi.nlm.nih.gov/articles/PMC3083636/</w:t>
        </w:r>
      </w:hyperlink>
    </w:p>
    <w:p>
      <w:pPr>
        <w:pStyle w:val="BodyText"/>
      </w:pPr>
      <w:hyperlink r:id="rId38">
        <w:r>
          <w:rPr>
            <w:rStyle w:val="Hyperlink"/>
          </w:rPr>
          <w:t xml:space="preserve">[21]</w:t>
        </w:r>
      </w:hyperlink>
      <w:r>
        <w:t xml:space="preserve"> </w:t>
      </w:r>
      <w:hyperlink r:id="rId38">
        <w:r>
          <w:rPr>
            <w:rStyle w:val="Hyperlink"/>
          </w:rPr>
          <w:t xml:space="preserve">[35]</w:t>
        </w:r>
      </w:hyperlink>
      <w:r>
        <w:t xml:space="preserve"> </w:t>
      </w:r>
      <w:hyperlink r:id="rId38">
        <w:r>
          <w:rPr>
            <w:rStyle w:val="Hyperlink"/>
          </w:rPr>
          <w:t xml:space="preserve">[40]</w:t>
        </w:r>
      </w:hyperlink>
      <w:r>
        <w:t xml:space="preserve"> </w:t>
      </w:r>
      <w:r>
        <w:t xml:space="preserve">Psychological Flexibility, Chronic Pain, and Health</w:t>
      </w:r>
    </w:p>
    <w:p>
      <w:pPr>
        <w:pStyle w:val="BodyText"/>
      </w:pPr>
      <w:hyperlink r:id="rId38">
        <w:r>
          <w:rPr>
            <w:rStyle w:val="Hyperlink"/>
          </w:rPr>
          <w:t xml:space="preserve">https://www.annualreviews.org/content/journals/10.1146/annurev-psych-020223-124335?utm_source=chatgpt.com</w:t>
        </w:r>
      </w:hyperlink>
    </w:p>
    <w:p>
      <w:pPr>
        <w:pStyle w:val="BodyText"/>
      </w:pPr>
      <w:hyperlink r:id="rId41">
        <w:r>
          <w:rPr>
            <w:rStyle w:val="Hyperlink"/>
          </w:rPr>
          <w:t xml:space="preserve">[23]</w:t>
        </w:r>
      </w:hyperlink>
      <w:r>
        <w:t xml:space="preserve"> </w:t>
      </w:r>
      <w:hyperlink r:id="rId41">
        <w:r>
          <w:rPr>
            <w:rStyle w:val="Hyperlink"/>
          </w:rPr>
          <w:t xml:space="preserve">[86]</w:t>
        </w:r>
      </w:hyperlink>
      <w:r>
        <w:t xml:space="preserve"> </w:t>
      </w:r>
      <w:hyperlink r:id="rId41">
        <w:r>
          <w:rPr>
            <w:rStyle w:val="Hyperlink"/>
          </w:rPr>
          <w:t xml:space="preserve">[91]</w:t>
        </w:r>
      </w:hyperlink>
      <w:r>
        <w:t xml:space="preserve"> </w:t>
      </w:r>
      <w:r>
        <w:t xml:space="preserve">https://pubmed.ncbi.nlm.nih.gov/10170434/</w:t>
      </w:r>
    </w:p>
    <w:p>
      <w:pPr>
        <w:pStyle w:val="BodyText"/>
      </w:pPr>
      <w:hyperlink r:id="rId41">
        <w:r>
          <w:rPr>
            <w:rStyle w:val="Hyperlink"/>
          </w:rPr>
          <w:t xml:space="preserve">https://pubmed.ncbi.nlm.nih.gov/10170434/</w:t>
        </w:r>
      </w:hyperlink>
    </w:p>
    <w:p>
      <w:pPr>
        <w:pStyle w:val="BodyText"/>
      </w:pPr>
      <w:hyperlink r:id="rId42">
        <w:r>
          <w:rPr>
            <w:rStyle w:val="Hyperlink"/>
          </w:rPr>
          <w:t xml:space="preserve">[24]</w:t>
        </w:r>
      </w:hyperlink>
      <w:r>
        <w:t xml:space="preserve"> </w:t>
      </w:r>
      <w:r>
        <w:t xml:space="preserve">https://www.ncbi.nlm.nih.gov/books/NBK71995/</w:t>
      </w:r>
    </w:p>
    <w:p>
      <w:pPr>
        <w:pStyle w:val="BodyText"/>
      </w:pPr>
      <w:hyperlink r:id="rId42">
        <w:r>
          <w:rPr>
            <w:rStyle w:val="Hyperlink"/>
          </w:rPr>
          <w:t xml:space="preserve">https://www.ncbi.nlm.nih.gov/books/NBK71995/</w:t>
        </w:r>
      </w:hyperlink>
    </w:p>
    <w:p>
      <w:pPr>
        <w:pStyle w:val="BodyText"/>
      </w:pPr>
      <w:hyperlink r:id="rId43">
        <w:r>
          <w:rPr>
            <w:rStyle w:val="Hyperlink"/>
          </w:rPr>
          <w:t xml:space="preserve">[26]</w:t>
        </w:r>
      </w:hyperlink>
      <w:r>
        <w:t xml:space="preserve"> </w:t>
      </w:r>
      <w:hyperlink r:id="rId43">
        <w:r>
          <w:rPr>
            <w:rStyle w:val="Hyperlink"/>
          </w:rPr>
          <w:t xml:space="preserve">[94]</w:t>
        </w:r>
      </w:hyperlink>
      <w:r>
        <w:t xml:space="preserve"> </w:t>
      </w:r>
      <w:r>
        <w:t xml:space="preserve">A meta-analysis of the effectiveness of health belief model ...</w:t>
      </w:r>
    </w:p>
    <w:p>
      <w:pPr>
        <w:pStyle w:val="BodyText"/>
      </w:pPr>
      <w:hyperlink r:id="rId43">
        <w:r>
          <w:rPr>
            <w:rStyle w:val="Hyperlink"/>
          </w:rPr>
          <w:t xml:space="preserve">https://pubmed.ncbi.nlm.nih.gov/21153982/?utm_source=chatgpt.com</w:t>
        </w:r>
      </w:hyperlink>
    </w:p>
    <w:p>
      <w:pPr>
        <w:pStyle w:val="BodyText"/>
      </w:pPr>
      <w:hyperlink r:id="rId44">
        <w:r>
          <w:rPr>
            <w:rStyle w:val="Hyperlink"/>
          </w:rPr>
          <w:t xml:space="preserve">[27]</w:t>
        </w:r>
      </w:hyperlink>
      <w:r>
        <w:t xml:space="preserve"> </w:t>
      </w:r>
      <w:r>
        <w:t xml:space="preserve">https://www.ncbi.nlm.nih.gov/books/NBK606120/</w:t>
      </w:r>
    </w:p>
    <w:p>
      <w:pPr>
        <w:pStyle w:val="BodyText"/>
      </w:pPr>
      <w:hyperlink r:id="rId44">
        <w:r>
          <w:rPr>
            <w:rStyle w:val="Hyperlink"/>
          </w:rPr>
          <w:t xml:space="preserve">https://www.ncbi.nlm.nih.gov/books/NBK606120/</w:t>
        </w:r>
      </w:hyperlink>
    </w:p>
    <w:p>
      <w:pPr>
        <w:pStyle w:val="BodyText"/>
      </w:pPr>
      <w:hyperlink r:id="rId45">
        <w:r>
          <w:rPr>
            <w:rStyle w:val="Hyperlink"/>
          </w:rPr>
          <w:t xml:space="preserve">[28]</w:t>
        </w:r>
      </w:hyperlink>
      <w:r>
        <w:t xml:space="preserve"> </w:t>
      </w:r>
      <w:hyperlink r:id="rId45">
        <w:r>
          <w:rPr>
            <w:rStyle w:val="Hyperlink"/>
          </w:rPr>
          <w:t xml:space="preserve">[93]</w:t>
        </w:r>
      </w:hyperlink>
      <w:r>
        <w:t xml:space="preserve"> </w:t>
      </w:r>
      <w:r>
        <w:t xml:space="preserve">Meta-Analysis of the Reasoned Action Approach (RAA ... - PMC</w:t>
      </w:r>
    </w:p>
    <w:p>
      <w:pPr>
        <w:pStyle w:val="BodyText"/>
      </w:pPr>
      <w:hyperlink r:id="rId45">
        <w:r>
          <w:rPr>
            <w:rStyle w:val="Hyperlink"/>
          </w:rPr>
          <w:t xml:space="preserve">https://pmc.ncbi.nlm.nih.gov/articles/PMC4933736/?utm_source=chatgpt.com</w:t>
        </w:r>
      </w:hyperlink>
    </w:p>
    <w:p>
      <w:pPr>
        <w:pStyle w:val="BodyText"/>
      </w:pPr>
      <w:hyperlink r:id="rId46">
        <w:r>
          <w:rPr>
            <w:rStyle w:val="Hyperlink"/>
          </w:rPr>
          <w:t xml:space="preserve">[29]</w:t>
        </w:r>
      </w:hyperlink>
      <w:r>
        <w:t xml:space="preserve"> </w:t>
      </w:r>
      <w:hyperlink r:id="rId46">
        <w:r>
          <w:rPr>
            <w:rStyle w:val="Hyperlink"/>
          </w:rPr>
          <w:t xml:space="preserve">[47]</w:t>
        </w:r>
      </w:hyperlink>
      <w:r>
        <w:t xml:space="preserve"> </w:t>
      </w:r>
      <w:r>
        <w:t xml:space="preserve">https://pmc.ncbi.nlm.nih.gov/articles/PMC11800834/</w:t>
      </w:r>
    </w:p>
    <w:p>
      <w:pPr>
        <w:pStyle w:val="BodyText"/>
      </w:pPr>
      <w:hyperlink r:id="rId46">
        <w:r>
          <w:rPr>
            <w:rStyle w:val="Hyperlink"/>
          </w:rPr>
          <w:t xml:space="preserve">https://pmc.ncbi.nlm.nih.gov/articles/PMC11800834/</w:t>
        </w:r>
      </w:hyperlink>
    </w:p>
    <w:p>
      <w:pPr>
        <w:pStyle w:val="BodyText"/>
      </w:pPr>
      <w:hyperlink r:id="rId47">
        <w:r>
          <w:rPr>
            <w:rStyle w:val="Hyperlink"/>
          </w:rPr>
          <w:t xml:space="preserve">[31]</w:t>
        </w:r>
      </w:hyperlink>
      <w:r>
        <w:t xml:space="preserve"> </w:t>
      </w:r>
      <w:hyperlink r:id="rId47">
        <w:r>
          <w:rPr>
            <w:rStyle w:val="Hyperlink"/>
          </w:rPr>
          <w:t xml:space="preserve">[69]</w:t>
        </w:r>
      </w:hyperlink>
      <w:r>
        <w:t xml:space="preserve"> </w:t>
      </w:r>
      <w:hyperlink r:id="rId47">
        <w:r>
          <w:rPr>
            <w:rStyle w:val="Hyperlink"/>
          </w:rPr>
          <w:t xml:space="preserve">[77]</w:t>
        </w:r>
      </w:hyperlink>
      <w:r>
        <w:t xml:space="preserve"> </w:t>
      </w:r>
      <w:hyperlink r:id="rId47">
        <w:r>
          <w:rPr>
            <w:rStyle w:val="Hyperlink"/>
          </w:rPr>
          <w:t xml:space="preserve">[80]</w:t>
        </w:r>
      </w:hyperlink>
      <w:r>
        <w:t xml:space="preserve"> </w:t>
      </w:r>
      <w:hyperlink r:id="rId47">
        <w:r>
          <w:rPr>
            <w:rStyle w:val="Hyperlink"/>
          </w:rPr>
          <w:t xml:space="preserve">[90]</w:t>
        </w:r>
      </w:hyperlink>
      <w:r>
        <w:t xml:space="preserve"> </w:t>
      </w:r>
      <w:r>
        <w:t xml:space="preserve">Implementation Intentions</w:t>
      </w:r>
    </w:p>
    <w:p>
      <w:pPr>
        <w:pStyle w:val="BodyText"/>
      </w:pPr>
      <w:hyperlink r:id="rId47">
        <w:r>
          <w:rPr>
            <w:rStyle w:val="Hyperlink"/>
          </w:rPr>
          <w:t xml:space="preserve">https://cancercontrol.cancer.gov/brp/research/constructs/implementation-intentions?utm_source=chatgpt.com</w:t>
        </w:r>
      </w:hyperlink>
    </w:p>
    <w:p>
      <w:pPr>
        <w:pStyle w:val="BodyText"/>
      </w:pPr>
      <w:hyperlink r:id="rId48">
        <w:r>
          <w:rPr>
            <w:rStyle w:val="Hyperlink"/>
          </w:rPr>
          <w:t xml:space="preserve">[32]</w:t>
        </w:r>
      </w:hyperlink>
      <w:r>
        <w:t xml:space="preserve"> </w:t>
      </w:r>
      <w:hyperlink r:id="rId48">
        <w:r>
          <w:rPr>
            <w:rStyle w:val="Hyperlink"/>
          </w:rPr>
          <w:t xml:space="preserve">[33]</w:t>
        </w:r>
      </w:hyperlink>
      <w:r>
        <w:t xml:space="preserve"> </w:t>
      </w:r>
      <w:hyperlink r:id="rId48">
        <w:r>
          <w:rPr>
            <w:rStyle w:val="Hyperlink"/>
          </w:rPr>
          <w:t xml:space="preserve">[66]</w:t>
        </w:r>
      </w:hyperlink>
      <w:r>
        <w:t xml:space="preserve"> </w:t>
      </w:r>
      <w:r>
        <w:t xml:space="preserve">Effectiveness of Motivational Interviewing on adult behaviour change in health and social care settings: A systematic review of reviews | PLOS One</w:t>
      </w:r>
    </w:p>
    <w:p>
      <w:pPr>
        <w:pStyle w:val="BodyText"/>
      </w:pPr>
      <w:hyperlink r:id="rId48">
        <w:r>
          <w:rPr>
            <w:rStyle w:val="Hyperlink"/>
          </w:rPr>
          <w:t xml:space="preserve">https://journals.plos.org/plosone/article?id=10.1371%2Fjournal.pone.0204890</w:t>
        </w:r>
      </w:hyperlink>
    </w:p>
    <w:p>
      <w:pPr>
        <w:pStyle w:val="BodyText"/>
      </w:pPr>
      <w:hyperlink r:id="rId49">
        <w:r>
          <w:rPr>
            <w:rStyle w:val="Hyperlink"/>
          </w:rPr>
          <w:t xml:space="preserve">[36]</w:t>
        </w:r>
      </w:hyperlink>
      <w:r>
        <w:t xml:space="preserve"> </w:t>
      </w:r>
      <w:hyperlink r:id="rId49">
        <w:r>
          <w:rPr>
            <w:rStyle w:val="Hyperlink"/>
          </w:rPr>
          <w:t xml:space="preserve">[104]</w:t>
        </w:r>
      </w:hyperlink>
      <w:r>
        <w:t xml:space="preserve"> </w:t>
      </w:r>
      <w:r>
        <w:t xml:space="preserve">https://pubmed.ncbi.nlm.nih.gov/41088011/</w:t>
      </w:r>
    </w:p>
    <w:p>
      <w:pPr>
        <w:pStyle w:val="BodyText"/>
      </w:pPr>
      <w:hyperlink r:id="rId49">
        <w:r>
          <w:rPr>
            <w:rStyle w:val="Hyperlink"/>
          </w:rPr>
          <w:t xml:space="preserve">https://pubmed.ncbi.nlm.nih.gov/41088011/</w:t>
        </w:r>
      </w:hyperlink>
    </w:p>
    <w:p>
      <w:pPr>
        <w:pStyle w:val="BodyText"/>
      </w:pPr>
      <w:hyperlink r:id="rId51">
        <w:r>
          <w:rPr>
            <w:rStyle w:val="Hyperlink"/>
          </w:rPr>
          <w:t xml:space="preserve">[39]</w:t>
        </w:r>
      </w:hyperlink>
      <w:r>
        <w:t xml:space="preserve"> </w:t>
      </w:r>
      <w:hyperlink r:id="rId51">
        <w:r>
          <w:rPr>
            <w:rStyle w:val="Hyperlink"/>
          </w:rPr>
          <w:t xml:space="preserve">[83]</w:t>
        </w:r>
      </w:hyperlink>
      <w:r>
        <w:t xml:space="preserve"> </w:t>
      </w:r>
      <w:r>
        <w:t xml:space="preserve">https://pmc.ncbi.nlm.nih.gov/articles/PMC7429262/</w:t>
      </w:r>
    </w:p>
    <w:p>
      <w:pPr>
        <w:pStyle w:val="BodyText"/>
      </w:pPr>
      <w:hyperlink r:id="rId51">
        <w:r>
          <w:rPr>
            <w:rStyle w:val="Hyperlink"/>
          </w:rPr>
          <w:t xml:space="preserve">https://pmc.ncbi.nlm.nih.gov/articles/PMC7429262/</w:t>
        </w:r>
      </w:hyperlink>
    </w:p>
    <w:p>
      <w:pPr>
        <w:pStyle w:val="BodyText"/>
      </w:pPr>
      <w:hyperlink r:id="rId52">
        <w:r>
          <w:rPr>
            <w:rStyle w:val="Hyperlink"/>
          </w:rPr>
          <w:t xml:space="preserve">[41]</w:t>
        </w:r>
      </w:hyperlink>
      <w:r>
        <w:t xml:space="preserve"> </w:t>
      </w:r>
      <w:hyperlink r:id="rId52">
        <w:r>
          <w:rPr>
            <w:rStyle w:val="Hyperlink"/>
          </w:rPr>
          <w:t xml:space="preserve">[98]</w:t>
        </w:r>
      </w:hyperlink>
      <w:r>
        <w:t xml:space="preserve"> </w:t>
      </w:r>
      <w:r>
        <w:t xml:space="preserve">The impact of health and wellness coaching on patient ... - PMC</w:t>
      </w:r>
    </w:p>
    <w:p>
      <w:pPr>
        <w:pStyle w:val="BodyText"/>
      </w:pPr>
      <w:hyperlink r:id="rId52">
        <w:r>
          <w:rPr>
            <w:rStyle w:val="Hyperlink"/>
          </w:rPr>
          <w:t xml:space="preserve">https://pmc.ncbi.nlm.nih.gov/articles/PMC10964774/?utm_source=chatgpt.com</w:t>
        </w:r>
      </w:hyperlink>
    </w:p>
    <w:p>
      <w:pPr>
        <w:pStyle w:val="BodyText"/>
      </w:pPr>
      <w:hyperlink r:id="rId53">
        <w:r>
          <w:rPr>
            <w:rStyle w:val="Hyperlink"/>
          </w:rPr>
          <w:t xml:space="preserve">[43]</w:t>
        </w:r>
      </w:hyperlink>
      <w:r>
        <w:t xml:space="preserve"> </w:t>
      </w:r>
      <w:r>
        <w:t xml:space="preserve">Positive psychology interventions: a meta-analysis of ...</w:t>
      </w:r>
    </w:p>
    <w:p>
      <w:pPr>
        <w:pStyle w:val="BodyText"/>
      </w:pPr>
      <w:hyperlink r:id="rId53">
        <w:r>
          <w:rPr>
            <w:rStyle w:val="Hyperlink"/>
          </w:rPr>
          <w:t xml:space="preserve">https://link.springer.com/article/10.1186/1471-2458-13-119?utm_source=chatgpt.com</w:t>
        </w:r>
      </w:hyperlink>
    </w:p>
    <w:p>
      <w:pPr>
        <w:pStyle w:val="BodyText"/>
      </w:pPr>
      <w:hyperlink r:id="rId54">
        <w:r>
          <w:rPr>
            <w:rStyle w:val="Hyperlink"/>
          </w:rPr>
          <w:t xml:space="preserve">[44]</w:t>
        </w:r>
      </w:hyperlink>
      <w:r>
        <w:t xml:space="preserve"> </w:t>
      </w:r>
      <w:r>
        <w:t xml:space="preserve">Effectiveness of solution-focused brief therapy: An umbrella ...</w:t>
      </w:r>
    </w:p>
    <w:p>
      <w:pPr>
        <w:pStyle w:val="BodyText"/>
      </w:pPr>
      <w:hyperlink r:id="rId54">
        <w:r>
          <w:rPr>
            <w:rStyle w:val="Hyperlink"/>
          </w:rPr>
          <w:t xml:space="preserve">https://www.tandfonline.com/doi/full/10.1080/10503307.2024.2406540?utm_source=chatgpt.com</w:t>
        </w:r>
      </w:hyperlink>
    </w:p>
    <w:p>
      <w:pPr>
        <w:pStyle w:val="BodyText"/>
      </w:pPr>
      <w:hyperlink r:id="rId55">
        <w:r>
          <w:rPr>
            <w:rStyle w:val="Hyperlink"/>
          </w:rPr>
          <w:t xml:space="preserve">[45]</w:t>
        </w:r>
      </w:hyperlink>
      <w:r>
        <w:t xml:space="preserve"> </w:t>
      </w:r>
      <w:r>
        <w:t xml:space="preserve">Strength-based methods – A narrative review and ... - PMC</w:t>
      </w:r>
    </w:p>
    <w:p>
      <w:pPr>
        <w:pStyle w:val="BodyText"/>
      </w:pPr>
      <w:hyperlink r:id="rId55">
        <w:r>
          <w:rPr>
            <w:rStyle w:val="Hyperlink"/>
          </w:rPr>
          <w:t xml:space="preserve">https://pmc.ncbi.nlm.nih.gov/articles/PMC10440292/?utm_source=chatgpt.com</w:t>
        </w:r>
      </w:hyperlink>
    </w:p>
    <w:p>
      <w:pPr>
        <w:pStyle w:val="BodyText"/>
      </w:pPr>
      <w:hyperlink r:id="rId58">
        <w:r>
          <w:rPr>
            <w:rStyle w:val="Hyperlink"/>
          </w:rPr>
          <w:t xml:space="preserve">[48]</w:t>
        </w:r>
      </w:hyperlink>
      <w:r>
        <w:t xml:space="preserve"> </w:t>
      </w:r>
      <w:r>
        <w:t xml:space="preserve">Variation in Narrative Identity is Associated with Trajectories of ...</w:t>
      </w:r>
    </w:p>
    <w:p>
      <w:pPr>
        <w:pStyle w:val="BodyText"/>
      </w:pPr>
      <w:hyperlink r:id="rId58">
        <w:r>
          <w:rPr>
            <w:rStyle w:val="Hyperlink"/>
          </w:rPr>
          <w:t xml:space="preserve">https://pmc.ncbi.nlm.nih.gov/articles/PMC4395856/?utm_source=chatgpt.com</w:t>
        </w:r>
      </w:hyperlink>
    </w:p>
    <w:p>
      <w:pPr>
        <w:pStyle w:val="BodyText"/>
      </w:pPr>
      <w:hyperlink r:id="rId60">
        <w:r>
          <w:rPr>
            <w:rStyle w:val="Hyperlink"/>
          </w:rPr>
          <w:t xml:space="preserve">[49]</w:t>
        </w:r>
      </w:hyperlink>
      <w:r>
        <w:t xml:space="preserve"> </w:t>
      </w:r>
      <w:r>
        <w:t xml:space="preserve">https://pmc.ncbi.nlm.nih.gov/articles/PMC4960264/</w:t>
      </w:r>
    </w:p>
    <w:p>
      <w:pPr>
        <w:pStyle w:val="BodyText"/>
      </w:pPr>
      <w:hyperlink r:id="rId60">
        <w:r>
          <w:rPr>
            <w:rStyle w:val="Hyperlink"/>
          </w:rPr>
          <w:t xml:space="preserve">https://pmc.ncbi.nlm.nih.gov/articles/PMC4960264/</w:t>
        </w:r>
      </w:hyperlink>
    </w:p>
    <w:p>
      <w:pPr>
        <w:pStyle w:val="BodyText"/>
      </w:pPr>
      <w:hyperlink r:id="rId61">
        <w:r>
          <w:rPr>
            <w:rStyle w:val="Hyperlink"/>
          </w:rPr>
          <w:t xml:space="preserve">[50]</w:t>
        </w:r>
      </w:hyperlink>
      <w:r>
        <w:t xml:space="preserve"> </w:t>
      </w:r>
      <w:r>
        <w:t xml:space="preserve">https://pubmed.ncbi.nlm.nih.gov/39250294/</w:t>
      </w:r>
    </w:p>
    <w:p>
      <w:pPr>
        <w:pStyle w:val="BodyText"/>
      </w:pPr>
      <w:hyperlink r:id="rId61">
        <w:r>
          <w:rPr>
            <w:rStyle w:val="Hyperlink"/>
          </w:rPr>
          <w:t xml:space="preserve">https://pubmed.ncbi.nlm.nih.gov/39250294/</w:t>
        </w:r>
      </w:hyperlink>
    </w:p>
    <w:p>
      <w:pPr>
        <w:pStyle w:val="BodyText"/>
      </w:pPr>
      <w:hyperlink r:id="rId63">
        <w:r>
          <w:rPr>
            <w:rStyle w:val="Hyperlink"/>
          </w:rPr>
          <w:t xml:space="preserve">[52]</w:t>
        </w:r>
      </w:hyperlink>
      <w:r>
        <w:t xml:space="preserve"> </w:t>
      </w:r>
      <w:r>
        <w:t xml:space="preserve">Hope and Anxiety: A Meta‐analytic Review - PMC</w:t>
      </w:r>
    </w:p>
    <w:p>
      <w:pPr>
        <w:pStyle w:val="BodyText"/>
      </w:pPr>
      <w:hyperlink r:id="rId63">
        <w:r>
          <w:rPr>
            <w:rStyle w:val="Hyperlink"/>
          </w:rPr>
          <w:t xml:space="preserve">https://pmc.ncbi.nlm.nih.gov/articles/PMC12882803/?utm_source=chatgpt.com</w:t>
        </w:r>
      </w:hyperlink>
    </w:p>
    <w:p>
      <w:pPr>
        <w:pStyle w:val="BodyText"/>
      </w:pPr>
      <w:hyperlink r:id="rId66">
        <w:r>
          <w:rPr>
            <w:rStyle w:val="Hyperlink"/>
          </w:rPr>
          <w:t xml:space="preserve">[54]</w:t>
        </w:r>
      </w:hyperlink>
      <w:r>
        <w:t xml:space="preserve"> </w:t>
      </w:r>
      <w:r>
        <w:t xml:space="preserve">Effects of habit formation interventions on physical activity habit strength: meta-analysis and meta-regression | International Journal of Behavioral Nutrition and Physical Activity | Springer Nature Link</w:t>
      </w:r>
    </w:p>
    <w:p>
      <w:pPr>
        <w:pStyle w:val="BodyText"/>
      </w:pPr>
      <w:hyperlink r:id="rId66">
        <w:r>
          <w:rPr>
            <w:rStyle w:val="Hyperlink"/>
          </w:rPr>
          <w:t xml:space="preserve">https://link.springer.com/article/10.1186/s12966-023-01493-3</w:t>
        </w:r>
      </w:hyperlink>
    </w:p>
    <w:p>
      <w:pPr>
        <w:pStyle w:val="BodyText"/>
      </w:pPr>
      <w:hyperlink r:id="rId67">
        <w:r>
          <w:rPr>
            <w:rStyle w:val="Hyperlink"/>
          </w:rPr>
          <w:t xml:space="preserve">[55]</w:t>
        </w:r>
      </w:hyperlink>
      <w:r>
        <w:t xml:space="preserve"> </w:t>
      </w:r>
      <w:r>
        <w:t xml:space="preserve">Technology-supported behavior change interventions for reducing sodium intake in adults: a systematic review and meta-analysis | npj Digital Medicine</w:t>
      </w:r>
    </w:p>
    <w:p>
      <w:pPr>
        <w:pStyle w:val="BodyText"/>
      </w:pPr>
      <w:hyperlink r:id="rId67">
        <w:r>
          <w:rPr>
            <w:rStyle w:val="Hyperlink"/>
          </w:rPr>
          <w:t xml:space="preserve">https://www.nature.com/articles/s41746-024-01067-y</w:t>
        </w:r>
      </w:hyperlink>
    </w:p>
    <w:p>
      <w:pPr>
        <w:pStyle w:val="BodyText"/>
      </w:pPr>
      <w:hyperlink r:id="rId68">
        <w:r>
          <w:rPr>
            <w:rStyle w:val="Hyperlink"/>
          </w:rPr>
          <w:t xml:space="preserve">[56]</w:t>
        </w:r>
      </w:hyperlink>
      <w:r>
        <w:t xml:space="preserve"> </w:t>
      </w:r>
      <w:r>
        <w:t xml:space="preserve">Does a combination of stop smoking medication and behavioural support help smokers to stop? | Cochrane</w:t>
      </w:r>
    </w:p>
    <w:p>
      <w:pPr>
        <w:pStyle w:val="BodyText"/>
      </w:pPr>
      <w:hyperlink r:id="rId68">
        <w:r>
          <w:rPr>
            <w:rStyle w:val="Hyperlink"/>
          </w:rPr>
          <w:t xml:space="preserve">https://www.cochrane.org/evidence/CD008286_does-combination-stop-smoking-medication-and-behavioural-support-help-smokers-stop</w:t>
        </w:r>
      </w:hyperlink>
    </w:p>
    <w:p>
      <w:pPr>
        <w:pStyle w:val="BodyText"/>
      </w:pPr>
      <w:hyperlink r:id="rId69">
        <w:r>
          <w:rPr>
            <w:rStyle w:val="Hyperlink"/>
          </w:rPr>
          <w:t xml:space="preserve">[57]</w:t>
        </w:r>
      </w:hyperlink>
      <w:r>
        <w:t xml:space="preserve"> </w:t>
      </w:r>
      <w:r>
        <w:t xml:space="preserve">Effectiveness of Brief Alcohol Interventions in Primary Care ...</w:t>
      </w:r>
    </w:p>
    <w:p>
      <w:pPr>
        <w:pStyle w:val="BodyText"/>
      </w:pPr>
      <w:hyperlink r:id="rId69">
        <w:r>
          <w:rPr>
            <w:rStyle w:val="Hyperlink"/>
          </w:rPr>
          <w:t xml:space="preserve">https://odphp.health.gov/healthypeople/tools-action/browse-evidence-based-resources/effectiveness-brief-alcohol-interventions-primary-care-populations?utm_source=chatgpt.com</w:t>
        </w:r>
      </w:hyperlink>
    </w:p>
    <w:p>
      <w:pPr>
        <w:pStyle w:val="BodyText"/>
      </w:pPr>
      <w:hyperlink r:id="rId70">
        <w:r>
          <w:rPr>
            <w:rStyle w:val="Hyperlink"/>
          </w:rPr>
          <w:t xml:space="preserve">[58]</w:t>
        </w:r>
      </w:hyperlink>
      <w:r>
        <w:t xml:space="preserve"> </w:t>
      </w:r>
      <w:r>
        <w:t xml:space="preserve">https://pmc.ncbi.nlm.nih.gov/articles/PMC11150315/</w:t>
      </w:r>
    </w:p>
    <w:p>
      <w:pPr>
        <w:pStyle w:val="BodyText"/>
      </w:pPr>
      <w:hyperlink r:id="rId70">
        <w:r>
          <w:rPr>
            <w:rStyle w:val="Hyperlink"/>
          </w:rPr>
          <w:t xml:space="preserve">https://pmc.ncbi.nlm.nih.gov/articles/PMC11150315/</w:t>
        </w:r>
      </w:hyperlink>
    </w:p>
    <w:p>
      <w:pPr>
        <w:pStyle w:val="BodyText"/>
      </w:pPr>
      <w:hyperlink r:id="rId71">
        <w:r>
          <w:rPr>
            <w:rStyle w:val="Hyperlink"/>
          </w:rPr>
          <w:t xml:space="preserve">[59]</w:t>
        </w:r>
      </w:hyperlink>
      <w:r>
        <w:t xml:space="preserve"> </w:t>
      </w:r>
      <w:hyperlink r:id="rId71">
        <w:r>
          <w:rPr>
            <w:rStyle w:val="Hyperlink"/>
          </w:rPr>
          <w:t xml:space="preserve">[101]</w:t>
        </w:r>
      </w:hyperlink>
      <w:r>
        <w:t xml:space="preserve"> </w:t>
      </w:r>
      <w:r>
        <w:t xml:space="preserve">https://pubmed.ncbi.nlm.nih.gov/11832527/</w:t>
      </w:r>
    </w:p>
    <w:p>
      <w:pPr>
        <w:pStyle w:val="BodyText"/>
      </w:pPr>
      <w:hyperlink r:id="rId71">
        <w:r>
          <w:rPr>
            <w:rStyle w:val="Hyperlink"/>
          </w:rPr>
          <w:t xml:space="preserve">https://pubmed.ncbi.nlm.nih.gov/11832527/</w:t>
        </w:r>
      </w:hyperlink>
    </w:p>
    <w:p>
      <w:pPr>
        <w:pStyle w:val="BodyText"/>
      </w:pPr>
      <w:hyperlink r:id="rId72">
        <w:r>
          <w:rPr>
            <w:rStyle w:val="Hyperlink"/>
          </w:rPr>
          <w:t xml:space="preserve">[60]</w:t>
        </w:r>
      </w:hyperlink>
      <w:r>
        <w:t xml:space="preserve"> </w:t>
      </w:r>
      <w:hyperlink r:id="rId72">
        <w:r>
          <w:rPr>
            <w:rStyle w:val="Hyperlink"/>
          </w:rPr>
          <w:t xml:space="preserve">[67]</w:t>
        </w:r>
      </w:hyperlink>
      <w:r>
        <w:t xml:space="preserve"> </w:t>
      </w:r>
      <w:hyperlink r:id="rId72">
        <w:r>
          <w:rPr>
            <w:rStyle w:val="Hyperlink"/>
          </w:rPr>
          <w:t xml:space="preserve">[85]</w:t>
        </w:r>
      </w:hyperlink>
      <w:r>
        <w:t xml:space="preserve"> </w:t>
      </w:r>
      <w:hyperlink r:id="rId72">
        <w:r>
          <w:rPr>
            <w:rStyle w:val="Hyperlink"/>
          </w:rPr>
          <w:t xml:space="preserve">[106]</w:t>
        </w:r>
      </w:hyperlink>
      <w:r>
        <w:t xml:space="preserve"> </w:t>
      </w:r>
      <w:r>
        <w:t xml:space="preserve">Organizational interventions and occupational burnout: a meta ...</w:t>
      </w:r>
    </w:p>
    <w:p>
      <w:pPr>
        <w:pStyle w:val="BodyText"/>
      </w:pPr>
      <w:hyperlink r:id="rId72">
        <w:r>
          <w:rPr>
            <w:rStyle w:val="Hyperlink"/>
          </w:rPr>
          <w:t xml:space="preserve">https://pmc.ncbi.nlm.nih.gov/articles/PMC10560169/?utm_source=chatgpt.com</w:t>
        </w:r>
      </w:hyperlink>
    </w:p>
    <w:p>
      <w:pPr>
        <w:pStyle w:val="BodyText"/>
      </w:pPr>
      <w:hyperlink r:id="rId74">
        <w:r>
          <w:rPr>
            <w:rStyle w:val="Hyperlink"/>
          </w:rPr>
          <w:t xml:space="preserve">[62]</w:t>
        </w:r>
      </w:hyperlink>
      <w:r>
        <w:t xml:space="preserve"> </w:t>
      </w:r>
      <w:hyperlink r:id="rId74">
        <w:r>
          <w:rPr>
            <w:rStyle w:val="Hyperlink"/>
          </w:rPr>
          <w:t xml:space="preserve">[73]</w:t>
        </w:r>
      </w:hyperlink>
      <w:r>
        <w:t xml:space="preserve"> </w:t>
      </w:r>
      <w:hyperlink r:id="rId74">
        <w:r>
          <w:rPr>
            <w:rStyle w:val="Hyperlink"/>
          </w:rPr>
          <w:t xml:space="preserve">[79]</w:t>
        </w:r>
      </w:hyperlink>
      <w:r>
        <w:t xml:space="preserve"> </w:t>
      </w:r>
      <w:r>
        <w:t xml:space="preserve">https://pmc.ncbi.nlm.nih.gov/articles/PMC3221353/</w:t>
      </w:r>
    </w:p>
    <w:p>
      <w:pPr>
        <w:pStyle w:val="BodyText"/>
      </w:pPr>
      <w:hyperlink r:id="rId74">
        <w:r>
          <w:rPr>
            <w:rStyle w:val="Hyperlink"/>
          </w:rPr>
          <w:t xml:space="preserve">https://pmc.ncbi.nlm.nih.gov/articles/PMC3221353/</w:t>
        </w:r>
      </w:hyperlink>
    </w:p>
    <w:p>
      <w:pPr>
        <w:pStyle w:val="BodyText"/>
      </w:pPr>
      <w:hyperlink r:id="rId76">
        <w:r>
          <w:rPr>
            <w:rStyle w:val="Hyperlink"/>
          </w:rPr>
          <w:t xml:space="preserve">[63]</w:t>
        </w:r>
      </w:hyperlink>
      <w:r>
        <w:t xml:space="preserve"> </w:t>
      </w:r>
      <w:r>
        <w:t xml:space="preserve">https://pmc.ncbi.nlm.nih.gov/articles/PMC8062071/</w:t>
      </w:r>
    </w:p>
    <w:p>
      <w:pPr>
        <w:pStyle w:val="BodyText"/>
      </w:pPr>
      <w:hyperlink r:id="rId76">
        <w:r>
          <w:rPr>
            <w:rStyle w:val="Hyperlink"/>
          </w:rPr>
          <w:t xml:space="preserve">https://pmc.ncbi.nlm.nih.gov/articles/PMC8062071/</w:t>
        </w:r>
      </w:hyperlink>
    </w:p>
    <w:p>
      <w:pPr>
        <w:pStyle w:val="BodyText"/>
      </w:pPr>
      <w:hyperlink r:id="rId77">
        <w:r>
          <w:rPr>
            <w:rStyle w:val="Hyperlink"/>
          </w:rPr>
          <w:t xml:space="preserve">[64]</w:t>
        </w:r>
      </w:hyperlink>
      <w:r>
        <w:t xml:space="preserve"> </w:t>
      </w:r>
      <w:hyperlink r:id="rId77">
        <w:r>
          <w:rPr>
            <w:rStyle w:val="Hyperlink"/>
          </w:rPr>
          <w:t xml:space="preserve">[105]</w:t>
        </w:r>
      </w:hyperlink>
      <w:r>
        <w:t xml:space="preserve"> </w:t>
      </w:r>
      <w:r>
        <w:t xml:space="preserve">https://pubmed.ncbi.nlm.nih.gov/40687065/</w:t>
      </w:r>
    </w:p>
    <w:p>
      <w:pPr>
        <w:pStyle w:val="BodyText"/>
      </w:pPr>
      <w:hyperlink r:id="rId77">
        <w:r>
          <w:rPr>
            <w:rStyle w:val="Hyperlink"/>
          </w:rPr>
          <w:t xml:space="preserve">https://pubmed.ncbi.nlm.nih.gov/40687065/</w:t>
        </w:r>
      </w:hyperlink>
    </w:p>
    <w:p>
      <w:pPr>
        <w:pStyle w:val="BodyText"/>
      </w:pPr>
      <w:hyperlink r:id="rId83">
        <w:r>
          <w:rPr>
            <w:rStyle w:val="Hyperlink"/>
          </w:rPr>
          <w:t xml:space="preserve">[74]</w:t>
        </w:r>
      </w:hyperlink>
      <w:r>
        <w:t xml:space="preserve"> </w:t>
      </w:r>
      <w:hyperlink r:id="rId83">
        <w:r>
          <w:rPr>
            <w:rStyle w:val="Hyperlink"/>
          </w:rPr>
          <w:t xml:space="preserve">[95]</w:t>
        </w:r>
      </w:hyperlink>
      <w:r>
        <w:t xml:space="preserve"> </w:t>
      </w:r>
      <w:r>
        <w:t xml:space="preserve">https://pmc.ncbi.nlm.nih.gov/articles/PMC4975085/</w:t>
      </w:r>
    </w:p>
    <w:p>
      <w:pPr>
        <w:pStyle w:val="BodyText"/>
      </w:pPr>
      <w:hyperlink r:id="rId83">
        <w:r>
          <w:rPr>
            <w:rStyle w:val="Hyperlink"/>
          </w:rPr>
          <w:t xml:space="preserve">https://pmc.ncbi.nlm.nih.gov/articles/PMC4975085/</w:t>
        </w:r>
      </w:hyperlink>
    </w:p>
    <w:p>
      <w:pPr>
        <w:pStyle w:val="BodyText"/>
      </w:pPr>
      <w:hyperlink r:id="rId86">
        <w:r>
          <w:rPr>
            <w:rStyle w:val="Hyperlink"/>
          </w:rPr>
          <w:t xml:space="preserve">[76]</w:t>
        </w:r>
      </w:hyperlink>
      <w:r>
        <w:t xml:space="preserve"> </w:t>
      </w:r>
      <w:hyperlink r:id="rId86">
        <w:r>
          <w:rPr>
            <w:rStyle w:val="Hyperlink"/>
          </w:rPr>
          <w:t xml:space="preserve">[82]</w:t>
        </w:r>
      </w:hyperlink>
      <w:r>
        <w:t xml:space="preserve"> </w:t>
      </w:r>
      <w:r>
        <w:t xml:space="preserve">https://www.apa.org/research-practice/conduct-research/self-efficacy-human-agency</w:t>
      </w:r>
    </w:p>
    <w:p>
      <w:pPr>
        <w:pStyle w:val="BodyText"/>
      </w:pPr>
      <w:hyperlink r:id="rId86">
        <w:r>
          <w:rPr>
            <w:rStyle w:val="Hyperlink"/>
          </w:rPr>
          <w:t xml:space="preserve">https://www.apa.org/research-practice/conduct-research/self-efficacy-human-agency</w:t>
        </w:r>
      </w:hyperlink>
    </w:p>
    <w:p>
      <w:pPr>
        <w:pStyle w:val="BodyText"/>
      </w:pPr>
      <w:hyperlink r:id="rId89">
        <w:r>
          <w:rPr>
            <w:rStyle w:val="Hyperlink"/>
          </w:rPr>
          <w:t xml:space="preserve">[87]</w:t>
        </w:r>
      </w:hyperlink>
      <w:r>
        <w:t xml:space="preserve"> </w:t>
      </w:r>
      <w:r>
        <w:t xml:space="preserve">The Health Belief Model of Behavior Change - StatPearls - NCBI</w:t>
      </w:r>
    </w:p>
    <w:p>
      <w:pPr>
        <w:pStyle w:val="BodyText"/>
      </w:pPr>
      <w:hyperlink r:id="rId89">
        <w:r>
          <w:rPr>
            <w:rStyle w:val="Hyperlink"/>
          </w:rPr>
          <w:t xml:space="preserve">https://www.ncbi.nlm.nih.gov/books/NBK606120/?utm_source=chatgpt.com</w:t>
        </w:r>
      </w:hyperlink>
    </w:p>
    <w:p>
      <w:pPr>
        <w:pStyle w:val="BodyText"/>
      </w:pPr>
      <w:hyperlink r:id="rId90">
        <w:r>
          <w:rPr>
            <w:rStyle w:val="Hyperlink"/>
          </w:rPr>
          <w:t xml:space="preserve">[88]</w:t>
        </w:r>
      </w:hyperlink>
      <w:r>
        <w:t xml:space="preserve"> </w:t>
      </w:r>
      <w:r>
        <w:t xml:space="preserve">The theory of planned behavior: Frequently asked questions</w:t>
      </w:r>
    </w:p>
    <w:p>
      <w:pPr>
        <w:pStyle w:val="BodyText"/>
      </w:pPr>
      <w:hyperlink r:id="rId90">
        <w:r>
          <w:rPr>
            <w:rStyle w:val="Hyperlink"/>
          </w:rPr>
          <w:t xml:space="preserve">https://people.umass.edu/aizen/pubs/tpb-faq.pdf?utm_source=chatgpt.com</w:t>
        </w:r>
      </w:hyperlink>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cancercontrol.cancer.gov/brp/research/constructs/implementation-intentions?utm_source=chatgpt.com" TargetMode="External" /><Relationship Type="http://schemas.openxmlformats.org/officeDocument/2006/relationships/hyperlink" Id="rId22" Target="https://cris.maastrichtuniversity.nl/en/publications/the-behaviour-change-wheel-a-new-method-for-characterising-and-de/?utm_source=chatgpt.com" TargetMode="External" /><Relationship Type="http://schemas.openxmlformats.org/officeDocument/2006/relationships/hyperlink" Id="rId25" Target="https://iaap-journals.onlinelibrary.wiley.com/doi/10.1111/aphw.70017?utm_source=chatgpt.com" TargetMode="External" /><Relationship Type="http://schemas.openxmlformats.org/officeDocument/2006/relationships/hyperlink" Id="rId33" Target="https://ideas.repec.org/a/eee/socmed/v344y2024ics027795362400073x.html" TargetMode="External" /><Relationship Type="http://schemas.openxmlformats.org/officeDocument/2006/relationships/hyperlink" Id="rId48" Target="https://journals.plos.org/plosone/article?id=10.1371%2Fjournal.pone.0204890" TargetMode="External" /><Relationship Type="http://schemas.openxmlformats.org/officeDocument/2006/relationships/hyperlink" Id="rId53" Target="https://link.springer.com/article/10.1186/1471-2458-13-119?utm_source=chatgpt.com" TargetMode="External" /><Relationship Type="http://schemas.openxmlformats.org/officeDocument/2006/relationships/hyperlink" Id="rId66" Target="https://link.springer.com/article/10.1186/s12966-023-01493-3" TargetMode="External" /><Relationship Type="http://schemas.openxmlformats.org/officeDocument/2006/relationships/hyperlink" Id="rId69" Target="https://odphp.health.gov/healthypeople/tools-action/browse-evidence-based-resources/effectiveness-brief-alcohol-interventions-primary-care-populations?utm_source=chatgpt.com" TargetMode="External" /><Relationship Type="http://schemas.openxmlformats.org/officeDocument/2006/relationships/hyperlink" Id="rId90" Target="https://people.umass.edu/aizen/pubs/tpb-faq.pdf?utm_source=chatgpt.com" TargetMode="External" /><Relationship Type="http://schemas.openxmlformats.org/officeDocument/2006/relationships/hyperlink" Id="rId55" Target="https://pmc.ncbi.nlm.nih.gov/articles/PMC10440292/?utm_source=chatgpt.com" TargetMode="External" /><Relationship Type="http://schemas.openxmlformats.org/officeDocument/2006/relationships/hyperlink" Id="rId72" Target="https://pmc.ncbi.nlm.nih.gov/articles/PMC10560169/?utm_source=chatgpt.com" TargetMode="External" /><Relationship Type="http://schemas.openxmlformats.org/officeDocument/2006/relationships/hyperlink" Id="rId52" Target="https://pmc.ncbi.nlm.nih.gov/articles/PMC10964774/?utm_source=chatgpt.com" TargetMode="External" /><Relationship Type="http://schemas.openxmlformats.org/officeDocument/2006/relationships/hyperlink" Id="rId70" Target="https://pmc.ncbi.nlm.nih.gov/articles/PMC11150315/" TargetMode="External" /><Relationship Type="http://schemas.openxmlformats.org/officeDocument/2006/relationships/hyperlink" Id="rId30" Target="https://pmc.ncbi.nlm.nih.gov/articles/PMC11641623/" TargetMode="External" /><Relationship Type="http://schemas.openxmlformats.org/officeDocument/2006/relationships/hyperlink" Id="rId46" Target="https://pmc.ncbi.nlm.nih.gov/articles/PMC11800834/" TargetMode="External" /><Relationship Type="http://schemas.openxmlformats.org/officeDocument/2006/relationships/hyperlink" Id="rId26" Target="https://pmc.ncbi.nlm.nih.gov/articles/PMC12411607/" TargetMode="External" /><Relationship Type="http://schemas.openxmlformats.org/officeDocument/2006/relationships/hyperlink" Id="rId63" Target="https://pmc.ncbi.nlm.nih.gov/articles/PMC12882803/?utm_source=chatgpt.com" TargetMode="External" /><Relationship Type="http://schemas.openxmlformats.org/officeDocument/2006/relationships/hyperlink" Id="rId37" Target="https://pmc.ncbi.nlm.nih.gov/articles/PMC3083636/" TargetMode="External" /><Relationship Type="http://schemas.openxmlformats.org/officeDocument/2006/relationships/hyperlink" Id="rId74" Target="https://pmc.ncbi.nlm.nih.gov/articles/PMC3221353/" TargetMode="External" /><Relationship Type="http://schemas.openxmlformats.org/officeDocument/2006/relationships/hyperlink" Id="rId58" Target="https://pmc.ncbi.nlm.nih.gov/articles/PMC4395856/?utm_source=chatgpt.com" TargetMode="External" /><Relationship Type="http://schemas.openxmlformats.org/officeDocument/2006/relationships/hyperlink" Id="rId45" Target="https://pmc.ncbi.nlm.nih.gov/articles/PMC4933736/?utm_source=chatgpt.com" TargetMode="External" /><Relationship Type="http://schemas.openxmlformats.org/officeDocument/2006/relationships/hyperlink" Id="rId60" Target="https://pmc.ncbi.nlm.nih.gov/articles/PMC4960264/" TargetMode="External" /><Relationship Type="http://schemas.openxmlformats.org/officeDocument/2006/relationships/hyperlink" Id="rId83" Target="https://pmc.ncbi.nlm.nih.gov/articles/PMC4975085/" TargetMode="External" /><Relationship Type="http://schemas.openxmlformats.org/officeDocument/2006/relationships/hyperlink" Id="rId36" Target="https://pmc.ncbi.nlm.nih.gov/articles/PMC5485368/" TargetMode="External" /><Relationship Type="http://schemas.openxmlformats.org/officeDocument/2006/relationships/hyperlink" Id="rId51" Target="https://pmc.ncbi.nlm.nih.gov/articles/PMC7429262/" TargetMode="External" /><Relationship Type="http://schemas.openxmlformats.org/officeDocument/2006/relationships/hyperlink" Id="rId76" Target="https://pmc.ncbi.nlm.nih.gov/articles/PMC8062071/" TargetMode="External" /><Relationship Type="http://schemas.openxmlformats.org/officeDocument/2006/relationships/hyperlink" Id="rId41" Target="https://pubmed.ncbi.nlm.nih.gov/10170434/" TargetMode="External" /><Relationship Type="http://schemas.openxmlformats.org/officeDocument/2006/relationships/hyperlink" Id="rId71" Target="https://pubmed.ncbi.nlm.nih.gov/11832527/" TargetMode="External" /><Relationship Type="http://schemas.openxmlformats.org/officeDocument/2006/relationships/hyperlink" Id="rId43" Target="https://pubmed.ncbi.nlm.nih.gov/21153982/?utm_source=chatgpt.com" TargetMode="External" /><Relationship Type="http://schemas.openxmlformats.org/officeDocument/2006/relationships/hyperlink" Id="rId24" Target="https://pubmed.ncbi.nlm.nih.gov/31983293/?utm_source=chatgpt.com" TargetMode="External" /><Relationship Type="http://schemas.openxmlformats.org/officeDocument/2006/relationships/hyperlink" Id="rId27" Target="https://pubmed.ncbi.nlm.nih.gov/38231522/" TargetMode="External" /><Relationship Type="http://schemas.openxmlformats.org/officeDocument/2006/relationships/hyperlink" Id="rId61" Target="https://pubmed.ncbi.nlm.nih.gov/39250294/" TargetMode="External" /><Relationship Type="http://schemas.openxmlformats.org/officeDocument/2006/relationships/hyperlink" Id="rId77" Target="https://pubmed.ncbi.nlm.nih.gov/40687065/" TargetMode="External" /><Relationship Type="http://schemas.openxmlformats.org/officeDocument/2006/relationships/hyperlink" Id="rId49" Target="https://pubmed.ncbi.nlm.nih.gov/41088011/" TargetMode="External" /><Relationship Type="http://schemas.openxmlformats.org/officeDocument/2006/relationships/hyperlink" Id="rId28" Target="https://research.vu.nl/en/publications/what-can-we-know-about-the-effectiveness-of-coaching-a-meta-analy/" TargetMode="External" /><Relationship Type="http://schemas.openxmlformats.org/officeDocument/2006/relationships/hyperlink" Id="rId32" Target="https://socialactionlab.org/wp-content/uploads/2024/01/Tannenbaum_Appealing-to-Fear-A-Meta-Analysis-of-Fear-Appeal-Effectiveness-and-Theories_2015.pdf?utm_source=chatgpt.com" TargetMode="External" /><Relationship Type="http://schemas.openxmlformats.org/officeDocument/2006/relationships/hyperlink" Id="rId21" Target="https://www.annualreviews.org/content/journals/10.1146/annurev-psych-020124-114222?TRACK=RSS" TargetMode="External" /><Relationship Type="http://schemas.openxmlformats.org/officeDocument/2006/relationships/hyperlink" Id="rId38" Target="https://www.annualreviews.org/content/journals/10.1146/annurev-psych-020223-124335?utm_source=chatgpt.com" TargetMode="External" /><Relationship Type="http://schemas.openxmlformats.org/officeDocument/2006/relationships/hyperlink" Id="rId31" Target="https://www.annualreviews.org/content/journals/10.1146/annurev-psych-020821-011744" TargetMode="External" /><Relationship Type="http://schemas.openxmlformats.org/officeDocument/2006/relationships/hyperlink" Id="rId23" Target="https://www.annualreviews.org/doi/pdf/10.1146/annurev-psych-060120-111721" TargetMode="External" /><Relationship Type="http://schemas.openxmlformats.org/officeDocument/2006/relationships/hyperlink" Id="rId86" Target="https://www.apa.org/research-practice/conduct-research/self-efficacy-human-agency" TargetMode="External" /><Relationship Type="http://schemas.openxmlformats.org/officeDocument/2006/relationships/hyperlink" Id="rId68" Target="https://www.cochrane.org/evidence/CD008286_does-combination-stop-smoking-medication-and-behavioural-support-help-smokers-stop" TargetMode="External" /><Relationship Type="http://schemas.openxmlformats.org/officeDocument/2006/relationships/hyperlink" Id="rId34" Target="https://www.frontiersin.org/journals/psychology/articles/10.3389/fpsyg.2017.02350/full?field=&amp;id=&amp;journalName=Frontiers_in_Psychology&amp;utm_source=chatgpt.com" TargetMode="External" /><Relationship Type="http://schemas.openxmlformats.org/officeDocument/2006/relationships/hyperlink" Id="rId67" Target="https://www.nature.com/articles/s41746-024-01067-y" TargetMode="External" /><Relationship Type="http://schemas.openxmlformats.org/officeDocument/2006/relationships/hyperlink" Id="rId44" Target="https://www.ncbi.nlm.nih.gov/books/NBK606120/" TargetMode="External" /><Relationship Type="http://schemas.openxmlformats.org/officeDocument/2006/relationships/hyperlink" Id="rId89" Target="https://www.ncbi.nlm.nih.gov/books/NBK606120/?utm_source=chatgpt.com" TargetMode="External" /><Relationship Type="http://schemas.openxmlformats.org/officeDocument/2006/relationships/hyperlink" Id="rId42" Target="https://www.ncbi.nlm.nih.gov/books/NBK71995/" TargetMode="External" /><Relationship Type="http://schemas.openxmlformats.org/officeDocument/2006/relationships/hyperlink" Id="rId54" Target="https://www.tandfonline.com/doi/full/10.1080/10503307.2024.2406540?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47" Target="https://cancercontrol.cancer.gov/brp/research/constructs/implementation-intentions?utm_source=chatgpt.com" TargetMode="External" /><Relationship Type="http://schemas.openxmlformats.org/officeDocument/2006/relationships/hyperlink" Id="rId22" Target="https://cris.maastrichtuniversity.nl/en/publications/the-behaviour-change-wheel-a-new-method-for-characterising-and-de/?utm_source=chatgpt.com" TargetMode="External" /><Relationship Type="http://schemas.openxmlformats.org/officeDocument/2006/relationships/hyperlink" Id="rId25" Target="https://iaap-journals.onlinelibrary.wiley.com/doi/10.1111/aphw.70017?utm_source=chatgpt.com" TargetMode="External" /><Relationship Type="http://schemas.openxmlformats.org/officeDocument/2006/relationships/hyperlink" Id="rId33" Target="https://ideas.repec.org/a/eee/socmed/v344y2024ics027795362400073x.html" TargetMode="External" /><Relationship Type="http://schemas.openxmlformats.org/officeDocument/2006/relationships/hyperlink" Id="rId48" Target="https://journals.plos.org/plosone/article?id=10.1371%2Fjournal.pone.0204890" TargetMode="External" /><Relationship Type="http://schemas.openxmlformats.org/officeDocument/2006/relationships/hyperlink" Id="rId53" Target="https://link.springer.com/article/10.1186/1471-2458-13-119?utm_source=chatgpt.com" TargetMode="External" /><Relationship Type="http://schemas.openxmlformats.org/officeDocument/2006/relationships/hyperlink" Id="rId66" Target="https://link.springer.com/article/10.1186/s12966-023-01493-3" TargetMode="External" /><Relationship Type="http://schemas.openxmlformats.org/officeDocument/2006/relationships/hyperlink" Id="rId69" Target="https://odphp.health.gov/healthypeople/tools-action/browse-evidence-based-resources/effectiveness-brief-alcohol-interventions-primary-care-populations?utm_source=chatgpt.com" TargetMode="External" /><Relationship Type="http://schemas.openxmlformats.org/officeDocument/2006/relationships/hyperlink" Id="rId90" Target="https://people.umass.edu/aizen/pubs/tpb-faq.pdf?utm_source=chatgpt.com" TargetMode="External" /><Relationship Type="http://schemas.openxmlformats.org/officeDocument/2006/relationships/hyperlink" Id="rId55" Target="https://pmc.ncbi.nlm.nih.gov/articles/PMC10440292/?utm_source=chatgpt.com" TargetMode="External" /><Relationship Type="http://schemas.openxmlformats.org/officeDocument/2006/relationships/hyperlink" Id="rId72" Target="https://pmc.ncbi.nlm.nih.gov/articles/PMC10560169/?utm_source=chatgpt.com" TargetMode="External" /><Relationship Type="http://schemas.openxmlformats.org/officeDocument/2006/relationships/hyperlink" Id="rId52" Target="https://pmc.ncbi.nlm.nih.gov/articles/PMC10964774/?utm_source=chatgpt.com" TargetMode="External" /><Relationship Type="http://schemas.openxmlformats.org/officeDocument/2006/relationships/hyperlink" Id="rId70" Target="https://pmc.ncbi.nlm.nih.gov/articles/PMC11150315/" TargetMode="External" /><Relationship Type="http://schemas.openxmlformats.org/officeDocument/2006/relationships/hyperlink" Id="rId30" Target="https://pmc.ncbi.nlm.nih.gov/articles/PMC11641623/" TargetMode="External" /><Relationship Type="http://schemas.openxmlformats.org/officeDocument/2006/relationships/hyperlink" Id="rId46" Target="https://pmc.ncbi.nlm.nih.gov/articles/PMC11800834/" TargetMode="External" /><Relationship Type="http://schemas.openxmlformats.org/officeDocument/2006/relationships/hyperlink" Id="rId26" Target="https://pmc.ncbi.nlm.nih.gov/articles/PMC12411607/" TargetMode="External" /><Relationship Type="http://schemas.openxmlformats.org/officeDocument/2006/relationships/hyperlink" Id="rId63" Target="https://pmc.ncbi.nlm.nih.gov/articles/PMC12882803/?utm_source=chatgpt.com" TargetMode="External" /><Relationship Type="http://schemas.openxmlformats.org/officeDocument/2006/relationships/hyperlink" Id="rId37" Target="https://pmc.ncbi.nlm.nih.gov/articles/PMC3083636/" TargetMode="External" /><Relationship Type="http://schemas.openxmlformats.org/officeDocument/2006/relationships/hyperlink" Id="rId74" Target="https://pmc.ncbi.nlm.nih.gov/articles/PMC3221353/" TargetMode="External" /><Relationship Type="http://schemas.openxmlformats.org/officeDocument/2006/relationships/hyperlink" Id="rId58" Target="https://pmc.ncbi.nlm.nih.gov/articles/PMC4395856/?utm_source=chatgpt.com" TargetMode="External" /><Relationship Type="http://schemas.openxmlformats.org/officeDocument/2006/relationships/hyperlink" Id="rId45" Target="https://pmc.ncbi.nlm.nih.gov/articles/PMC4933736/?utm_source=chatgpt.com" TargetMode="External" /><Relationship Type="http://schemas.openxmlformats.org/officeDocument/2006/relationships/hyperlink" Id="rId60" Target="https://pmc.ncbi.nlm.nih.gov/articles/PMC4960264/" TargetMode="External" /><Relationship Type="http://schemas.openxmlformats.org/officeDocument/2006/relationships/hyperlink" Id="rId83" Target="https://pmc.ncbi.nlm.nih.gov/articles/PMC4975085/" TargetMode="External" /><Relationship Type="http://schemas.openxmlformats.org/officeDocument/2006/relationships/hyperlink" Id="rId36" Target="https://pmc.ncbi.nlm.nih.gov/articles/PMC5485368/" TargetMode="External" /><Relationship Type="http://schemas.openxmlformats.org/officeDocument/2006/relationships/hyperlink" Id="rId51" Target="https://pmc.ncbi.nlm.nih.gov/articles/PMC7429262/" TargetMode="External" /><Relationship Type="http://schemas.openxmlformats.org/officeDocument/2006/relationships/hyperlink" Id="rId76" Target="https://pmc.ncbi.nlm.nih.gov/articles/PMC8062071/" TargetMode="External" /><Relationship Type="http://schemas.openxmlformats.org/officeDocument/2006/relationships/hyperlink" Id="rId41" Target="https://pubmed.ncbi.nlm.nih.gov/10170434/" TargetMode="External" /><Relationship Type="http://schemas.openxmlformats.org/officeDocument/2006/relationships/hyperlink" Id="rId71" Target="https://pubmed.ncbi.nlm.nih.gov/11832527/" TargetMode="External" /><Relationship Type="http://schemas.openxmlformats.org/officeDocument/2006/relationships/hyperlink" Id="rId43" Target="https://pubmed.ncbi.nlm.nih.gov/21153982/?utm_source=chatgpt.com" TargetMode="External" /><Relationship Type="http://schemas.openxmlformats.org/officeDocument/2006/relationships/hyperlink" Id="rId24" Target="https://pubmed.ncbi.nlm.nih.gov/31983293/?utm_source=chatgpt.com" TargetMode="External" /><Relationship Type="http://schemas.openxmlformats.org/officeDocument/2006/relationships/hyperlink" Id="rId27" Target="https://pubmed.ncbi.nlm.nih.gov/38231522/" TargetMode="External" /><Relationship Type="http://schemas.openxmlformats.org/officeDocument/2006/relationships/hyperlink" Id="rId61" Target="https://pubmed.ncbi.nlm.nih.gov/39250294/" TargetMode="External" /><Relationship Type="http://schemas.openxmlformats.org/officeDocument/2006/relationships/hyperlink" Id="rId77" Target="https://pubmed.ncbi.nlm.nih.gov/40687065/" TargetMode="External" /><Relationship Type="http://schemas.openxmlformats.org/officeDocument/2006/relationships/hyperlink" Id="rId49" Target="https://pubmed.ncbi.nlm.nih.gov/41088011/" TargetMode="External" /><Relationship Type="http://schemas.openxmlformats.org/officeDocument/2006/relationships/hyperlink" Id="rId28" Target="https://research.vu.nl/en/publications/what-can-we-know-about-the-effectiveness-of-coaching-a-meta-analy/" TargetMode="External" /><Relationship Type="http://schemas.openxmlformats.org/officeDocument/2006/relationships/hyperlink" Id="rId32" Target="https://socialactionlab.org/wp-content/uploads/2024/01/Tannenbaum_Appealing-to-Fear-A-Meta-Analysis-of-Fear-Appeal-Effectiveness-and-Theories_2015.pdf?utm_source=chatgpt.com" TargetMode="External" /><Relationship Type="http://schemas.openxmlformats.org/officeDocument/2006/relationships/hyperlink" Id="rId21" Target="https://www.annualreviews.org/content/journals/10.1146/annurev-psych-020124-114222?TRACK=RSS" TargetMode="External" /><Relationship Type="http://schemas.openxmlformats.org/officeDocument/2006/relationships/hyperlink" Id="rId38" Target="https://www.annualreviews.org/content/journals/10.1146/annurev-psych-020223-124335?utm_source=chatgpt.com" TargetMode="External" /><Relationship Type="http://schemas.openxmlformats.org/officeDocument/2006/relationships/hyperlink" Id="rId31" Target="https://www.annualreviews.org/content/journals/10.1146/annurev-psych-020821-011744" TargetMode="External" /><Relationship Type="http://schemas.openxmlformats.org/officeDocument/2006/relationships/hyperlink" Id="rId23" Target="https://www.annualreviews.org/doi/pdf/10.1146/annurev-psych-060120-111721" TargetMode="External" /><Relationship Type="http://schemas.openxmlformats.org/officeDocument/2006/relationships/hyperlink" Id="rId86" Target="https://www.apa.org/research-practice/conduct-research/self-efficacy-human-agency" TargetMode="External" /><Relationship Type="http://schemas.openxmlformats.org/officeDocument/2006/relationships/hyperlink" Id="rId68" Target="https://www.cochrane.org/evidence/CD008286_does-combination-stop-smoking-medication-and-behavioural-support-help-smokers-stop" TargetMode="External" /><Relationship Type="http://schemas.openxmlformats.org/officeDocument/2006/relationships/hyperlink" Id="rId34" Target="https://www.frontiersin.org/journals/psychology/articles/10.3389/fpsyg.2017.02350/full?field=&amp;id=&amp;journalName=Frontiers_in_Psychology&amp;utm_source=chatgpt.com" TargetMode="External" /><Relationship Type="http://schemas.openxmlformats.org/officeDocument/2006/relationships/hyperlink" Id="rId67" Target="https://www.nature.com/articles/s41746-024-01067-y" TargetMode="External" /><Relationship Type="http://schemas.openxmlformats.org/officeDocument/2006/relationships/hyperlink" Id="rId44" Target="https://www.ncbi.nlm.nih.gov/books/NBK606120/" TargetMode="External" /><Relationship Type="http://schemas.openxmlformats.org/officeDocument/2006/relationships/hyperlink" Id="rId89" Target="https://www.ncbi.nlm.nih.gov/books/NBK606120/?utm_source=chatgpt.com" TargetMode="External" /><Relationship Type="http://schemas.openxmlformats.org/officeDocument/2006/relationships/hyperlink" Id="rId42" Target="https://www.ncbi.nlm.nih.gov/books/NBK71995/" TargetMode="External" /><Relationship Type="http://schemas.openxmlformats.org/officeDocument/2006/relationships/hyperlink" Id="rId54" Target="https://www.tandfonline.com/doi/full/10.1080/10503307.2024.2406540?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2026-06-18T09:40:47Z</dcterms:created>
  <dcterms:modified xsi:type="dcterms:W3CDTF">2026-06-18T09:40:47Z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