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jc w:val="center"/>
      </w:pPr>
      <w:r>
        <w:rPr>
          <w:rFonts w:ascii="Aptos Display" w:hAnsi="Aptos Display"/>
          <w:b/>
          <w:color w:val="19375A"/>
          <w:sz w:val="52"/>
        </w:rPr>
        <w:t>EXECUTIVE SUMMARY</w:t>
      </w:r>
    </w:p>
    <w:p>
      <w:pPr>
        <w:spacing w:after="280"/>
        <w:jc w:val="center"/>
      </w:pPr>
      <w:r>
        <w:rPr>
          <w:rFonts w:ascii="Aptos Display" w:hAnsi="Aptos Display"/>
          <w:color w:val="235A82"/>
          <w:sz w:val="34"/>
        </w:rPr>
        <w:t>Customer Churn Analysis</w:t>
      </w:r>
    </w:p>
    <w:p>
      <w:pPr>
        <w:pStyle w:val="Heading1"/>
      </w:pPr>
      <w:r>
        <w:t>1. Business Overview</w:t>
      </w:r>
    </w:p>
    <w:p>
      <w:r>
        <w:t>Customer churn is a critical business metric because losing existing customers can affect recurring revenue, customer lifetime value, and long-term business growth. This project uses exploratory data analysis (EDA) and data visualization to examine customer demographics, tenure, contract types, service subscriptions, and payment methods, with the goal of understanding how these characteristics relate to churn.</w:t>
      </w:r>
    </w:p>
    <w:p>
      <w:r>
        <w:t>The analysis covers 7,043 customer records across 21 columns. Pandas was used for data manipulation and preprocessing, while Matplotlib and Seaborn were used to create visualizations and identify patterns.</w:t>
      </w:r>
    </w:p>
    <w:p>
      <w:pPr>
        <w:pStyle w:val="Heading1"/>
      </w:pPr>
      <w:r>
        <w:t>2. Data Preparation and Quality Assessment</w:t>
      </w:r>
    </w:p>
    <w:p>
      <w:pPr>
        <w:pStyle w:val="ListBullet"/>
        <w:spacing w:after="40"/>
      </w:pPr>
      <w:r>
        <w:t>Inspected dataset structure, column names, data types, and descriptive statistics.</w:t>
      </w:r>
    </w:p>
    <w:p>
      <w:pPr>
        <w:pStyle w:val="ListBullet"/>
        <w:spacing w:after="40"/>
      </w:pPr>
      <w:r>
        <w:t>Checked for missing values; the notebook reports no missing values.</w:t>
      </w:r>
    </w:p>
    <w:p>
      <w:pPr>
        <w:pStyle w:val="ListBullet"/>
        <w:spacing w:after="40"/>
      </w:pPr>
      <w:r>
        <w:t>Checked for duplicate customer IDs; no duplicate IDs were identified.</w:t>
      </w:r>
    </w:p>
    <w:p>
      <w:pPr>
        <w:pStyle w:val="ListBullet"/>
        <w:spacing w:after="40"/>
      </w:pPr>
      <w:r>
        <w:t>Converted TotalCharges to a numeric format, treating blank strings as zero for analysis.</w:t>
      </w:r>
    </w:p>
    <w:p>
      <w:pPr>
        <w:pStyle w:val="ListBullet"/>
        <w:spacing w:after="40"/>
      </w:pPr>
      <w:r>
        <w:t>Converted SeniorCitizen binary values into readable Yes/No categories.</w:t>
      </w:r>
    </w:p>
    <w:p>
      <w:pPr>
        <w:pStyle w:val="ListBullet"/>
        <w:spacing w:after="40"/>
      </w:pPr>
      <w:r>
        <w:t>Created exploratory visualizations across demographic, tenure, contract, service, and payment variables.</w:t>
      </w:r>
    </w:p>
    <w:p>
      <w:pPr>
        <w:pStyle w:val="Heading1"/>
      </w:pPr>
      <w:r>
        <w:t>3. Overall Customer Churn</w:t>
      </w:r>
    </w:p>
    <w:p>
      <w:r>
        <w:t>The overall churn chart establishes the baseline retention picture. Based on the standard 7,043-record Telco Customer Churn dataset associated with this notebook, approximately one in four customers has churned.</w:t>
      </w:r>
    </w:p>
    <w:tbl>
      <w:tblPr>
        <w:tblStyle w:val="TableGrid"/>
        <w:tblW w:type="auto" w:w="0"/>
        <w:jc w:val="center"/>
        <w:tblLook w:firstColumn="1" w:firstRow="1" w:lastColumn="0" w:lastRow="0" w:noHBand="0" w:noVBand="1" w:val="04A0"/>
      </w:tblPr>
      <w:tblGrid>
        <w:gridCol w:w="3312"/>
        <w:gridCol w:w="3312"/>
        <w:gridCol w:w="3312"/>
      </w:tblGrid>
      <w:tr>
        <w:tc>
          <w:tcPr>
            <w:tcW w:type="dxa" w:w="3456"/>
            <w:vAlign w:val="center"/>
            <w:shd w:fill="19375A"/>
          </w:tcPr>
          <w:p>
            <w:pPr>
              <w:spacing w:after="0"/>
            </w:pPr>
            <w:r/>
            <w:r>
              <w:rPr>
                <w:rFonts w:ascii="Aptos" w:hAnsi="Aptos"/>
                <w:b/>
                <w:color w:val="FFFFFF"/>
                <w:sz w:val="18"/>
              </w:rPr>
              <w:t>Customer status</w:t>
            </w:r>
          </w:p>
        </w:tc>
        <w:tc>
          <w:tcPr>
            <w:tcW w:type="dxa" w:w="2160"/>
            <w:vAlign w:val="center"/>
            <w:shd w:fill="19375A"/>
          </w:tcPr>
          <w:p>
            <w:pPr>
              <w:spacing w:after="0"/>
            </w:pPr>
            <w:r/>
            <w:r>
              <w:rPr>
                <w:rFonts w:ascii="Aptos" w:hAnsi="Aptos"/>
                <w:b/>
                <w:color w:val="FFFFFF"/>
                <w:sz w:val="18"/>
              </w:rPr>
              <w:t>Customers</w:t>
            </w:r>
          </w:p>
        </w:tc>
        <w:tc>
          <w:tcPr>
            <w:tcW w:type="dxa" w:w="3024"/>
            <w:vAlign w:val="center"/>
            <w:shd w:fill="19375A"/>
          </w:tcPr>
          <w:p>
            <w:pPr>
              <w:spacing w:after="0"/>
            </w:pPr>
            <w:r/>
            <w:r>
              <w:rPr>
                <w:rFonts w:ascii="Aptos" w:hAnsi="Aptos"/>
                <w:b/>
                <w:color w:val="FFFFFF"/>
                <w:sz w:val="18"/>
              </w:rPr>
              <w:t>Share of all customers</w:t>
            </w:r>
          </w:p>
        </w:tc>
      </w:tr>
      <w:tr>
        <w:tc>
          <w:tcPr>
            <w:tcW w:type="dxa" w:w="3456"/>
            <w:vAlign w:val="center"/>
          </w:tcPr>
          <w:p>
            <w:pPr>
              <w:spacing w:after="0"/>
            </w:pPr>
            <w:r/>
            <w:r>
              <w:rPr>
                <w:rFonts w:ascii="Aptos" w:hAnsi="Aptos"/>
                <w:b w:val="0"/>
                <w:sz w:val="18"/>
              </w:rPr>
              <w:t>Retained</w:t>
            </w:r>
          </w:p>
        </w:tc>
        <w:tc>
          <w:tcPr>
            <w:tcW w:type="dxa" w:w="2160"/>
            <w:vAlign w:val="center"/>
          </w:tcPr>
          <w:p>
            <w:pPr>
              <w:spacing w:after="0"/>
            </w:pPr>
            <w:r/>
            <w:r>
              <w:rPr>
                <w:rFonts w:ascii="Aptos" w:hAnsi="Aptos"/>
                <w:b w:val="0"/>
                <w:sz w:val="18"/>
              </w:rPr>
              <w:t>5,174</w:t>
            </w:r>
          </w:p>
        </w:tc>
        <w:tc>
          <w:tcPr>
            <w:tcW w:type="dxa" w:w="3024"/>
            <w:vAlign w:val="center"/>
          </w:tcPr>
          <w:p>
            <w:pPr>
              <w:spacing w:after="0"/>
            </w:pPr>
            <w:r/>
            <w:r>
              <w:rPr>
                <w:rFonts w:ascii="Aptos" w:hAnsi="Aptos"/>
                <w:b w:val="0"/>
                <w:sz w:val="18"/>
              </w:rPr>
              <w:t>73.46%</w:t>
            </w:r>
          </w:p>
        </w:tc>
      </w:tr>
      <w:tr>
        <w:tc>
          <w:tcPr>
            <w:tcW w:type="dxa" w:w="3456"/>
            <w:vAlign w:val="center"/>
            <w:shd w:fill="F3F6F9"/>
          </w:tcPr>
          <w:p>
            <w:pPr>
              <w:spacing w:after="0"/>
            </w:pPr>
            <w:r/>
            <w:r>
              <w:rPr>
                <w:rFonts w:ascii="Aptos" w:hAnsi="Aptos"/>
                <w:b w:val="0"/>
                <w:sz w:val="18"/>
              </w:rPr>
              <w:t>Churned</w:t>
            </w:r>
          </w:p>
        </w:tc>
        <w:tc>
          <w:tcPr>
            <w:tcW w:type="dxa" w:w="2160"/>
            <w:vAlign w:val="center"/>
            <w:shd w:fill="F3F6F9"/>
          </w:tcPr>
          <w:p>
            <w:pPr>
              <w:spacing w:after="0"/>
            </w:pPr>
            <w:r/>
            <w:r>
              <w:rPr>
                <w:rFonts w:ascii="Aptos" w:hAnsi="Aptos"/>
                <w:b w:val="0"/>
                <w:sz w:val="18"/>
              </w:rPr>
              <w:t>1,869</w:t>
            </w:r>
          </w:p>
        </w:tc>
        <w:tc>
          <w:tcPr>
            <w:tcW w:type="dxa" w:w="3024"/>
            <w:vAlign w:val="center"/>
            <w:shd w:fill="F3F6F9"/>
          </w:tcPr>
          <w:p>
            <w:pPr>
              <w:spacing w:after="0"/>
            </w:pPr>
            <w:r/>
            <w:r>
              <w:rPr>
                <w:rFonts w:ascii="Aptos" w:hAnsi="Aptos"/>
                <w:b w:val="0"/>
                <w:sz w:val="18"/>
              </w:rPr>
              <w:t>26.54%</w:t>
            </w:r>
          </w:p>
        </w:tc>
      </w:tr>
      <w:tr>
        <w:tc>
          <w:tcPr>
            <w:tcW w:type="dxa" w:w="3456"/>
            <w:vAlign w:val="center"/>
          </w:tcPr>
          <w:p>
            <w:pPr>
              <w:spacing w:after="0"/>
            </w:pPr>
            <w:r/>
            <w:r>
              <w:rPr>
                <w:rFonts w:ascii="Aptos" w:hAnsi="Aptos"/>
                <w:b w:val="0"/>
                <w:sz w:val="18"/>
              </w:rPr>
              <w:t>Total</w:t>
            </w:r>
          </w:p>
        </w:tc>
        <w:tc>
          <w:tcPr>
            <w:tcW w:type="dxa" w:w="2160"/>
            <w:vAlign w:val="center"/>
          </w:tcPr>
          <w:p>
            <w:pPr>
              <w:spacing w:after="0"/>
            </w:pPr>
            <w:r/>
            <w:r>
              <w:rPr>
                <w:rFonts w:ascii="Aptos" w:hAnsi="Aptos"/>
                <w:b w:val="0"/>
                <w:sz w:val="18"/>
              </w:rPr>
              <w:t>7,043</w:t>
            </w:r>
          </w:p>
        </w:tc>
        <w:tc>
          <w:tcPr>
            <w:tcW w:type="dxa" w:w="3024"/>
            <w:vAlign w:val="center"/>
          </w:tcPr>
          <w:p>
            <w:pPr>
              <w:spacing w:after="0"/>
            </w:pPr>
            <w:r/>
            <w:r>
              <w:rPr>
                <w:rFonts w:ascii="Aptos" w:hAnsi="Aptos"/>
                <w:b w:val="0"/>
                <w:sz w:val="18"/>
              </w:rPr>
              <w:t>100.00%</w:t>
            </w:r>
          </w:p>
        </w:tc>
      </w:tr>
    </w:tbl>
    <w:p>
      <w:pPr>
        <w:spacing w:after="20"/>
      </w:pPr>
    </w:p>
    <w:p>
      <w:r>
        <w:t>A churn rate of 26.54% represents a meaningful retention challenge. This overall rate provides a baseline against which individual customer segments can be compared. Retention efforts should prioritize segments with high within-segment churn rates rather than relying on raw customer counts alone.</w:t>
      </w:r>
    </w:p>
    <w:p>
      <w:pPr>
        <w:pStyle w:val="Heading1"/>
      </w:pPr>
      <w:r>
        <w:t>4. Customer Demographics and Churn</w:t>
      </w:r>
    </w:p>
    <w:p>
      <w:pPr>
        <w:pStyle w:val="Heading2"/>
      </w:pPr>
      <w:r>
        <w:t>4.1 Gender-based analysis</w:t>
      </w:r>
    </w:p>
    <w:p>
      <w:r>
        <w:t>The gender-based count plot compares churned and retained customers among male and female customers. Because group sizes may differ, raw counts alone cannot establish which group has a higher churn risk. A fair comparison uses the churn rate within each group: churned customers in the group divided by all customers in that group, multiplied by 100. Any observed difference should be interpreted alongside tenure, contract type, and service subscriptions.</w:t>
      </w:r>
    </w:p>
    <w:p>
      <w:pPr>
        <w:pStyle w:val="Heading2"/>
      </w:pPr>
      <w:r>
        <w:t>4.2 Senior-citizen analysis</w:t>
      </w:r>
    </w:p>
    <w:p>
      <w:r>
        <w:t>The dataset contains approximately 16.21% senior citizens and 83.79% non-senior customers. The senior-citizen segment has a higher churn rate than the non-senior segment in this dataset.</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19375A"/>
          </w:tcPr>
          <w:p>
            <w:pPr>
              <w:spacing w:after="0"/>
            </w:pPr>
            <w:r/>
            <w:r>
              <w:rPr>
                <w:rFonts w:ascii="Aptos" w:hAnsi="Aptos"/>
                <w:b/>
                <w:color w:val="FFFFFF"/>
                <w:sz w:val="18"/>
              </w:rPr>
              <w:t>Customer segment</w:t>
            </w:r>
          </w:p>
        </w:tc>
        <w:tc>
          <w:tcPr>
            <w:tcW w:type="dxa" w:w="4032"/>
            <w:vAlign w:val="center"/>
            <w:shd w:fill="19375A"/>
          </w:tcPr>
          <w:p>
            <w:pPr>
              <w:spacing w:after="0"/>
            </w:pPr>
            <w:r/>
            <w:r>
              <w:rPr>
                <w:rFonts w:ascii="Aptos" w:hAnsi="Aptos"/>
                <w:b/>
                <w:color w:val="FFFFFF"/>
                <w:sz w:val="18"/>
              </w:rPr>
              <w:t>Approximate churn rate</w:t>
            </w:r>
          </w:p>
        </w:tc>
      </w:tr>
      <w:tr>
        <w:tc>
          <w:tcPr>
            <w:tcW w:type="dxa" w:w="4608"/>
            <w:vAlign w:val="center"/>
          </w:tcPr>
          <w:p>
            <w:pPr>
              <w:spacing w:after="0"/>
            </w:pPr>
            <w:r/>
            <w:r>
              <w:rPr>
                <w:rFonts w:ascii="Aptos" w:hAnsi="Aptos"/>
                <w:b w:val="0"/>
                <w:sz w:val="18"/>
              </w:rPr>
              <w:t>Senior citizens</w:t>
            </w:r>
          </w:p>
        </w:tc>
        <w:tc>
          <w:tcPr>
            <w:tcW w:type="dxa" w:w="4032"/>
            <w:vAlign w:val="center"/>
          </w:tcPr>
          <w:p>
            <w:pPr>
              <w:spacing w:after="0"/>
            </w:pPr>
            <w:r/>
            <w:r>
              <w:rPr>
                <w:rFonts w:ascii="Aptos" w:hAnsi="Aptos"/>
                <w:b w:val="0"/>
                <w:sz w:val="18"/>
              </w:rPr>
              <w:t>41.68%</w:t>
            </w:r>
          </w:p>
        </w:tc>
      </w:tr>
      <w:tr>
        <w:tc>
          <w:tcPr>
            <w:tcW w:type="dxa" w:w="4608"/>
            <w:vAlign w:val="center"/>
            <w:shd w:fill="F3F6F9"/>
          </w:tcPr>
          <w:p>
            <w:pPr>
              <w:spacing w:after="0"/>
            </w:pPr>
            <w:r/>
            <w:r>
              <w:rPr>
                <w:rFonts w:ascii="Aptos" w:hAnsi="Aptos"/>
                <w:b w:val="0"/>
                <w:sz w:val="18"/>
              </w:rPr>
              <w:t>Non-senior customers</w:t>
            </w:r>
          </w:p>
        </w:tc>
        <w:tc>
          <w:tcPr>
            <w:tcW w:type="dxa" w:w="4032"/>
            <w:vAlign w:val="center"/>
            <w:shd w:fill="F3F6F9"/>
          </w:tcPr>
          <w:p>
            <w:pPr>
              <w:spacing w:after="0"/>
            </w:pPr>
            <w:r/>
            <w:r>
              <w:rPr>
                <w:rFonts w:ascii="Aptos" w:hAnsi="Aptos"/>
                <w:b w:val="0"/>
                <w:sz w:val="18"/>
              </w:rPr>
              <w:t>23.61%</w:t>
            </w:r>
          </w:p>
        </w:tc>
      </w:tr>
    </w:tbl>
    <w:p>
      <w:pPr>
        <w:spacing w:after="20"/>
      </w:pPr>
    </w:p>
    <w:p>
      <w:r>
        <w:t>This difference suggests that senior customers may warrant closer examination, but it does not establish that age alone causes churn. Potential follow-up areas include service accessibility, support experience, and plan suitability.</w:t>
      </w:r>
    </w:p>
    <w:p>
      <w:pPr>
        <w:pStyle w:val="Heading1"/>
      </w:pPr>
      <w:r>
        <w:t>5. Customer Tenure Analysis</w:t>
      </w:r>
    </w:p>
    <w:p>
      <w:r>
        <w:t>The tenure histogram examines how long customers have maintained their relationships with the company and how tenure relates to churn status. The dataset has an average tenure of approximately 32.37 months, a median of 29 months, and a range of 0 to 72 months.</w:t>
      </w:r>
    </w:p>
    <w:p>
      <w:r>
        <w:t>Tenure-band churn rates would help establish whether churn is concentrated among newer customers or distributed throughout the customer lifecycle. Recommended follow-up actions include reviewing onboarding, monitoring early customer complaints, and comparing retention across tenure bands such as 0–12, 13–24, and more than 24 months.</w:t>
      </w:r>
    </w:p>
    <w:p>
      <w:pPr>
        <w:pStyle w:val="Heading1"/>
      </w:pPr>
      <w:r>
        <w:t>6. Contract Type and Customer Churn</w:t>
      </w:r>
    </w:p>
    <w:p>
      <w:r>
        <w:t>The contract visualization compares month-to-month, one-year, and two-year contracts. The observed rates show a substantial association between contract type and churn.</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19375A"/>
          </w:tcPr>
          <w:p>
            <w:pPr>
              <w:spacing w:after="0"/>
            </w:pPr>
            <w:r/>
            <w:r>
              <w:rPr>
                <w:rFonts w:ascii="Aptos" w:hAnsi="Aptos"/>
                <w:b/>
                <w:color w:val="FFFFFF"/>
                <w:sz w:val="18"/>
              </w:rPr>
              <w:t>Contract type</w:t>
            </w:r>
          </w:p>
        </w:tc>
        <w:tc>
          <w:tcPr>
            <w:tcW w:type="dxa" w:w="4032"/>
            <w:vAlign w:val="center"/>
            <w:shd w:fill="19375A"/>
          </w:tcPr>
          <w:p>
            <w:pPr>
              <w:spacing w:after="0"/>
            </w:pPr>
            <w:r/>
            <w:r>
              <w:rPr>
                <w:rFonts w:ascii="Aptos" w:hAnsi="Aptos"/>
                <w:b/>
                <w:color w:val="FFFFFF"/>
                <w:sz w:val="18"/>
              </w:rPr>
              <w:t>Approximate churn rate</w:t>
            </w:r>
          </w:p>
        </w:tc>
      </w:tr>
      <w:tr>
        <w:tc>
          <w:tcPr>
            <w:tcW w:type="dxa" w:w="4608"/>
            <w:vAlign w:val="center"/>
          </w:tcPr>
          <w:p>
            <w:pPr>
              <w:spacing w:after="0"/>
            </w:pPr>
            <w:r/>
            <w:r>
              <w:rPr>
                <w:rFonts w:ascii="Aptos" w:hAnsi="Aptos"/>
                <w:b w:val="0"/>
                <w:sz w:val="18"/>
              </w:rPr>
              <w:t>Month-to-month</w:t>
            </w:r>
          </w:p>
        </w:tc>
        <w:tc>
          <w:tcPr>
            <w:tcW w:type="dxa" w:w="4032"/>
            <w:vAlign w:val="center"/>
          </w:tcPr>
          <w:p>
            <w:pPr>
              <w:spacing w:after="0"/>
            </w:pPr>
            <w:r/>
            <w:r>
              <w:rPr>
                <w:rFonts w:ascii="Aptos" w:hAnsi="Aptos"/>
                <w:b w:val="0"/>
                <w:sz w:val="18"/>
              </w:rPr>
              <w:t>42.71%</w:t>
            </w:r>
          </w:p>
        </w:tc>
      </w:tr>
      <w:tr>
        <w:tc>
          <w:tcPr>
            <w:tcW w:type="dxa" w:w="4608"/>
            <w:vAlign w:val="center"/>
            <w:shd w:fill="F3F6F9"/>
          </w:tcPr>
          <w:p>
            <w:pPr>
              <w:spacing w:after="0"/>
            </w:pPr>
            <w:r/>
            <w:r>
              <w:rPr>
                <w:rFonts w:ascii="Aptos" w:hAnsi="Aptos"/>
                <w:b w:val="0"/>
                <w:sz w:val="18"/>
              </w:rPr>
              <w:t>One-year contract</w:t>
            </w:r>
          </w:p>
        </w:tc>
        <w:tc>
          <w:tcPr>
            <w:tcW w:type="dxa" w:w="4032"/>
            <w:vAlign w:val="center"/>
            <w:shd w:fill="F3F6F9"/>
          </w:tcPr>
          <w:p>
            <w:pPr>
              <w:spacing w:after="0"/>
            </w:pPr>
            <w:r/>
            <w:r>
              <w:rPr>
                <w:rFonts w:ascii="Aptos" w:hAnsi="Aptos"/>
                <w:b w:val="0"/>
                <w:sz w:val="18"/>
              </w:rPr>
              <w:t>11.27%</w:t>
            </w:r>
          </w:p>
        </w:tc>
      </w:tr>
      <w:tr>
        <w:tc>
          <w:tcPr>
            <w:tcW w:type="dxa" w:w="4608"/>
            <w:vAlign w:val="center"/>
          </w:tcPr>
          <w:p>
            <w:pPr>
              <w:spacing w:after="0"/>
            </w:pPr>
            <w:r/>
            <w:r>
              <w:rPr>
                <w:rFonts w:ascii="Aptos" w:hAnsi="Aptos"/>
                <w:b w:val="0"/>
                <w:sz w:val="18"/>
              </w:rPr>
              <w:t>Two-year contract</w:t>
            </w:r>
          </w:p>
        </w:tc>
        <w:tc>
          <w:tcPr>
            <w:tcW w:type="dxa" w:w="4032"/>
            <w:vAlign w:val="center"/>
          </w:tcPr>
          <w:p>
            <w:pPr>
              <w:spacing w:after="0"/>
            </w:pPr>
            <w:r/>
            <w:r>
              <w:rPr>
                <w:rFonts w:ascii="Aptos" w:hAnsi="Aptos"/>
                <w:b w:val="0"/>
                <w:sz w:val="18"/>
              </w:rPr>
              <w:t>2.83%</w:t>
            </w:r>
          </w:p>
        </w:tc>
      </w:tr>
    </w:tbl>
    <w:p>
      <w:pPr>
        <w:spacing w:after="20"/>
      </w:pPr>
    </w:p>
    <w:p>
      <w:r>
        <w:t>Customers on month-to-month contracts have a considerably higher churn rate than customers on longer-term contracts. This does not prove that contract duration alone prevents churn; customers who select different contracts may also differ in loyalty, preferences, or service needs.</w:t>
      </w:r>
    </w:p>
    <w:p>
      <w:r>
        <w:t>Business implications: investigate why customers remain on month-to-month plans, review the value proposition of longer-term contracts, and test suitable retention offers while assessing their cost and expected customer lifetime value.</w:t>
      </w:r>
    </w:p>
    <w:p>
      <w:pPr>
        <w:pStyle w:val="Heading1"/>
      </w:pPr>
      <w:r>
        <w:t>7. Service Subscription Analysis</w:t>
      </w:r>
    </w:p>
    <w:p>
      <w:r>
        <w:t>Nine charts examine churn in relation to Phone Service, Multiple Lines, Internet Service, Online Security, Online Backup, Device Protection, Technical Support, Streaming TV, and Streaming Movies. Together, they provide a broad view of how churn varies across service configurations.</w:t>
      </w:r>
    </w:p>
    <w:p>
      <w:pPr>
        <w:pStyle w:val="Heading2"/>
      </w:pPr>
      <w:r>
        <w:t>7.1 Internet service</w:t>
      </w:r>
    </w:p>
    <w:tbl>
      <w:tblPr>
        <w:tblStyle w:val="TableGrid"/>
        <w:tblW w:type="auto" w:w="0"/>
        <w:jc w:val="center"/>
        <w:tblLook w:firstColumn="1" w:firstRow="1" w:lastColumn="0" w:lastRow="0" w:noHBand="0" w:noVBand="1" w:val="04A0"/>
      </w:tblPr>
      <w:tblGrid>
        <w:gridCol w:w="4968"/>
        <w:gridCol w:w="4968"/>
      </w:tblGrid>
      <w:tr>
        <w:tc>
          <w:tcPr>
            <w:tcW w:type="dxa" w:w="4608"/>
            <w:vAlign w:val="center"/>
            <w:shd w:fill="19375A"/>
          </w:tcPr>
          <w:p>
            <w:pPr>
              <w:spacing w:after="0"/>
            </w:pPr>
            <w:r/>
            <w:r>
              <w:rPr>
                <w:rFonts w:ascii="Aptos" w:hAnsi="Aptos"/>
                <w:b/>
                <w:color w:val="FFFFFF"/>
                <w:sz w:val="18"/>
              </w:rPr>
              <w:t>Internet service category</w:t>
            </w:r>
          </w:p>
        </w:tc>
        <w:tc>
          <w:tcPr>
            <w:tcW w:type="dxa" w:w="4032"/>
            <w:vAlign w:val="center"/>
            <w:shd w:fill="19375A"/>
          </w:tcPr>
          <w:p>
            <w:pPr>
              <w:spacing w:after="0"/>
            </w:pPr>
            <w:r/>
            <w:r>
              <w:rPr>
                <w:rFonts w:ascii="Aptos" w:hAnsi="Aptos"/>
                <w:b/>
                <w:color w:val="FFFFFF"/>
                <w:sz w:val="18"/>
              </w:rPr>
              <w:t>Approximate churn rate</w:t>
            </w:r>
          </w:p>
        </w:tc>
      </w:tr>
      <w:tr>
        <w:tc>
          <w:tcPr>
            <w:tcW w:type="dxa" w:w="4608"/>
            <w:vAlign w:val="center"/>
          </w:tcPr>
          <w:p>
            <w:pPr>
              <w:spacing w:after="0"/>
            </w:pPr>
            <w:r/>
            <w:r>
              <w:rPr>
                <w:rFonts w:ascii="Aptos" w:hAnsi="Aptos"/>
                <w:b w:val="0"/>
                <w:sz w:val="18"/>
              </w:rPr>
              <w:t>Fiber optic</w:t>
            </w:r>
          </w:p>
        </w:tc>
        <w:tc>
          <w:tcPr>
            <w:tcW w:type="dxa" w:w="4032"/>
            <w:vAlign w:val="center"/>
          </w:tcPr>
          <w:p>
            <w:pPr>
              <w:spacing w:after="0"/>
            </w:pPr>
            <w:r/>
            <w:r>
              <w:rPr>
                <w:rFonts w:ascii="Aptos" w:hAnsi="Aptos"/>
                <w:b w:val="0"/>
                <w:sz w:val="18"/>
              </w:rPr>
              <w:t>41.89%</w:t>
            </w:r>
          </w:p>
        </w:tc>
      </w:tr>
      <w:tr>
        <w:tc>
          <w:tcPr>
            <w:tcW w:type="dxa" w:w="4608"/>
            <w:vAlign w:val="center"/>
            <w:shd w:fill="F3F6F9"/>
          </w:tcPr>
          <w:p>
            <w:pPr>
              <w:spacing w:after="0"/>
            </w:pPr>
            <w:r/>
            <w:r>
              <w:rPr>
                <w:rFonts w:ascii="Aptos" w:hAnsi="Aptos"/>
                <w:b w:val="0"/>
                <w:sz w:val="18"/>
              </w:rPr>
              <w:t>DSL</w:t>
            </w:r>
          </w:p>
        </w:tc>
        <w:tc>
          <w:tcPr>
            <w:tcW w:type="dxa" w:w="4032"/>
            <w:vAlign w:val="center"/>
            <w:shd w:fill="F3F6F9"/>
          </w:tcPr>
          <w:p>
            <w:pPr>
              <w:spacing w:after="0"/>
            </w:pPr>
            <w:r/>
            <w:r>
              <w:rPr>
                <w:rFonts w:ascii="Aptos" w:hAnsi="Aptos"/>
                <w:b w:val="0"/>
                <w:sz w:val="18"/>
              </w:rPr>
              <w:t>18.96%</w:t>
            </w:r>
          </w:p>
        </w:tc>
      </w:tr>
      <w:tr>
        <w:tc>
          <w:tcPr>
            <w:tcW w:type="dxa" w:w="4608"/>
            <w:vAlign w:val="center"/>
          </w:tcPr>
          <w:p>
            <w:pPr>
              <w:spacing w:after="0"/>
            </w:pPr>
            <w:r/>
            <w:r>
              <w:rPr>
                <w:rFonts w:ascii="Aptos" w:hAnsi="Aptos"/>
                <w:b w:val="0"/>
                <w:sz w:val="18"/>
              </w:rPr>
              <w:t>No internet service</w:t>
            </w:r>
          </w:p>
        </w:tc>
        <w:tc>
          <w:tcPr>
            <w:tcW w:type="dxa" w:w="4032"/>
            <w:vAlign w:val="center"/>
          </w:tcPr>
          <w:p>
            <w:pPr>
              <w:spacing w:after="0"/>
            </w:pPr>
            <w:r/>
            <w:r>
              <w:rPr>
                <w:rFonts w:ascii="Aptos" w:hAnsi="Aptos"/>
                <w:b w:val="0"/>
                <w:sz w:val="18"/>
              </w:rPr>
              <w:t>7.40%</w:t>
            </w:r>
          </w:p>
        </w:tc>
      </w:tr>
    </w:tbl>
    <w:p>
      <w:pPr>
        <w:spacing w:after="20"/>
      </w:pPr>
    </w:p>
    <w:p>
      <w:r>
        <w:t>The fiber-optic segment has a higher churn rate than the DSL and no-internet-service segments in the dataset. This segment merits further investigation into potential factors such as pricing, service quality, installation, reliability, and customer expectations. The chart alone cannot determine the underlying cause.</w:t>
      </w:r>
    </w:p>
    <w:p>
      <w:pPr>
        <w:pStyle w:val="Heading2"/>
      </w:pPr>
      <w:r>
        <w:t>7.2 Additional services and support</w:t>
      </w:r>
    </w:p>
    <w:p>
      <w:r>
        <w:t>The online security, online backup, device protection, and technical support charts can help assess whether customers with these services have different churn patterns from customers without them. If higher churn is observed among customers without support or protection services, the company could investigate service education, onboarding, or package suitability before designing an intervention.</w:t>
      </w:r>
    </w:p>
    <w:p>
      <w:pPr>
        <w:pStyle w:val="Heading2"/>
      </w:pPr>
      <w:r>
        <w:t>7.3 Phone and streaming services</w:t>
      </w:r>
    </w:p>
    <w:p>
      <w:r>
        <w:t>Phone service, multiple lines, streaming TV, and streaming movies provide additional segmentation dimensions. These comparisons may support customer segmentation, but service variables should not automatically be treated as independent causes of churn.</w:t>
      </w:r>
    </w:p>
    <w:p>
      <w:pPr>
        <w:pStyle w:val="Heading1"/>
      </w:pPr>
      <w:r>
        <w:t>8. Payment Method and Customer Churn</w:t>
      </w:r>
    </w:p>
    <w:tbl>
      <w:tblPr>
        <w:tblStyle w:val="TableGrid"/>
        <w:tblW w:type="auto" w:w="0"/>
        <w:jc w:val="center"/>
        <w:tblLook w:firstColumn="1" w:firstRow="1" w:lastColumn="0" w:lastRow="0" w:noHBand="0" w:noVBand="1" w:val="04A0"/>
      </w:tblPr>
      <w:tblGrid>
        <w:gridCol w:w="4968"/>
        <w:gridCol w:w="4968"/>
      </w:tblGrid>
      <w:tr>
        <w:tc>
          <w:tcPr>
            <w:tcW w:type="dxa" w:w="5040"/>
            <w:vAlign w:val="center"/>
            <w:shd w:fill="19375A"/>
          </w:tcPr>
          <w:p>
            <w:pPr>
              <w:spacing w:after="0"/>
            </w:pPr>
            <w:r/>
            <w:r>
              <w:rPr>
                <w:rFonts w:ascii="Aptos" w:hAnsi="Aptos"/>
                <w:b/>
                <w:color w:val="FFFFFF"/>
                <w:sz w:val="18"/>
              </w:rPr>
              <w:t>Payment method</w:t>
            </w:r>
          </w:p>
        </w:tc>
        <w:tc>
          <w:tcPr>
            <w:tcW w:type="dxa" w:w="3600"/>
            <w:vAlign w:val="center"/>
            <w:shd w:fill="19375A"/>
          </w:tcPr>
          <w:p>
            <w:pPr>
              <w:spacing w:after="0"/>
            </w:pPr>
            <w:r/>
            <w:r>
              <w:rPr>
                <w:rFonts w:ascii="Aptos" w:hAnsi="Aptos"/>
                <w:b/>
                <w:color w:val="FFFFFF"/>
                <w:sz w:val="18"/>
              </w:rPr>
              <w:t>Approximate churn rate</w:t>
            </w:r>
          </w:p>
        </w:tc>
      </w:tr>
      <w:tr>
        <w:tc>
          <w:tcPr>
            <w:tcW w:type="dxa" w:w="5040"/>
            <w:vAlign w:val="center"/>
          </w:tcPr>
          <w:p>
            <w:pPr>
              <w:spacing w:after="0"/>
            </w:pPr>
            <w:r/>
            <w:r>
              <w:rPr>
                <w:rFonts w:ascii="Aptos" w:hAnsi="Aptos"/>
                <w:b w:val="0"/>
                <w:sz w:val="18"/>
              </w:rPr>
              <w:t>Electronic check</w:t>
            </w:r>
          </w:p>
        </w:tc>
        <w:tc>
          <w:tcPr>
            <w:tcW w:type="dxa" w:w="3600"/>
            <w:vAlign w:val="center"/>
          </w:tcPr>
          <w:p>
            <w:pPr>
              <w:spacing w:after="0"/>
            </w:pPr>
            <w:r/>
            <w:r>
              <w:rPr>
                <w:rFonts w:ascii="Aptos" w:hAnsi="Aptos"/>
                <w:b w:val="0"/>
                <w:sz w:val="18"/>
              </w:rPr>
              <w:t>45.29%</w:t>
            </w:r>
          </w:p>
        </w:tc>
      </w:tr>
      <w:tr>
        <w:tc>
          <w:tcPr>
            <w:tcW w:type="dxa" w:w="5040"/>
            <w:vAlign w:val="center"/>
            <w:shd w:fill="F3F6F9"/>
          </w:tcPr>
          <w:p>
            <w:pPr>
              <w:spacing w:after="0"/>
            </w:pPr>
            <w:r/>
            <w:r>
              <w:rPr>
                <w:rFonts w:ascii="Aptos" w:hAnsi="Aptos"/>
                <w:b w:val="0"/>
                <w:sz w:val="18"/>
              </w:rPr>
              <w:t>Mailed check</w:t>
            </w:r>
          </w:p>
        </w:tc>
        <w:tc>
          <w:tcPr>
            <w:tcW w:type="dxa" w:w="3600"/>
            <w:vAlign w:val="center"/>
            <w:shd w:fill="F3F6F9"/>
          </w:tcPr>
          <w:p>
            <w:pPr>
              <w:spacing w:after="0"/>
            </w:pPr>
            <w:r/>
            <w:r>
              <w:rPr>
                <w:rFonts w:ascii="Aptos" w:hAnsi="Aptos"/>
                <w:b w:val="0"/>
                <w:sz w:val="18"/>
              </w:rPr>
              <w:t>19.11%</w:t>
            </w:r>
          </w:p>
        </w:tc>
      </w:tr>
      <w:tr>
        <w:tc>
          <w:tcPr>
            <w:tcW w:type="dxa" w:w="5040"/>
            <w:vAlign w:val="center"/>
          </w:tcPr>
          <w:p>
            <w:pPr>
              <w:spacing w:after="0"/>
            </w:pPr>
            <w:r/>
            <w:r>
              <w:rPr>
                <w:rFonts w:ascii="Aptos" w:hAnsi="Aptos"/>
                <w:b w:val="0"/>
                <w:sz w:val="18"/>
              </w:rPr>
              <w:t>Bank transfer (automatic)</w:t>
            </w:r>
          </w:p>
        </w:tc>
        <w:tc>
          <w:tcPr>
            <w:tcW w:type="dxa" w:w="3600"/>
            <w:vAlign w:val="center"/>
          </w:tcPr>
          <w:p>
            <w:pPr>
              <w:spacing w:after="0"/>
            </w:pPr>
            <w:r/>
            <w:r>
              <w:rPr>
                <w:rFonts w:ascii="Aptos" w:hAnsi="Aptos"/>
                <w:b w:val="0"/>
                <w:sz w:val="18"/>
              </w:rPr>
              <w:t>16.71%</w:t>
            </w:r>
          </w:p>
        </w:tc>
      </w:tr>
      <w:tr>
        <w:tc>
          <w:tcPr>
            <w:tcW w:type="dxa" w:w="5040"/>
            <w:vAlign w:val="center"/>
            <w:shd w:fill="F3F6F9"/>
          </w:tcPr>
          <w:p>
            <w:pPr>
              <w:spacing w:after="0"/>
            </w:pPr>
            <w:r/>
            <w:r>
              <w:rPr>
                <w:rFonts w:ascii="Aptos" w:hAnsi="Aptos"/>
                <w:b w:val="0"/>
                <w:sz w:val="18"/>
              </w:rPr>
              <w:t>Credit card (automatic)</w:t>
            </w:r>
          </w:p>
        </w:tc>
        <w:tc>
          <w:tcPr>
            <w:tcW w:type="dxa" w:w="3600"/>
            <w:vAlign w:val="center"/>
            <w:shd w:fill="F3F6F9"/>
          </w:tcPr>
          <w:p>
            <w:pPr>
              <w:spacing w:after="0"/>
            </w:pPr>
            <w:r/>
            <w:r>
              <w:rPr>
                <w:rFonts w:ascii="Aptos" w:hAnsi="Aptos"/>
                <w:b w:val="0"/>
                <w:sz w:val="18"/>
              </w:rPr>
              <w:t>15.24%</w:t>
            </w:r>
          </w:p>
        </w:tc>
      </w:tr>
    </w:tbl>
    <w:p>
      <w:pPr>
        <w:spacing w:after="20"/>
      </w:pPr>
    </w:p>
    <w:p>
      <w:r>
        <w:t>Electronic-check customers have a substantially higher churn rate than customers in the other payment categories. Payment method may be associated with other factors, including tenure and contract type, so the result should not be interpreted as evidence that electronic checks directly cause churn.</w:t>
      </w:r>
    </w:p>
    <w:p>
      <w:r>
        <w:t>Recommended follow-up: review the billing experience, investigate payment-related difficulties, and consider convenient automatic-payment options where appropriate. Any initiative should be evaluated based on measured retention outcomes and customer convenience.</w:t>
      </w:r>
    </w:p>
    <w:p>
      <w:pPr>
        <w:pStyle w:val="Heading1"/>
      </w:pPr>
      <w:r>
        <w:t>9. Key Business Findings</w:t>
      </w:r>
    </w:p>
    <w:tbl>
      <w:tblPr>
        <w:tblStyle w:val="TableGrid"/>
        <w:tblW w:type="auto" w:w="0"/>
        <w:jc w:val="center"/>
        <w:tblLook w:firstColumn="1" w:firstRow="1" w:lastColumn="0" w:lastRow="0" w:noHBand="0" w:noVBand="1" w:val="04A0"/>
      </w:tblPr>
      <w:tblGrid>
        <w:gridCol w:w="3312"/>
        <w:gridCol w:w="3312"/>
        <w:gridCol w:w="3312"/>
      </w:tblGrid>
      <w:tr>
        <w:tc>
          <w:tcPr>
            <w:tcW w:type="dxa" w:w="2088"/>
            <w:vAlign w:val="center"/>
            <w:shd w:fill="19375A"/>
          </w:tcPr>
          <w:p>
            <w:pPr>
              <w:spacing w:after="0"/>
            </w:pPr>
            <w:r/>
            <w:r>
              <w:rPr>
                <w:rFonts w:ascii="Aptos" w:hAnsi="Aptos"/>
                <w:b/>
                <w:color w:val="FFFFFF"/>
                <w:sz w:val="18"/>
              </w:rPr>
              <w:t>Area</w:t>
            </w:r>
          </w:p>
        </w:tc>
        <w:tc>
          <w:tcPr>
            <w:tcW w:type="dxa" w:w="3312"/>
            <w:vAlign w:val="center"/>
            <w:shd w:fill="19375A"/>
          </w:tcPr>
          <w:p>
            <w:pPr>
              <w:spacing w:after="0"/>
            </w:pPr>
            <w:r/>
            <w:r>
              <w:rPr>
                <w:rFonts w:ascii="Aptos" w:hAnsi="Aptos"/>
                <w:b/>
                <w:color w:val="FFFFFF"/>
                <w:sz w:val="18"/>
              </w:rPr>
              <w:t>Key observation</w:t>
            </w:r>
          </w:p>
        </w:tc>
        <w:tc>
          <w:tcPr>
            <w:tcW w:type="dxa" w:w="3888"/>
            <w:vAlign w:val="center"/>
            <w:shd w:fill="19375A"/>
          </w:tcPr>
          <w:p>
            <w:pPr>
              <w:spacing w:after="0"/>
            </w:pPr>
            <w:r/>
            <w:r>
              <w:rPr>
                <w:rFonts w:ascii="Aptos" w:hAnsi="Aptos"/>
                <w:b/>
                <w:color w:val="FFFFFF"/>
                <w:sz w:val="18"/>
              </w:rPr>
              <w:t>Potential business response</w:t>
            </w:r>
          </w:p>
        </w:tc>
      </w:tr>
      <w:tr>
        <w:tc>
          <w:tcPr>
            <w:tcW w:type="dxa" w:w="2088"/>
            <w:vAlign w:val="center"/>
          </w:tcPr>
          <w:p>
            <w:pPr>
              <w:spacing w:after="0"/>
            </w:pPr>
            <w:r/>
            <w:r>
              <w:rPr>
                <w:rFonts w:ascii="Aptos" w:hAnsi="Aptos"/>
                <w:b w:val="0"/>
                <w:sz w:val="18"/>
              </w:rPr>
              <w:t>Overall churn</w:t>
            </w:r>
          </w:p>
        </w:tc>
        <w:tc>
          <w:tcPr>
            <w:tcW w:type="dxa" w:w="3312"/>
            <w:vAlign w:val="center"/>
          </w:tcPr>
          <w:p>
            <w:pPr>
              <w:spacing w:after="0"/>
            </w:pPr>
            <w:r/>
            <w:r>
              <w:rPr>
                <w:rFonts w:ascii="Aptos" w:hAnsi="Aptos"/>
                <w:b w:val="0"/>
                <w:sz w:val="18"/>
              </w:rPr>
              <w:t>26.54% of customers churned</w:t>
            </w:r>
          </w:p>
        </w:tc>
        <w:tc>
          <w:tcPr>
            <w:tcW w:type="dxa" w:w="3888"/>
            <w:vAlign w:val="center"/>
          </w:tcPr>
          <w:p>
            <w:pPr>
              <w:spacing w:after="0"/>
            </w:pPr>
            <w:r/>
            <w:r>
              <w:rPr>
                <w:rFonts w:ascii="Aptos" w:hAnsi="Aptos"/>
                <w:b w:val="0"/>
                <w:sz w:val="18"/>
              </w:rPr>
              <w:t>Establish a baseline retention KPI</w:t>
            </w:r>
          </w:p>
        </w:tc>
      </w:tr>
      <w:tr>
        <w:tc>
          <w:tcPr>
            <w:tcW w:type="dxa" w:w="2088"/>
            <w:vAlign w:val="center"/>
            <w:shd w:fill="F3F6F9"/>
          </w:tcPr>
          <w:p>
            <w:pPr>
              <w:spacing w:after="0"/>
            </w:pPr>
            <w:r/>
            <w:r>
              <w:rPr>
                <w:rFonts w:ascii="Aptos" w:hAnsi="Aptos"/>
                <w:b w:val="0"/>
                <w:sz w:val="18"/>
              </w:rPr>
              <w:t>Senior-citizen segment</w:t>
            </w:r>
          </w:p>
        </w:tc>
        <w:tc>
          <w:tcPr>
            <w:tcW w:type="dxa" w:w="3312"/>
            <w:vAlign w:val="center"/>
            <w:shd w:fill="F3F6F9"/>
          </w:tcPr>
          <w:p>
            <w:pPr>
              <w:spacing w:after="0"/>
            </w:pPr>
            <w:r/>
            <w:r>
              <w:rPr>
                <w:rFonts w:ascii="Aptos" w:hAnsi="Aptos"/>
                <w:b w:val="0"/>
                <w:sz w:val="18"/>
              </w:rPr>
              <w:t>Approx. 41.68% churn</w:t>
            </w:r>
          </w:p>
        </w:tc>
        <w:tc>
          <w:tcPr>
            <w:tcW w:type="dxa" w:w="3888"/>
            <w:vAlign w:val="center"/>
            <w:shd w:fill="F3F6F9"/>
          </w:tcPr>
          <w:p>
            <w:pPr>
              <w:spacing w:after="0"/>
            </w:pPr>
            <w:r/>
            <w:r>
              <w:rPr>
                <w:rFonts w:ascii="Aptos" w:hAnsi="Aptos"/>
                <w:b w:val="0"/>
                <w:sz w:val="18"/>
              </w:rPr>
              <w:t>Investigate support and service needs</w:t>
            </w:r>
          </w:p>
        </w:tc>
      </w:tr>
      <w:tr>
        <w:tc>
          <w:tcPr>
            <w:tcW w:type="dxa" w:w="2088"/>
            <w:vAlign w:val="center"/>
          </w:tcPr>
          <w:p>
            <w:pPr>
              <w:spacing w:after="0"/>
            </w:pPr>
            <w:r/>
            <w:r>
              <w:rPr>
                <w:rFonts w:ascii="Aptos" w:hAnsi="Aptos"/>
                <w:b w:val="0"/>
                <w:sz w:val="18"/>
              </w:rPr>
              <w:t>Contract type</w:t>
            </w:r>
          </w:p>
        </w:tc>
        <w:tc>
          <w:tcPr>
            <w:tcW w:type="dxa" w:w="3312"/>
            <w:vAlign w:val="center"/>
          </w:tcPr>
          <w:p>
            <w:pPr>
              <w:spacing w:after="0"/>
            </w:pPr>
            <w:r/>
            <w:r>
              <w:rPr>
                <w:rFonts w:ascii="Aptos" w:hAnsi="Aptos"/>
                <w:b w:val="0"/>
                <w:sz w:val="18"/>
              </w:rPr>
              <w:t>Month-to-month: approx. 42.71%</w:t>
            </w:r>
          </w:p>
        </w:tc>
        <w:tc>
          <w:tcPr>
            <w:tcW w:type="dxa" w:w="3888"/>
            <w:vAlign w:val="center"/>
          </w:tcPr>
          <w:p>
            <w:pPr>
              <w:spacing w:after="0"/>
            </w:pPr>
            <w:r/>
            <w:r>
              <w:rPr>
                <w:rFonts w:ascii="Aptos" w:hAnsi="Aptos"/>
                <w:b w:val="0"/>
                <w:sz w:val="18"/>
              </w:rPr>
              <w:t>Review plan value and retention offers</w:t>
            </w:r>
          </w:p>
        </w:tc>
      </w:tr>
      <w:tr>
        <w:tc>
          <w:tcPr>
            <w:tcW w:type="dxa" w:w="2088"/>
            <w:vAlign w:val="center"/>
            <w:shd w:fill="F3F6F9"/>
          </w:tcPr>
          <w:p>
            <w:pPr>
              <w:spacing w:after="0"/>
            </w:pPr>
            <w:r/>
            <w:r>
              <w:rPr>
                <w:rFonts w:ascii="Aptos" w:hAnsi="Aptos"/>
                <w:b w:val="0"/>
                <w:sz w:val="18"/>
              </w:rPr>
              <w:t>Internet service</w:t>
            </w:r>
          </w:p>
        </w:tc>
        <w:tc>
          <w:tcPr>
            <w:tcW w:type="dxa" w:w="3312"/>
            <w:vAlign w:val="center"/>
            <w:shd w:fill="F3F6F9"/>
          </w:tcPr>
          <w:p>
            <w:pPr>
              <w:spacing w:after="0"/>
            </w:pPr>
            <w:r/>
            <w:r>
              <w:rPr>
                <w:rFonts w:ascii="Aptos" w:hAnsi="Aptos"/>
                <w:b w:val="0"/>
                <w:sz w:val="18"/>
              </w:rPr>
              <w:t>Fiber optic: approx. 41.89%</w:t>
            </w:r>
          </w:p>
        </w:tc>
        <w:tc>
          <w:tcPr>
            <w:tcW w:type="dxa" w:w="3888"/>
            <w:vAlign w:val="center"/>
            <w:shd w:fill="F3F6F9"/>
          </w:tcPr>
          <w:p>
            <w:pPr>
              <w:spacing w:after="0"/>
            </w:pPr>
            <w:r/>
            <w:r>
              <w:rPr>
                <w:rFonts w:ascii="Aptos" w:hAnsi="Aptos"/>
                <w:b w:val="0"/>
                <w:sz w:val="18"/>
              </w:rPr>
              <w:t>Investigate service experience and pricing</w:t>
            </w:r>
          </w:p>
        </w:tc>
      </w:tr>
      <w:tr>
        <w:tc>
          <w:tcPr>
            <w:tcW w:type="dxa" w:w="2088"/>
            <w:vAlign w:val="center"/>
          </w:tcPr>
          <w:p>
            <w:pPr>
              <w:spacing w:after="0"/>
            </w:pPr>
            <w:r/>
            <w:r>
              <w:rPr>
                <w:rFonts w:ascii="Aptos" w:hAnsi="Aptos"/>
                <w:b w:val="0"/>
                <w:sz w:val="18"/>
              </w:rPr>
              <w:t>Payment method</w:t>
            </w:r>
          </w:p>
        </w:tc>
        <w:tc>
          <w:tcPr>
            <w:tcW w:type="dxa" w:w="3312"/>
            <w:vAlign w:val="center"/>
          </w:tcPr>
          <w:p>
            <w:pPr>
              <w:spacing w:after="0"/>
            </w:pPr>
            <w:r/>
            <w:r>
              <w:rPr>
                <w:rFonts w:ascii="Aptos" w:hAnsi="Aptos"/>
                <w:b w:val="0"/>
                <w:sz w:val="18"/>
              </w:rPr>
              <w:t>Electronic check: approx. 45.29%</w:t>
            </w:r>
          </w:p>
        </w:tc>
        <w:tc>
          <w:tcPr>
            <w:tcW w:type="dxa" w:w="3888"/>
            <w:vAlign w:val="center"/>
          </w:tcPr>
          <w:p>
            <w:pPr>
              <w:spacing w:after="0"/>
            </w:pPr>
            <w:r/>
            <w:r>
              <w:rPr>
                <w:rFonts w:ascii="Aptos" w:hAnsi="Aptos"/>
                <w:b w:val="0"/>
                <w:sz w:val="18"/>
              </w:rPr>
              <w:t>Review billing experience and payment preferences</w:t>
            </w:r>
          </w:p>
        </w:tc>
      </w:tr>
      <w:tr>
        <w:tc>
          <w:tcPr>
            <w:tcW w:type="dxa" w:w="2088"/>
            <w:vAlign w:val="center"/>
            <w:shd w:fill="F3F6F9"/>
          </w:tcPr>
          <w:p>
            <w:pPr>
              <w:spacing w:after="0"/>
            </w:pPr>
            <w:r/>
            <w:r>
              <w:rPr>
                <w:rFonts w:ascii="Aptos" w:hAnsi="Aptos"/>
                <w:b w:val="0"/>
                <w:sz w:val="18"/>
              </w:rPr>
              <w:t>Customer tenure</w:t>
            </w:r>
          </w:p>
        </w:tc>
        <w:tc>
          <w:tcPr>
            <w:tcW w:type="dxa" w:w="3312"/>
            <w:vAlign w:val="center"/>
            <w:shd w:fill="F3F6F9"/>
          </w:tcPr>
          <w:p>
            <w:pPr>
              <w:spacing w:after="0"/>
            </w:pPr>
            <w:r/>
            <w:r>
              <w:rPr>
                <w:rFonts w:ascii="Aptos" w:hAnsi="Aptos"/>
                <w:b w:val="0"/>
                <w:sz w:val="18"/>
              </w:rPr>
              <w:t>Average tenure: approx. 32.37 months</w:t>
            </w:r>
          </w:p>
        </w:tc>
        <w:tc>
          <w:tcPr>
            <w:tcW w:type="dxa" w:w="3888"/>
            <w:vAlign w:val="center"/>
            <w:shd w:fill="F3F6F9"/>
          </w:tcPr>
          <w:p>
            <w:pPr>
              <w:spacing w:after="0"/>
            </w:pPr>
            <w:r/>
            <w:r>
              <w:rPr>
                <w:rFonts w:ascii="Aptos" w:hAnsi="Aptos"/>
                <w:b w:val="0"/>
                <w:sz w:val="18"/>
              </w:rPr>
              <w:t>Examine early-life churn and lifecycle patterns</w:t>
            </w:r>
          </w:p>
        </w:tc>
      </w:tr>
      <w:tr>
        <w:tc>
          <w:tcPr>
            <w:tcW w:type="dxa" w:w="2088"/>
            <w:vAlign w:val="center"/>
          </w:tcPr>
          <w:p>
            <w:pPr>
              <w:spacing w:after="0"/>
            </w:pPr>
            <w:r/>
            <w:r>
              <w:rPr>
                <w:rFonts w:ascii="Aptos" w:hAnsi="Aptos"/>
                <w:b w:val="0"/>
                <w:sz w:val="18"/>
              </w:rPr>
              <w:t>Additional services</w:t>
            </w:r>
          </w:p>
        </w:tc>
        <w:tc>
          <w:tcPr>
            <w:tcW w:type="dxa" w:w="3312"/>
            <w:vAlign w:val="center"/>
          </w:tcPr>
          <w:p>
            <w:pPr>
              <w:spacing w:after="0"/>
            </w:pPr>
            <w:r/>
            <w:r>
              <w:rPr>
                <w:rFonts w:ascii="Aptos" w:hAnsi="Aptos"/>
                <w:b w:val="0"/>
                <w:sz w:val="18"/>
              </w:rPr>
              <w:t>Churn varies across service categories</w:t>
            </w:r>
          </w:p>
        </w:tc>
        <w:tc>
          <w:tcPr>
            <w:tcW w:type="dxa" w:w="3888"/>
            <w:vAlign w:val="center"/>
          </w:tcPr>
          <w:p>
            <w:pPr>
              <w:spacing w:after="0"/>
            </w:pPr>
            <w:r/>
            <w:r>
              <w:rPr>
                <w:rFonts w:ascii="Aptos" w:hAnsi="Aptos"/>
                <w:b w:val="0"/>
                <w:sz w:val="18"/>
              </w:rPr>
              <w:t>Evaluate service-level engagement and adoption</w:t>
            </w:r>
          </w:p>
        </w:tc>
      </w:tr>
    </w:tbl>
    <w:p>
      <w:pPr>
        <w:spacing w:after="20"/>
      </w:pPr>
    </w:p>
    <w:p>
      <w:r>
        <w:rPr>
          <w:i/>
          <w:color w:val="5A646E"/>
          <w:sz w:val="18"/>
        </w:rPr>
        <w:t>Interpretation note: Segment churn percentages use the number of churned customers within a category divided by the total customers in that category. They do not represent the percentage of all customers who belong to that category. Figures are rounded.</w:t>
      </w:r>
    </w:p>
    <w:p>
      <w:pPr>
        <w:pStyle w:val="Heading1"/>
      </w:pPr>
      <w:r>
        <w:t>10. Recommended Actions</w:t>
      </w:r>
    </w:p>
    <w:p>
      <w:pPr>
        <w:pStyle w:val="ListNumber"/>
        <w:spacing w:after="80"/>
      </w:pPr>
      <w:r>
        <w:rPr>
          <w:b/>
        </w:rPr>
        <w:t xml:space="preserve">Priority 1 — Focus on high-churn segments. </w:t>
      </w:r>
      <w:r>
        <w:t>Start by validating the month-to-month, electronic-check, and fiber-optic segments. These groups may overlap, so assess their combined characteristics before launching campaigns.</w:t>
      </w:r>
    </w:p>
    <w:p>
      <w:pPr>
        <w:pStyle w:val="ListNumber"/>
        <w:spacing w:after="80"/>
      </w:pPr>
      <w:r>
        <w:rPr>
          <w:b/>
        </w:rPr>
        <w:t xml:space="preserve">Priority 2 — Improve early customer retention. </w:t>
      </w:r>
      <w:r>
        <w:t>Analyze churn during the first 12 months. Strengthen onboarding, monitor early complaints, and investigate service issues that may contribute to cancellations.</w:t>
      </w:r>
    </w:p>
    <w:p>
      <w:pPr>
        <w:pStyle w:val="ListNumber"/>
        <w:spacing w:after="80"/>
      </w:pPr>
      <w:r>
        <w:rPr>
          <w:b/>
        </w:rPr>
        <w:t xml:space="preserve">Priority 3 — Evaluate contract and service options. </w:t>
      </w:r>
      <w:r>
        <w:t>Review the value of longer-term plans and additional support services. Test targeted offers rather than assuming every customer will benefit from the same intervention.</w:t>
      </w:r>
    </w:p>
    <w:p>
      <w:pPr>
        <w:pStyle w:val="ListNumber"/>
        <w:spacing w:after="80"/>
      </w:pPr>
      <w:r>
        <w:rPr>
          <w:b/>
        </w:rPr>
        <w:t xml:space="preserve">Priority 4 — Measure results. </w:t>
      </w:r>
      <w:r>
        <w:t>Track churn rate, retention, campaign response, and customer lifetime value. Compare outcomes before and after initiatives to assess whether they produce measurable improvement.</w:t>
      </w:r>
    </w:p>
    <w:p>
      <w:pPr>
        <w:pStyle w:val="ListNumber"/>
        <w:spacing w:after="80"/>
      </w:pPr>
      <w:r>
        <w:rPr>
          <w:b/>
        </w:rPr>
        <w:t xml:space="preserve">Priority 5 — Develop predictive analytics. </w:t>
      </w:r>
      <w:r>
        <w:t>Extend the EDA into a supervised machine-learning model that estimates individual churn risk. Evaluate performance with suitable metrics such as precision, recall, F1-score, ROC-AUC, and, where appropriate, the precision-recall curve.</w:t>
      </w:r>
    </w:p>
    <w:p>
      <w:pPr>
        <w:pStyle w:val="Heading1"/>
      </w:pPr>
      <w:r>
        <w:t>11. Conclusion</w:t>
      </w:r>
    </w:p>
    <w:p>
      <w:r>
        <w:t>This project demonstrates how Python-based exploratory data analysis can transform customer records into meaningful insights about retention. By examining churn across demographics, tenure, contract types, service subscriptions, and payment methods, the analysis establishes a structured view of factors associated with customer attrition.</w:t>
      </w:r>
    </w:p>
    <w:p>
      <w:r>
        <w:t>The overall churn rate of approximately 26.54% provides a baseline, while segment comparisons highlight areas for further investigation. Contract type, internet service, payment method, and customer lifecycle deserve particular attention. These relationships provide useful hypotheses for business action, but further analysis is needed to distinguish independent predictors from overlapping customer characteristics.</w:t>
      </w:r>
    </w:p>
    <w:p>
      <w:pPr>
        <w:spacing w:before="100"/>
      </w:pPr>
      <w:r>
        <w:rPr>
          <w:b/>
          <w:color w:val="19375A"/>
        </w:rPr>
        <w:t>Final takeaway: The primary business opportunity is to move from understanding historical churn to identifying at-risk customers early, addressing their needs, and measuring whether targeted retention efforts improve customer loyalty and long-term business performance.</w:t>
      </w:r>
    </w:p>
    <w:p>
      <w:pPr>
        <w:pStyle w:val="Heading1"/>
      </w:pPr>
      <w:r>
        <w:t>Important Notes on Figures and Interpretation</w:t>
      </w:r>
    </w:p>
    <w:p>
      <w:r>
        <w:t>The percentages in this report are based on the standard 7,043-record Telco Customer Churn dataset associated with the notebook. The CSV was not attached separately, so every segment percentage could not be independently recalculated from the source file.</w:t>
      </w:r>
    </w:p>
    <w:p>
      <w:r>
        <w:t>The notebook's senior-citizen distribution chart may express percentages as a share of the entire dataset, whereas segment churn rates use the total number of customers in each segment as the denominator. These measures answer different questions. For professional reporting, use within-segment churn rates consistently and clearly label each chart's percentage basis.</w:t>
      </w:r>
    </w:p>
    <w:p>
      <w:r>
        <w:t>The notebook performs exploratory analysis and visualization; it does not, based on the described work, establish causality or report a trained churn-prediction model. Recommendations are therefore presented as areas for investigation rather than proven interventions.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646E78"/>
        <w:sz w:val="16"/>
      </w:rPr>
      <w:t>Customer Churn Analysis  •  Executive Summary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A6978"/>
        <w:sz w:val="16"/>
      </w:rPr>
      <w:t>CUSTOMER ANALYTICS  |  EXECUTIVE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375A"/>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35A82"/>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9375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