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left"/>
      </w:pPr>
      <w:r>
        <w:rPr>
          <w:rFonts w:ascii="Aptos Display" w:hAnsi="Aptos Display"/>
          <w:b/>
          <w:color w:val="E85D2A"/>
          <w:sz w:val="24"/>
        </w:rPr>
        <w:t>EXECUTIVE SUMMARY</w:t>
      </w:r>
    </w:p>
    <w:p>
      <w:pPr>
        <w:pStyle w:val="Title"/>
        <w:spacing w:before="40"/>
      </w:pPr>
      <w:r>
        <w:t>Pizza Sales Analysis Using SQL</w:t>
      </w:r>
    </w:p>
    <w:p>
      <w:pPr>
        <w:spacing w:after="240"/>
      </w:pPr>
      <w:r>
        <w:rPr>
          <w:i/>
          <w:color w:val="5B6573"/>
          <w:sz w:val="22"/>
        </w:rPr>
        <w:t>Business performance, product popularity, revenue contribution, and ordering patterns</w:t>
      </w:r>
    </w:p>
    <w:p>
      <w:pPr>
        <w:pStyle w:val="Heading1"/>
      </w:pPr>
      <w:r>
        <w:t>1. Project Overview</w:t>
      </w:r>
    </w:p>
    <w:p>
      <w:r>
        <w:t>This project uses SQL and MySQL to analyze a pizza sales dataset and turn transaction-level records into business-oriented insights. The analysis focuses on sales volume, revenue, product and category performance, pizza size preferences, and the timing of customer orders. Its purpose is to demonstrate how relational queries can support practical decisions in sales planning, inventory management, and marketing.</w:t>
      </w:r>
    </w:p>
    <w:p>
      <w:pPr>
        <w:pStyle w:val="Heading1"/>
      </w:pPr>
      <w:r>
        <w:t>2. Tools and Analytical Approach</w:t>
      </w:r>
    </w:p>
    <w:p>
      <w:r>
        <w:t>The project uses SQL in a MySQL environment. The queries shown in the report use aggregate functions, JOIN operations across orders, order details, pizzas, and pizza types, GROUP BY and ORDER BY clauses, sorting and LIMIT, date/time extraction, and window-function ranking/cumulative calculations.</w:t>
      </w:r>
    </w:p>
    <w:p>
      <w:r>
        <w:t>The analysis is structured around business questions: how many orders were placed, how much revenue was generated, which products and sizes were most popular, how sales varied by category and hour, and how revenue accumulated over time.</w:t>
      </w:r>
    </w:p>
    <w:p>
      <w:pPr>
        <w:pStyle w:val="Heading1"/>
      </w:pPr>
      <w:r>
        <w:t>3. Key Findings</w:t>
      </w:r>
    </w:p>
    <w:tbl>
      <w:tblPr>
        <w:tblStyle w:val="TableGrid"/>
        <w:tblW w:type="auto" w:w="0"/>
        <w:jc w:val="center"/>
        <w:tblLook w:firstColumn="1" w:firstRow="1" w:lastColumn="0" w:lastRow="0" w:noHBand="0" w:noVBand="1" w:val="04A0"/>
      </w:tblPr>
      <w:tblGrid>
        <w:gridCol w:w="3331"/>
        <w:gridCol w:w="3331"/>
        <w:gridCol w:w="3331"/>
      </w:tblGrid>
      <w:tr>
        <w:tc>
          <w:tcPr>
            <w:tcW w:type="dxa" w:w="2232"/>
            <w:vAlign w:val="center"/>
            <w:shd w:fill="17324D"/>
          </w:tcPr>
          <w:p>
            <w:pPr>
              <w:spacing w:after="20"/>
            </w:pPr>
            <w:r/>
            <w:r>
              <w:rPr>
                <w:rFonts w:ascii="Aptos" w:hAnsi="Aptos"/>
                <w:b/>
                <w:color w:val="FFFFFF"/>
                <w:sz w:val="18"/>
              </w:rPr>
              <w:t>Metric / Area</w:t>
            </w:r>
          </w:p>
        </w:tc>
        <w:tc>
          <w:tcPr>
            <w:tcW w:type="dxa" w:w="3240"/>
            <w:vAlign w:val="center"/>
            <w:shd w:fill="17324D"/>
          </w:tcPr>
          <w:p>
            <w:pPr>
              <w:spacing w:after="20"/>
            </w:pPr>
            <w:r/>
            <w:r>
              <w:rPr>
                <w:rFonts w:ascii="Aptos" w:hAnsi="Aptos"/>
                <w:b/>
                <w:color w:val="FFFFFF"/>
                <w:sz w:val="18"/>
              </w:rPr>
              <w:t>Result shown in the report</w:t>
            </w:r>
          </w:p>
        </w:tc>
        <w:tc>
          <w:tcPr>
            <w:tcW w:type="dxa" w:w="4680"/>
            <w:vAlign w:val="center"/>
            <w:shd w:fill="17324D"/>
          </w:tcPr>
          <w:p>
            <w:pPr>
              <w:spacing w:after="20"/>
            </w:pPr>
            <w:r/>
            <w:r>
              <w:rPr>
                <w:rFonts w:ascii="Aptos" w:hAnsi="Aptos"/>
                <w:b/>
                <w:color w:val="FFFFFF"/>
                <w:sz w:val="18"/>
              </w:rPr>
              <w:t>Business interpretation</w:t>
            </w:r>
          </w:p>
        </w:tc>
      </w:tr>
      <w:tr>
        <w:tc>
          <w:tcPr>
            <w:tcW w:type="dxa" w:w="2232"/>
            <w:vAlign w:val="center"/>
          </w:tcPr>
          <w:p>
            <w:pPr>
              <w:spacing w:after="20"/>
            </w:pPr>
            <w:r/>
            <w:r>
              <w:rPr>
                <w:rFonts w:ascii="Aptos" w:hAnsi="Aptos"/>
                <w:b w:val="0"/>
                <w:sz w:val="18"/>
              </w:rPr>
              <w:t>Total orders</w:t>
            </w:r>
          </w:p>
        </w:tc>
        <w:tc>
          <w:tcPr>
            <w:tcW w:type="dxa" w:w="3240"/>
            <w:vAlign w:val="center"/>
          </w:tcPr>
          <w:p>
            <w:pPr>
              <w:spacing w:after="20"/>
            </w:pPr>
            <w:r/>
            <w:r>
              <w:rPr>
                <w:rFonts w:ascii="Aptos" w:hAnsi="Aptos"/>
                <w:b w:val="0"/>
                <w:sz w:val="18"/>
              </w:rPr>
              <w:t>21,350</w:t>
            </w:r>
          </w:p>
        </w:tc>
        <w:tc>
          <w:tcPr>
            <w:tcW w:type="dxa" w:w="4680"/>
            <w:vAlign w:val="center"/>
          </w:tcPr>
          <w:p>
            <w:pPr>
              <w:spacing w:after="20"/>
            </w:pPr>
            <w:r/>
            <w:r>
              <w:rPr>
                <w:rFonts w:ascii="Aptos" w:hAnsi="Aptos"/>
                <w:b w:val="0"/>
                <w:sz w:val="18"/>
              </w:rPr>
              <w:t>Provides a baseline measure of transaction activity.</w:t>
            </w:r>
          </w:p>
        </w:tc>
      </w:tr>
      <w:tr>
        <w:tc>
          <w:tcPr>
            <w:tcW w:type="dxa" w:w="2232"/>
            <w:vAlign w:val="center"/>
            <w:shd w:fill="F2F5F8"/>
          </w:tcPr>
          <w:p>
            <w:pPr>
              <w:spacing w:after="20"/>
            </w:pPr>
            <w:r/>
            <w:r>
              <w:rPr>
                <w:rFonts w:ascii="Aptos" w:hAnsi="Aptos"/>
                <w:b w:val="0"/>
                <w:sz w:val="18"/>
              </w:rPr>
              <w:t>Total revenue</w:t>
            </w:r>
          </w:p>
        </w:tc>
        <w:tc>
          <w:tcPr>
            <w:tcW w:type="dxa" w:w="3240"/>
            <w:vAlign w:val="center"/>
            <w:shd w:fill="F2F5F8"/>
          </w:tcPr>
          <w:p>
            <w:pPr>
              <w:spacing w:after="20"/>
            </w:pPr>
            <w:r/>
            <w:r>
              <w:rPr>
                <w:rFonts w:ascii="Aptos" w:hAnsi="Aptos"/>
                <w:b w:val="0"/>
                <w:sz w:val="18"/>
              </w:rPr>
              <w:t>817,860.05</w:t>
            </w:r>
          </w:p>
        </w:tc>
        <w:tc>
          <w:tcPr>
            <w:tcW w:type="dxa" w:w="4680"/>
            <w:vAlign w:val="center"/>
            <w:shd w:fill="F2F5F8"/>
          </w:tcPr>
          <w:p>
            <w:pPr>
              <w:spacing w:after="20"/>
            </w:pPr>
            <w:r/>
            <w:r>
              <w:rPr>
                <w:rFonts w:ascii="Aptos" w:hAnsi="Aptos"/>
                <w:b w:val="0"/>
                <w:sz w:val="18"/>
              </w:rPr>
              <w:t>Represents the total sales revenue calculated from quantity × pizza price; currency is not explicitly labelled in the PDF.</w:t>
            </w:r>
          </w:p>
        </w:tc>
      </w:tr>
      <w:tr>
        <w:tc>
          <w:tcPr>
            <w:tcW w:type="dxa" w:w="2232"/>
            <w:vAlign w:val="center"/>
          </w:tcPr>
          <w:p>
            <w:pPr>
              <w:spacing w:after="20"/>
            </w:pPr>
            <w:r/>
            <w:r>
              <w:rPr>
                <w:rFonts w:ascii="Aptos" w:hAnsi="Aptos"/>
                <w:b w:val="0"/>
                <w:sz w:val="18"/>
              </w:rPr>
              <w:t>Highest-priced pizza</w:t>
            </w:r>
          </w:p>
        </w:tc>
        <w:tc>
          <w:tcPr>
            <w:tcW w:type="dxa" w:w="3240"/>
            <w:vAlign w:val="center"/>
          </w:tcPr>
          <w:p>
            <w:pPr>
              <w:spacing w:after="20"/>
            </w:pPr>
            <w:r/>
            <w:r>
              <w:rPr>
                <w:rFonts w:ascii="Aptos" w:hAnsi="Aptos"/>
                <w:b w:val="0"/>
                <w:sz w:val="18"/>
              </w:rPr>
              <w:t>The Greek Pizza — 35.95</w:t>
            </w:r>
          </w:p>
        </w:tc>
        <w:tc>
          <w:tcPr>
            <w:tcW w:type="dxa" w:w="4680"/>
            <w:vAlign w:val="center"/>
          </w:tcPr>
          <w:p>
            <w:pPr>
              <w:spacing w:after="20"/>
            </w:pPr>
            <w:r/>
            <w:r>
              <w:rPr>
                <w:rFonts w:ascii="Aptos" w:hAnsi="Aptos"/>
                <w:b w:val="0"/>
                <w:sz w:val="18"/>
              </w:rPr>
              <w:t>Identifies the highest listed unit price among the pizzas shown.</w:t>
            </w:r>
          </w:p>
        </w:tc>
      </w:tr>
      <w:tr>
        <w:tc>
          <w:tcPr>
            <w:tcW w:type="dxa" w:w="2232"/>
            <w:vAlign w:val="center"/>
            <w:shd w:fill="F2F5F8"/>
          </w:tcPr>
          <w:p>
            <w:pPr>
              <w:spacing w:after="20"/>
            </w:pPr>
            <w:r/>
            <w:r>
              <w:rPr>
                <w:rFonts w:ascii="Aptos" w:hAnsi="Aptos"/>
                <w:b w:val="0"/>
                <w:sz w:val="18"/>
              </w:rPr>
              <w:t>Most frequently ordered size</w:t>
            </w:r>
          </w:p>
        </w:tc>
        <w:tc>
          <w:tcPr>
            <w:tcW w:type="dxa" w:w="3240"/>
            <w:vAlign w:val="center"/>
            <w:shd w:fill="F2F5F8"/>
          </w:tcPr>
          <w:p>
            <w:pPr>
              <w:spacing w:after="20"/>
            </w:pPr>
            <w:r/>
            <w:r>
              <w:rPr>
                <w:rFonts w:ascii="Aptos" w:hAnsi="Aptos"/>
                <w:b w:val="0"/>
                <w:sz w:val="18"/>
              </w:rPr>
              <w:t>Large (L) — 18,526 order-detail records</w:t>
            </w:r>
          </w:p>
        </w:tc>
        <w:tc>
          <w:tcPr>
            <w:tcW w:type="dxa" w:w="4680"/>
            <w:vAlign w:val="center"/>
            <w:shd w:fill="F2F5F8"/>
          </w:tcPr>
          <w:p>
            <w:pPr>
              <w:spacing w:after="20"/>
            </w:pPr>
            <w:r/>
            <w:r>
              <w:rPr>
                <w:rFonts w:ascii="Aptos" w:hAnsi="Aptos"/>
                <w:b w:val="0"/>
                <w:sz w:val="18"/>
              </w:rPr>
              <w:t>Large is the leading size in the query output; the screenshot labels this as order_count.</w:t>
            </w:r>
          </w:p>
        </w:tc>
      </w:tr>
      <w:tr>
        <w:tc>
          <w:tcPr>
            <w:tcW w:type="dxa" w:w="2232"/>
            <w:vAlign w:val="center"/>
          </w:tcPr>
          <w:p>
            <w:pPr>
              <w:spacing w:after="20"/>
            </w:pPr>
            <w:r/>
            <w:r>
              <w:rPr>
                <w:rFonts w:ascii="Aptos" w:hAnsi="Aptos"/>
                <w:b w:val="0"/>
                <w:sz w:val="18"/>
              </w:rPr>
              <w:t>Average pizzas ordered per day</w:t>
            </w:r>
          </w:p>
        </w:tc>
        <w:tc>
          <w:tcPr>
            <w:tcW w:type="dxa" w:w="3240"/>
            <w:vAlign w:val="center"/>
          </w:tcPr>
          <w:p>
            <w:pPr>
              <w:spacing w:after="20"/>
            </w:pPr>
            <w:r/>
            <w:r>
              <w:rPr>
                <w:rFonts w:ascii="Aptos" w:hAnsi="Aptos"/>
                <w:b w:val="0"/>
                <w:sz w:val="18"/>
              </w:rPr>
              <w:t>138</w:t>
            </w:r>
          </w:p>
        </w:tc>
        <w:tc>
          <w:tcPr>
            <w:tcW w:type="dxa" w:w="4680"/>
            <w:vAlign w:val="center"/>
          </w:tcPr>
          <w:p>
            <w:pPr>
              <w:spacing w:after="20"/>
            </w:pPr>
            <w:r/>
            <w:r>
              <w:rPr>
                <w:rFonts w:ascii="Aptos" w:hAnsi="Aptos"/>
                <w:b w:val="0"/>
                <w:sz w:val="18"/>
              </w:rPr>
              <w:t>Offers a simple daily-volume benchmark for operational planning.</w:t>
            </w:r>
          </w:p>
        </w:tc>
      </w:tr>
    </w:tbl>
    <w:p>
      <w:pPr>
        <w:spacing w:after="20"/>
      </w:pPr>
    </w:p>
    <w:p>
      <w:pPr>
        <w:pStyle w:val="Heading1"/>
      </w:pPr>
      <w:r>
        <w:t>4. Product and Category Performance</w:t>
      </w:r>
    </w:p>
    <w:p>
      <w:pPr>
        <w:pStyle w:val="Heading2"/>
      </w:pPr>
      <w:r>
        <w:t>4.1 Most-ordered pizza types</w:t>
      </w:r>
    </w:p>
    <w:p>
      <w:r>
        <w:t>The five leading pizza types by quantity shown in the report are:</w:t>
      </w:r>
    </w:p>
    <w:tbl>
      <w:tblPr>
        <w:tblStyle w:val="TableGrid"/>
        <w:tblW w:type="auto" w:w="0"/>
        <w:jc w:val="center"/>
        <w:tblLook w:firstColumn="1" w:firstRow="1" w:lastColumn="0" w:lastRow="0" w:noHBand="0" w:noVBand="1" w:val="04A0"/>
      </w:tblPr>
      <w:tblGrid>
        <w:gridCol w:w="3331"/>
        <w:gridCol w:w="3331"/>
        <w:gridCol w:w="3331"/>
      </w:tblGrid>
      <w:tr>
        <w:tc>
          <w:tcPr>
            <w:tcW w:type="dxa" w:w="1152"/>
            <w:vAlign w:val="center"/>
            <w:shd w:fill="17324D"/>
          </w:tcPr>
          <w:p>
            <w:pPr>
              <w:spacing w:after="20"/>
            </w:pPr>
            <w:r/>
            <w:r>
              <w:rPr>
                <w:rFonts w:ascii="Aptos" w:hAnsi="Aptos"/>
                <w:b/>
                <w:color w:val="FFFFFF"/>
                <w:sz w:val="18"/>
              </w:rPr>
              <w:t>Rank</w:t>
            </w:r>
          </w:p>
        </w:tc>
        <w:tc>
          <w:tcPr>
            <w:tcW w:type="dxa" w:w="6048"/>
            <w:vAlign w:val="center"/>
            <w:shd w:fill="17324D"/>
          </w:tcPr>
          <w:p>
            <w:pPr>
              <w:spacing w:after="20"/>
            </w:pPr>
            <w:r/>
            <w:r>
              <w:rPr>
                <w:rFonts w:ascii="Aptos" w:hAnsi="Aptos"/>
                <w:b/>
                <w:color w:val="FFFFFF"/>
                <w:sz w:val="18"/>
              </w:rPr>
              <w:t>Pizza type</w:t>
            </w:r>
          </w:p>
        </w:tc>
        <w:tc>
          <w:tcPr>
            <w:tcW w:type="dxa" w:w="2304"/>
            <w:vAlign w:val="center"/>
            <w:shd w:fill="17324D"/>
          </w:tcPr>
          <w:p>
            <w:pPr>
              <w:spacing w:after="20"/>
            </w:pPr>
            <w:r/>
            <w:r>
              <w:rPr>
                <w:rFonts w:ascii="Aptos" w:hAnsi="Aptos"/>
                <w:b/>
                <w:color w:val="FFFFFF"/>
                <w:sz w:val="18"/>
              </w:rPr>
              <w:t>Quantity</w:t>
            </w:r>
          </w:p>
        </w:tc>
      </w:tr>
      <w:tr>
        <w:tc>
          <w:tcPr>
            <w:tcW w:type="dxa" w:w="1152"/>
            <w:vAlign w:val="center"/>
          </w:tcPr>
          <w:p>
            <w:pPr>
              <w:spacing w:after="20"/>
            </w:pPr>
            <w:r/>
            <w:r>
              <w:rPr>
                <w:rFonts w:ascii="Aptos" w:hAnsi="Aptos"/>
                <w:b w:val="0"/>
                <w:sz w:val="18"/>
              </w:rPr>
              <w:t>1</w:t>
            </w:r>
          </w:p>
        </w:tc>
        <w:tc>
          <w:tcPr>
            <w:tcW w:type="dxa" w:w="6048"/>
            <w:vAlign w:val="center"/>
          </w:tcPr>
          <w:p>
            <w:pPr>
              <w:spacing w:after="20"/>
            </w:pPr>
            <w:r/>
            <w:r>
              <w:rPr>
                <w:rFonts w:ascii="Aptos" w:hAnsi="Aptos"/>
                <w:b w:val="0"/>
                <w:sz w:val="18"/>
              </w:rPr>
              <w:t>The Classic Deluxe Pizza</w:t>
            </w:r>
          </w:p>
        </w:tc>
        <w:tc>
          <w:tcPr>
            <w:tcW w:type="dxa" w:w="2304"/>
            <w:vAlign w:val="center"/>
          </w:tcPr>
          <w:p>
            <w:pPr>
              <w:spacing w:after="20"/>
            </w:pPr>
            <w:r/>
            <w:r>
              <w:rPr>
                <w:rFonts w:ascii="Aptos" w:hAnsi="Aptos"/>
                <w:b w:val="0"/>
                <w:sz w:val="18"/>
              </w:rPr>
              <w:t>2,453</w:t>
            </w:r>
          </w:p>
        </w:tc>
      </w:tr>
      <w:tr>
        <w:tc>
          <w:tcPr>
            <w:tcW w:type="dxa" w:w="1152"/>
            <w:vAlign w:val="center"/>
            <w:shd w:fill="F2F5F8"/>
          </w:tcPr>
          <w:p>
            <w:pPr>
              <w:spacing w:after="20"/>
            </w:pPr>
            <w:r/>
            <w:r>
              <w:rPr>
                <w:rFonts w:ascii="Aptos" w:hAnsi="Aptos"/>
                <w:b w:val="0"/>
                <w:sz w:val="18"/>
              </w:rPr>
              <w:t>2</w:t>
            </w:r>
          </w:p>
        </w:tc>
        <w:tc>
          <w:tcPr>
            <w:tcW w:type="dxa" w:w="6048"/>
            <w:vAlign w:val="center"/>
            <w:shd w:fill="F2F5F8"/>
          </w:tcPr>
          <w:p>
            <w:pPr>
              <w:spacing w:after="20"/>
            </w:pPr>
            <w:r/>
            <w:r>
              <w:rPr>
                <w:rFonts w:ascii="Aptos" w:hAnsi="Aptos"/>
                <w:b w:val="0"/>
                <w:sz w:val="18"/>
              </w:rPr>
              <w:t>The Barbecue Chicken Pizza</w:t>
            </w:r>
          </w:p>
        </w:tc>
        <w:tc>
          <w:tcPr>
            <w:tcW w:type="dxa" w:w="2304"/>
            <w:vAlign w:val="center"/>
            <w:shd w:fill="F2F5F8"/>
          </w:tcPr>
          <w:p>
            <w:pPr>
              <w:spacing w:after="20"/>
            </w:pPr>
            <w:r/>
            <w:r>
              <w:rPr>
                <w:rFonts w:ascii="Aptos" w:hAnsi="Aptos"/>
                <w:b w:val="0"/>
                <w:sz w:val="18"/>
              </w:rPr>
              <w:t>2,432</w:t>
            </w:r>
          </w:p>
        </w:tc>
      </w:tr>
      <w:tr>
        <w:tc>
          <w:tcPr>
            <w:tcW w:type="dxa" w:w="1152"/>
            <w:vAlign w:val="center"/>
          </w:tcPr>
          <w:p>
            <w:pPr>
              <w:spacing w:after="20"/>
            </w:pPr>
            <w:r/>
            <w:r>
              <w:rPr>
                <w:rFonts w:ascii="Aptos" w:hAnsi="Aptos"/>
                <w:b w:val="0"/>
                <w:sz w:val="18"/>
              </w:rPr>
              <w:t>3</w:t>
            </w:r>
          </w:p>
        </w:tc>
        <w:tc>
          <w:tcPr>
            <w:tcW w:type="dxa" w:w="6048"/>
            <w:vAlign w:val="center"/>
          </w:tcPr>
          <w:p>
            <w:pPr>
              <w:spacing w:after="20"/>
            </w:pPr>
            <w:r/>
            <w:r>
              <w:rPr>
                <w:rFonts w:ascii="Aptos" w:hAnsi="Aptos"/>
                <w:b w:val="0"/>
                <w:sz w:val="18"/>
              </w:rPr>
              <w:t>The Hawaiian Pizza</w:t>
            </w:r>
          </w:p>
        </w:tc>
        <w:tc>
          <w:tcPr>
            <w:tcW w:type="dxa" w:w="2304"/>
            <w:vAlign w:val="center"/>
          </w:tcPr>
          <w:p>
            <w:pPr>
              <w:spacing w:after="20"/>
            </w:pPr>
            <w:r/>
            <w:r>
              <w:rPr>
                <w:rFonts w:ascii="Aptos" w:hAnsi="Aptos"/>
                <w:b w:val="0"/>
                <w:sz w:val="18"/>
              </w:rPr>
              <w:t>2,422</w:t>
            </w:r>
          </w:p>
        </w:tc>
      </w:tr>
      <w:tr>
        <w:tc>
          <w:tcPr>
            <w:tcW w:type="dxa" w:w="1152"/>
            <w:vAlign w:val="center"/>
            <w:shd w:fill="F2F5F8"/>
          </w:tcPr>
          <w:p>
            <w:pPr>
              <w:spacing w:after="20"/>
            </w:pPr>
            <w:r/>
            <w:r>
              <w:rPr>
                <w:rFonts w:ascii="Aptos" w:hAnsi="Aptos"/>
                <w:b w:val="0"/>
                <w:sz w:val="18"/>
              </w:rPr>
              <w:t>4</w:t>
            </w:r>
          </w:p>
        </w:tc>
        <w:tc>
          <w:tcPr>
            <w:tcW w:type="dxa" w:w="6048"/>
            <w:vAlign w:val="center"/>
            <w:shd w:fill="F2F5F8"/>
          </w:tcPr>
          <w:p>
            <w:pPr>
              <w:spacing w:after="20"/>
            </w:pPr>
            <w:r/>
            <w:r>
              <w:rPr>
                <w:rFonts w:ascii="Aptos" w:hAnsi="Aptos"/>
                <w:b w:val="0"/>
                <w:sz w:val="18"/>
              </w:rPr>
              <w:t>The Pepperoni Pizza</w:t>
            </w:r>
          </w:p>
        </w:tc>
        <w:tc>
          <w:tcPr>
            <w:tcW w:type="dxa" w:w="2304"/>
            <w:vAlign w:val="center"/>
            <w:shd w:fill="F2F5F8"/>
          </w:tcPr>
          <w:p>
            <w:pPr>
              <w:spacing w:after="20"/>
            </w:pPr>
            <w:r/>
            <w:r>
              <w:rPr>
                <w:rFonts w:ascii="Aptos" w:hAnsi="Aptos"/>
                <w:b w:val="0"/>
                <w:sz w:val="18"/>
              </w:rPr>
              <w:t>2,418</w:t>
            </w:r>
          </w:p>
        </w:tc>
      </w:tr>
      <w:tr>
        <w:tc>
          <w:tcPr>
            <w:tcW w:type="dxa" w:w="1152"/>
            <w:vAlign w:val="center"/>
          </w:tcPr>
          <w:p>
            <w:pPr>
              <w:spacing w:after="20"/>
            </w:pPr>
            <w:r/>
            <w:r>
              <w:rPr>
                <w:rFonts w:ascii="Aptos" w:hAnsi="Aptos"/>
                <w:b w:val="0"/>
                <w:sz w:val="18"/>
              </w:rPr>
              <w:t>5</w:t>
            </w:r>
          </w:p>
        </w:tc>
        <w:tc>
          <w:tcPr>
            <w:tcW w:type="dxa" w:w="6048"/>
            <w:vAlign w:val="center"/>
          </w:tcPr>
          <w:p>
            <w:pPr>
              <w:spacing w:after="20"/>
            </w:pPr>
            <w:r/>
            <w:r>
              <w:rPr>
                <w:rFonts w:ascii="Aptos" w:hAnsi="Aptos"/>
                <w:b w:val="0"/>
                <w:sz w:val="18"/>
              </w:rPr>
              <w:t>The Thai Chicken Pizza</w:t>
            </w:r>
          </w:p>
        </w:tc>
        <w:tc>
          <w:tcPr>
            <w:tcW w:type="dxa" w:w="2304"/>
            <w:vAlign w:val="center"/>
          </w:tcPr>
          <w:p>
            <w:pPr>
              <w:spacing w:after="20"/>
            </w:pPr>
            <w:r/>
            <w:r>
              <w:rPr>
                <w:rFonts w:ascii="Aptos" w:hAnsi="Aptos"/>
                <w:b w:val="0"/>
                <w:sz w:val="18"/>
              </w:rPr>
              <w:t>2,371</w:t>
            </w:r>
          </w:p>
        </w:tc>
      </w:tr>
    </w:tbl>
    <w:p>
      <w:pPr>
        <w:spacing w:after="20"/>
      </w:pPr>
    </w:p>
    <w:p>
      <w:r>
        <w:t>These products are strong candidates for availability planning and promotional visibility. Quantity rankings should be considered separately from revenue rankings, because a high sales volume does not necessarily mean the product generates the highest revenue.</w:t>
      </w:r>
    </w:p>
    <w:p>
      <w:pPr>
        <w:pStyle w:val="Heading2"/>
      </w:pPr>
      <w:r>
        <w:t>4.2 Quantity by pizza category</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17324D"/>
          </w:tcPr>
          <w:p>
            <w:pPr>
              <w:spacing w:after="20"/>
            </w:pPr>
            <w:r/>
            <w:r>
              <w:rPr>
                <w:rFonts w:ascii="Aptos" w:hAnsi="Aptos"/>
                <w:b/>
                <w:color w:val="FFFFFF"/>
                <w:sz w:val="18"/>
              </w:rPr>
              <w:t>Category</w:t>
            </w:r>
          </w:p>
        </w:tc>
        <w:tc>
          <w:tcPr>
            <w:tcW w:type="dxa" w:w="3168"/>
            <w:vAlign w:val="center"/>
            <w:shd w:fill="17324D"/>
          </w:tcPr>
          <w:p>
            <w:pPr>
              <w:spacing w:after="20"/>
            </w:pPr>
            <w:r/>
            <w:r>
              <w:rPr>
                <w:rFonts w:ascii="Aptos" w:hAnsi="Aptos"/>
                <w:b/>
                <w:color w:val="FFFFFF"/>
                <w:sz w:val="18"/>
              </w:rPr>
              <w:t>Quantity shown</w:t>
            </w:r>
          </w:p>
        </w:tc>
      </w:tr>
      <w:tr>
        <w:tc>
          <w:tcPr>
            <w:tcW w:type="dxa" w:w="3168"/>
            <w:vAlign w:val="center"/>
          </w:tcPr>
          <w:p>
            <w:pPr>
              <w:spacing w:after="20"/>
            </w:pPr>
            <w:r/>
            <w:r>
              <w:rPr>
                <w:rFonts w:ascii="Aptos" w:hAnsi="Aptos"/>
                <w:b w:val="0"/>
                <w:sz w:val="18"/>
              </w:rPr>
              <w:t>Classic</w:t>
            </w:r>
          </w:p>
        </w:tc>
        <w:tc>
          <w:tcPr>
            <w:tcW w:type="dxa" w:w="3168"/>
            <w:vAlign w:val="center"/>
          </w:tcPr>
          <w:p>
            <w:pPr>
              <w:spacing w:after="20"/>
            </w:pPr>
            <w:r/>
            <w:r>
              <w:rPr>
                <w:rFonts w:ascii="Aptos" w:hAnsi="Aptos"/>
                <w:b w:val="0"/>
                <w:sz w:val="18"/>
              </w:rPr>
              <w:t>14,888</w:t>
            </w:r>
          </w:p>
        </w:tc>
      </w:tr>
      <w:tr>
        <w:tc>
          <w:tcPr>
            <w:tcW w:type="dxa" w:w="3168"/>
            <w:vAlign w:val="center"/>
            <w:shd w:fill="F2F5F8"/>
          </w:tcPr>
          <w:p>
            <w:pPr>
              <w:spacing w:after="20"/>
            </w:pPr>
            <w:r/>
            <w:r>
              <w:rPr>
                <w:rFonts w:ascii="Aptos" w:hAnsi="Aptos"/>
                <w:b w:val="0"/>
                <w:sz w:val="18"/>
              </w:rPr>
              <w:t>Supreme</w:t>
            </w:r>
          </w:p>
        </w:tc>
        <w:tc>
          <w:tcPr>
            <w:tcW w:type="dxa" w:w="3168"/>
            <w:vAlign w:val="center"/>
            <w:shd w:fill="F2F5F8"/>
          </w:tcPr>
          <w:p>
            <w:pPr>
              <w:spacing w:after="20"/>
            </w:pPr>
            <w:r/>
            <w:r>
              <w:rPr>
                <w:rFonts w:ascii="Aptos" w:hAnsi="Aptos"/>
                <w:b w:val="0"/>
                <w:sz w:val="18"/>
              </w:rPr>
              <w:t>11,987</w:t>
            </w:r>
          </w:p>
        </w:tc>
      </w:tr>
      <w:tr>
        <w:tc>
          <w:tcPr>
            <w:tcW w:type="dxa" w:w="3168"/>
            <w:vAlign w:val="center"/>
          </w:tcPr>
          <w:p>
            <w:pPr>
              <w:spacing w:after="20"/>
            </w:pPr>
            <w:r/>
            <w:r>
              <w:rPr>
                <w:rFonts w:ascii="Aptos" w:hAnsi="Aptos"/>
                <w:b w:val="0"/>
                <w:sz w:val="18"/>
              </w:rPr>
              <w:t>Veggie</w:t>
            </w:r>
          </w:p>
        </w:tc>
        <w:tc>
          <w:tcPr>
            <w:tcW w:type="dxa" w:w="3168"/>
            <w:vAlign w:val="center"/>
          </w:tcPr>
          <w:p>
            <w:pPr>
              <w:spacing w:after="20"/>
            </w:pPr>
            <w:r/>
            <w:r>
              <w:rPr>
                <w:rFonts w:ascii="Aptos" w:hAnsi="Aptos"/>
                <w:b w:val="0"/>
                <w:sz w:val="18"/>
              </w:rPr>
              <w:t>11,649</w:t>
            </w:r>
          </w:p>
        </w:tc>
      </w:tr>
      <w:tr>
        <w:tc>
          <w:tcPr>
            <w:tcW w:type="dxa" w:w="3168"/>
            <w:vAlign w:val="center"/>
            <w:shd w:fill="F2F5F8"/>
          </w:tcPr>
          <w:p>
            <w:pPr>
              <w:spacing w:after="20"/>
            </w:pPr>
            <w:r/>
            <w:r>
              <w:rPr>
                <w:rFonts w:ascii="Aptos" w:hAnsi="Aptos"/>
                <w:b w:val="0"/>
                <w:sz w:val="18"/>
              </w:rPr>
              <w:t>Chicken</w:t>
            </w:r>
          </w:p>
        </w:tc>
        <w:tc>
          <w:tcPr>
            <w:tcW w:type="dxa" w:w="3168"/>
            <w:vAlign w:val="center"/>
            <w:shd w:fill="F2F5F8"/>
          </w:tcPr>
          <w:p>
            <w:pPr>
              <w:spacing w:after="20"/>
            </w:pPr>
            <w:r/>
            <w:r>
              <w:rPr>
                <w:rFonts w:ascii="Aptos" w:hAnsi="Aptos"/>
                <w:b w:val="0"/>
                <w:sz w:val="18"/>
              </w:rPr>
              <w:t>11,050</w:t>
            </w:r>
          </w:p>
        </w:tc>
      </w:tr>
    </w:tbl>
    <w:p>
      <w:pPr>
        <w:spacing w:after="20"/>
      </w:pPr>
    </w:p>
    <w:p>
      <w:r>
        <w:t>Classic is the largest category by quantity in the displayed results. This may inform product availability and category-level planning, while further checks on margins and ingredient requirements would be needed before making profitability decisions.</w:t>
      </w:r>
    </w:p>
    <w:p>
      <w:pPr>
        <w:pStyle w:val="Heading2"/>
      </w:pPr>
      <w:r>
        <w:t>4.3 Revenue leaders</w:t>
      </w:r>
    </w:p>
    <w:tbl>
      <w:tblPr>
        <w:tblStyle w:val="TableGrid"/>
        <w:tblW w:type="auto" w:w="0"/>
        <w:jc w:val="center"/>
        <w:tblLook w:firstColumn="1" w:firstRow="1" w:lastColumn="0" w:lastRow="0" w:noHBand="0" w:noVBand="1" w:val="04A0"/>
      </w:tblPr>
      <w:tblGrid>
        <w:gridCol w:w="3331"/>
        <w:gridCol w:w="3331"/>
        <w:gridCol w:w="3331"/>
      </w:tblGrid>
      <w:tr>
        <w:tc>
          <w:tcPr>
            <w:tcW w:type="dxa" w:w="1728"/>
            <w:vAlign w:val="center"/>
            <w:shd w:fill="17324D"/>
          </w:tcPr>
          <w:p>
            <w:pPr>
              <w:spacing w:after="20"/>
            </w:pPr>
            <w:r/>
            <w:r>
              <w:rPr>
                <w:rFonts w:ascii="Aptos" w:hAnsi="Aptos"/>
                <w:b/>
                <w:color w:val="FFFFFF"/>
                <w:sz w:val="18"/>
              </w:rPr>
              <w:t>Rank shown</w:t>
            </w:r>
          </w:p>
        </w:tc>
        <w:tc>
          <w:tcPr>
            <w:tcW w:type="dxa" w:w="5472"/>
            <w:vAlign w:val="center"/>
            <w:shd w:fill="17324D"/>
          </w:tcPr>
          <w:p>
            <w:pPr>
              <w:spacing w:after="20"/>
            </w:pPr>
            <w:r/>
            <w:r>
              <w:rPr>
                <w:rFonts w:ascii="Aptos" w:hAnsi="Aptos"/>
                <w:b/>
                <w:color w:val="FFFFFF"/>
                <w:sz w:val="18"/>
              </w:rPr>
              <w:t>Pizza type</w:t>
            </w:r>
          </w:p>
        </w:tc>
        <w:tc>
          <w:tcPr>
            <w:tcW w:type="dxa" w:w="2592"/>
            <w:vAlign w:val="center"/>
            <w:shd w:fill="17324D"/>
          </w:tcPr>
          <w:p>
            <w:pPr>
              <w:spacing w:after="20"/>
            </w:pPr>
            <w:r/>
            <w:r>
              <w:rPr>
                <w:rFonts w:ascii="Aptos" w:hAnsi="Aptos"/>
                <w:b/>
                <w:color w:val="FFFFFF"/>
                <w:sz w:val="18"/>
              </w:rPr>
              <w:t>Revenue shown</w:t>
            </w:r>
          </w:p>
        </w:tc>
      </w:tr>
      <w:tr>
        <w:tc>
          <w:tcPr>
            <w:tcW w:type="dxa" w:w="1728"/>
            <w:vAlign w:val="center"/>
          </w:tcPr>
          <w:p>
            <w:pPr>
              <w:spacing w:after="20"/>
            </w:pPr>
            <w:r/>
            <w:r>
              <w:rPr>
                <w:rFonts w:ascii="Aptos" w:hAnsi="Aptos"/>
                <w:b w:val="0"/>
                <w:sz w:val="18"/>
              </w:rPr>
              <w:t>1</w:t>
            </w:r>
          </w:p>
        </w:tc>
        <w:tc>
          <w:tcPr>
            <w:tcW w:type="dxa" w:w="5472"/>
            <w:vAlign w:val="center"/>
          </w:tcPr>
          <w:p>
            <w:pPr>
              <w:spacing w:after="20"/>
            </w:pPr>
            <w:r/>
            <w:r>
              <w:rPr>
                <w:rFonts w:ascii="Aptos" w:hAnsi="Aptos"/>
                <w:b w:val="0"/>
                <w:sz w:val="18"/>
              </w:rPr>
              <w:t>The Thai Chicken Pizza</w:t>
            </w:r>
          </w:p>
        </w:tc>
        <w:tc>
          <w:tcPr>
            <w:tcW w:type="dxa" w:w="2592"/>
            <w:vAlign w:val="center"/>
          </w:tcPr>
          <w:p>
            <w:pPr>
              <w:spacing w:after="20"/>
            </w:pPr>
            <w:r/>
            <w:r>
              <w:rPr>
                <w:rFonts w:ascii="Aptos" w:hAnsi="Aptos"/>
                <w:b w:val="0"/>
                <w:sz w:val="18"/>
              </w:rPr>
              <w:t>43,434.25</w:t>
            </w:r>
          </w:p>
        </w:tc>
      </w:tr>
      <w:tr>
        <w:tc>
          <w:tcPr>
            <w:tcW w:type="dxa" w:w="1728"/>
            <w:vAlign w:val="center"/>
            <w:shd w:fill="F2F5F8"/>
          </w:tcPr>
          <w:p>
            <w:pPr>
              <w:spacing w:after="20"/>
            </w:pPr>
            <w:r/>
            <w:r>
              <w:rPr>
                <w:rFonts w:ascii="Aptos" w:hAnsi="Aptos"/>
                <w:b w:val="0"/>
                <w:sz w:val="18"/>
              </w:rPr>
              <w:t>2</w:t>
            </w:r>
          </w:p>
        </w:tc>
        <w:tc>
          <w:tcPr>
            <w:tcW w:type="dxa" w:w="5472"/>
            <w:vAlign w:val="center"/>
            <w:shd w:fill="F2F5F8"/>
          </w:tcPr>
          <w:p>
            <w:pPr>
              <w:spacing w:after="20"/>
            </w:pPr>
            <w:r/>
            <w:r>
              <w:rPr>
                <w:rFonts w:ascii="Aptos" w:hAnsi="Aptos"/>
                <w:b w:val="0"/>
                <w:sz w:val="18"/>
              </w:rPr>
              <w:t>The Barbecue Chicken Pizza</w:t>
            </w:r>
          </w:p>
        </w:tc>
        <w:tc>
          <w:tcPr>
            <w:tcW w:type="dxa" w:w="2592"/>
            <w:vAlign w:val="center"/>
            <w:shd w:fill="F2F5F8"/>
          </w:tcPr>
          <w:p>
            <w:pPr>
              <w:spacing w:after="20"/>
            </w:pPr>
            <w:r/>
            <w:r>
              <w:rPr>
                <w:rFonts w:ascii="Aptos" w:hAnsi="Aptos"/>
                <w:b w:val="0"/>
                <w:sz w:val="18"/>
              </w:rPr>
              <w:t>42,768.00</w:t>
            </w:r>
          </w:p>
        </w:tc>
      </w:tr>
      <w:tr>
        <w:tc>
          <w:tcPr>
            <w:tcW w:type="dxa" w:w="1728"/>
            <w:vAlign w:val="center"/>
          </w:tcPr>
          <w:p>
            <w:pPr>
              <w:spacing w:after="20"/>
            </w:pPr>
            <w:r/>
            <w:r>
              <w:rPr>
                <w:rFonts w:ascii="Aptos" w:hAnsi="Aptos"/>
                <w:b w:val="0"/>
                <w:sz w:val="18"/>
              </w:rPr>
              <w:t>3</w:t>
            </w:r>
          </w:p>
        </w:tc>
        <w:tc>
          <w:tcPr>
            <w:tcW w:type="dxa" w:w="5472"/>
            <w:vAlign w:val="center"/>
          </w:tcPr>
          <w:p>
            <w:pPr>
              <w:spacing w:after="20"/>
            </w:pPr>
            <w:r/>
            <w:r>
              <w:rPr>
                <w:rFonts w:ascii="Aptos" w:hAnsi="Aptos"/>
                <w:b w:val="0"/>
                <w:sz w:val="18"/>
              </w:rPr>
              <w:t>The California Chicken Pizza</w:t>
            </w:r>
          </w:p>
        </w:tc>
        <w:tc>
          <w:tcPr>
            <w:tcW w:type="dxa" w:w="2592"/>
            <w:vAlign w:val="center"/>
          </w:tcPr>
          <w:p>
            <w:pPr>
              <w:spacing w:after="20"/>
            </w:pPr>
            <w:r/>
            <w:r>
              <w:rPr>
                <w:rFonts w:ascii="Aptos" w:hAnsi="Aptos"/>
                <w:b w:val="0"/>
                <w:sz w:val="18"/>
              </w:rPr>
              <w:t>41,409.50</w:t>
            </w:r>
          </w:p>
        </w:tc>
      </w:tr>
    </w:tbl>
    <w:p>
      <w:pPr>
        <w:spacing w:after="20"/>
      </w:pPr>
    </w:p>
    <w:p>
      <w:r>
        <w:t>The Thai Chicken Pizza leads the displayed revenue ranking, followed by the Barbecue Chicken Pizza and California Chicken Pizza. These products may merit focused menu placement or promotional testing. The report does not provide ingredient costs, operating costs, or profit margins, so revenue should not be treated as profit.</w:t>
      </w:r>
    </w:p>
    <w:p>
      <w:pPr>
        <w:pStyle w:val="Heading2"/>
      </w:pPr>
      <w:r>
        <w:t>4.4 Category contribution to revenue</w:t>
      </w:r>
    </w:p>
    <w:tbl>
      <w:tblPr>
        <w:tblStyle w:val="TableGrid"/>
        <w:tblW w:type="auto" w:w="0"/>
        <w:jc w:val="center"/>
        <w:tblLook w:firstColumn="1" w:firstRow="1" w:lastColumn="0" w:lastRow="0" w:noHBand="0" w:noVBand="1" w:val="04A0"/>
      </w:tblPr>
      <w:tblGrid>
        <w:gridCol w:w="4997"/>
        <w:gridCol w:w="4997"/>
      </w:tblGrid>
      <w:tr>
        <w:tc>
          <w:tcPr>
            <w:tcW w:type="dxa" w:w="3168"/>
            <w:vAlign w:val="center"/>
            <w:shd w:fill="17324D"/>
          </w:tcPr>
          <w:p>
            <w:pPr>
              <w:spacing w:after="20"/>
            </w:pPr>
            <w:r/>
            <w:r>
              <w:rPr>
                <w:rFonts w:ascii="Aptos" w:hAnsi="Aptos"/>
                <w:b/>
                <w:color w:val="FFFFFF"/>
                <w:sz w:val="18"/>
              </w:rPr>
              <w:t>Category</w:t>
            </w:r>
          </w:p>
        </w:tc>
        <w:tc>
          <w:tcPr>
            <w:tcW w:type="dxa" w:w="3168"/>
            <w:vAlign w:val="center"/>
            <w:shd w:fill="17324D"/>
          </w:tcPr>
          <w:p>
            <w:pPr>
              <w:spacing w:after="20"/>
            </w:pPr>
            <w:r/>
            <w:r>
              <w:rPr>
                <w:rFonts w:ascii="Aptos" w:hAnsi="Aptos"/>
                <w:b/>
                <w:color w:val="FFFFFF"/>
                <w:sz w:val="18"/>
              </w:rPr>
              <w:t>Share of total revenue</w:t>
            </w:r>
          </w:p>
        </w:tc>
      </w:tr>
      <w:tr>
        <w:tc>
          <w:tcPr>
            <w:tcW w:type="dxa" w:w="3168"/>
            <w:vAlign w:val="center"/>
          </w:tcPr>
          <w:p>
            <w:pPr>
              <w:spacing w:after="20"/>
            </w:pPr>
            <w:r/>
            <w:r>
              <w:rPr>
                <w:rFonts w:ascii="Aptos" w:hAnsi="Aptos"/>
                <w:b w:val="0"/>
                <w:sz w:val="18"/>
              </w:rPr>
              <w:t>Classic</w:t>
            </w:r>
          </w:p>
        </w:tc>
        <w:tc>
          <w:tcPr>
            <w:tcW w:type="dxa" w:w="3168"/>
            <w:vAlign w:val="center"/>
          </w:tcPr>
          <w:p>
            <w:pPr>
              <w:spacing w:after="20"/>
            </w:pPr>
            <w:r/>
            <w:r>
              <w:rPr>
                <w:rFonts w:ascii="Aptos" w:hAnsi="Aptos"/>
                <w:b w:val="0"/>
                <w:sz w:val="18"/>
              </w:rPr>
              <w:t>26.91%</w:t>
            </w:r>
          </w:p>
        </w:tc>
      </w:tr>
      <w:tr>
        <w:tc>
          <w:tcPr>
            <w:tcW w:type="dxa" w:w="3168"/>
            <w:vAlign w:val="center"/>
            <w:shd w:fill="F2F5F8"/>
          </w:tcPr>
          <w:p>
            <w:pPr>
              <w:spacing w:after="20"/>
            </w:pPr>
            <w:r/>
            <w:r>
              <w:rPr>
                <w:rFonts w:ascii="Aptos" w:hAnsi="Aptos"/>
                <w:b w:val="0"/>
                <w:sz w:val="18"/>
              </w:rPr>
              <w:t>Supreme</w:t>
            </w:r>
          </w:p>
        </w:tc>
        <w:tc>
          <w:tcPr>
            <w:tcW w:type="dxa" w:w="3168"/>
            <w:vAlign w:val="center"/>
            <w:shd w:fill="F2F5F8"/>
          </w:tcPr>
          <w:p>
            <w:pPr>
              <w:spacing w:after="20"/>
            </w:pPr>
            <w:r/>
            <w:r>
              <w:rPr>
                <w:rFonts w:ascii="Aptos" w:hAnsi="Aptos"/>
                <w:b w:val="0"/>
                <w:sz w:val="18"/>
              </w:rPr>
              <w:t>25.46%</w:t>
            </w:r>
          </w:p>
        </w:tc>
      </w:tr>
      <w:tr>
        <w:tc>
          <w:tcPr>
            <w:tcW w:type="dxa" w:w="3168"/>
            <w:vAlign w:val="center"/>
          </w:tcPr>
          <w:p>
            <w:pPr>
              <w:spacing w:after="20"/>
            </w:pPr>
            <w:r/>
            <w:r>
              <w:rPr>
                <w:rFonts w:ascii="Aptos" w:hAnsi="Aptos"/>
                <w:b w:val="0"/>
                <w:sz w:val="18"/>
              </w:rPr>
              <w:t>Chicken</w:t>
            </w:r>
          </w:p>
        </w:tc>
        <w:tc>
          <w:tcPr>
            <w:tcW w:type="dxa" w:w="3168"/>
            <w:vAlign w:val="center"/>
          </w:tcPr>
          <w:p>
            <w:pPr>
              <w:spacing w:after="20"/>
            </w:pPr>
            <w:r/>
            <w:r>
              <w:rPr>
                <w:rFonts w:ascii="Aptos" w:hAnsi="Aptos"/>
                <w:b w:val="0"/>
                <w:sz w:val="18"/>
              </w:rPr>
              <w:t>23.96%</w:t>
            </w:r>
          </w:p>
        </w:tc>
      </w:tr>
      <w:tr>
        <w:tc>
          <w:tcPr>
            <w:tcW w:type="dxa" w:w="3168"/>
            <w:vAlign w:val="center"/>
            <w:shd w:fill="F2F5F8"/>
          </w:tcPr>
          <w:p>
            <w:pPr>
              <w:spacing w:after="20"/>
            </w:pPr>
            <w:r/>
            <w:r>
              <w:rPr>
                <w:rFonts w:ascii="Aptos" w:hAnsi="Aptos"/>
                <w:b w:val="0"/>
                <w:sz w:val="18"/>
              </w:rPr>
              <w:t>Veggie</w:t>
            </w:r>
          </w:p>
        </w:tc>
        <w:tc>
          <w:tcPr>
            <w:tcW w:type="dxa" w:w="3168"/>
            <w:vAlign w:val="center"/>
            <w:shd w:fill="F2F5F8"/>
          </w:tcPr>
          <w:p>
            <w:pPr>
              <w:spacing w:after="20"/>
            </w:pPr>
            <w:r/>
            <w:r>
              <w:rPr>
                <w:rFonts w:ascii="Aptos" w:hAnsi="Aptos"/>
                <w:b w:val="0"/>
                <w:sz w:val="18"/>
              </w:rPr>
              <w:t>23.68%</w:t>
            </w:r>
          </w:p>
        </w:tc>
      </w:tr>
    </w:tbl>
    <w:p>
      <w:pPr>
        <w:spacing w:after="20"/>
      </w:pPr>
    </w:p>
    <w:p>
      <w:r>
        <w:t>Classic contributes the largest displayed share of revenue, with Supreme close behind. The percentages total approximately 100% due to rounding. The values are reproduced from the report's result grid.</w:t>
      </w:r>
    </w:p>
    <w:p>
      <w:pPr>
        <w:pStyle w:val="Heading1"/>
      </w:pPr>
      <w:r>
        <w:t>5. Ordering Patterns Over Time</w:t>
      </w:r>
    </w:p>
    <w:p>
      <w:pPr>
        <w:pStyle w:val="Heading2"/>
      </w:pPr>
      <w:r>
        <w:t>5.1 Orders by hour</w:t>
      </w:r>
    </w:p>
    <w:tbl>
      <w:tblPr>
        <w:tblStyle w:val="TableGrid"/>
        <w:tblW w:type="auto" w:w="0"/>
        <w:jc w:val="center"/>
        <w:tblLook w:firstColumn="1" w:firstRow="1" w:lastColumn="0" w:lastRow="0" w:noHBand="0" w:noVBand="1" w:val="04A0"/>
      </w:tblPr>
      <w:tblGrid>
        <w:gridCol w:w="3331"/>
        <w:gridCol w:w="3331"/>
        <w:gridCol w:w="3331"/>
      </w:tblGrid>
      <w:tr>
        <w:tc>
          <w:tcPr>
            <w:tcW w:type="dxa" w:w="1584"/>
            <w:vAlign w:val="center"/>
            <w:shd w:fill="17324D"/>
          </w:tcPr>
          <w:p>
            <w:pPr>
              <w:spacing w:after="20"/>
            </w:pPr>
            <w:r/>
            <w:r>
              <w:rPr>
                <w:rFonts w:ascii="Aptos" w:hAnsi="Aptos"/>
                <w:b/>
                <w:color w:val="FFFFFF"/>
                <w:sz w:val="18"/>
              </w:rPr>
              <w:t>Hour</w:t>
            </w:r>
          </w:p>
        </w:tc>
        <w:tc>
          <w:tcPr>
            <w:tcW w:type="dxa" w:w="2016"/>
            <w:vAlign w:val="center"/>
            <w:shd w:fill="17324D"/>
          </w:tcPr>
          <w:p>
            <w:pPr>
              <w:spacing w:after="20"/>
            </w:pPr>
            <w:r/>
            <w:r>
              <w:rPr>
                <w:rFonts w:ascii="Aptos" w:hAnsi="Aptos"/>
                <w:b/>
                <w:color w:val="FFFFFF"/>
                <w:sz w:val="18"/>
              </w:rPr>
              <w:t>Orders shown</w:t>
            </w:r>
          </w:p>
        </w:tc>
        <w:tc>
          <w:tcPr>
            <w:tcW w:type="dxa" w:w="5904"/>
            <w:vAlign w:val="center"/>
            <w:shd w:fill="17324D"/>
          </w:tcPr>
          <w:p>
            <w:pPr>
              <w:spacing w:after="20"/>
            </w:pPr>
            <w:r/>
            <w:r>
              <w:rPr>
                <w:rFonts w:ascii="Aptos" w:hAnsi="Aptos"/>
                <w:b/>
                <w:color w:val="FFFFFF"/>
                <w:sz w:val="18"/>
              </w:rPr>
              <w:t>Interpretation</w:t>
            </w:r>
          </w:p>
        </w:tc>
      </w:tr>
      <w:tr>
        <w:tc>
          <w:tcPr>
            <w:tcW w:type="dxa" w:w="1584"/>
            <w:vAlign w:val="center"/>
          </w:tcPr>
          <w:p>
            <w:pPr>
              <w:spacing w:after="20"/>
            </w:pPr>
            <w:r/>
            <w:r>
              <w:rPr>
                <w:rFonts w:ascii="Aptos" w:hAnsi="Aptos"/>
                <w:b w:val="0"/>
                <w:sz w:val="18"/>
              </w:rPr>
              <w:t>12:00</w:t>
            </w:r>
          </w:p>
        </w:tc>
        <w:tc>
          <w:tcPr>
            <w:tcW w:type="dxa" w:w="2016"/>
            <w:vAlign w:val="center"/>
          </w:tcPr>
          <w:p>
            <w:pPr>
              <w:spacing w:after="20"/>
            </w:pPr>
            <w:r/>
            <w:r>
              <w:rPr>
                <w:rFonts w:ascii="Aptos" w:hAnsi="Aptos"/>
                <w:b w:val="0"/>
                <w:sz w:val="18"/>
              </w:rPr>
              <w:t>2,520</w:t>
            </w:r>
          </w:p>
        </w:tc>
        <w:tc>
          <w:tcPr>
            <w:tcW w:type="dxa" w:w="5904"/>
            <w:vAlign w:val="center"/>
          </w:tcPr>
          <w:p>
            <w:pPr>
              <w:spacing w:after="20"/>
            </w:pPr>
            <w:r/>
            <w:r>
              <w:rPr>
                <w:rFonts w:ascii="Aptos" w:hAnsi="Aptos"/>
                <w:b w:val="0"/>
                <w:sz w:val="18"/>
              </w:rPr>
              <w:t>Highest count among the hours displayed.</w:t>
            </w:r>
          </w:p>
        </w:tc>
      </w:tr>
      <w:tr>
        <w:tc>
          <w:tcPr>
            <w:tcW w:type="dxa" w:w="1584"/>
            <w:vAlign w:val="center"/>
            <w:shd w:fill="F2F5F8"/>
          </w:tcPr>
          <w:p>
            <w:pPr>
              <w:spacing w:after="20"/>
            </w:pPr>
            <w:r/>
            <w:r>
              <w:rPr>
                <w:rFonts w:ascii="Aptos" w:hAnsi="Aptos"/>
                <w:b w:val="0"/>
                <w:sz w:val="18"/>
              </w:rPr>
              <w:t>13:00</w:t>
            </w:r>
          </w:p>
        </w:tc>
        <w:tc>
          <w:tcPr>
            <w:tcW w:type="dxa" w:w="2016"/>
            <w:vAlign w:val="center"/>
            <w:shd w:fill="F2F5F8"/>
          </w:tcPr>
          <w:p>
            <w:pPr>
              <w:spacing w:after="20"/>
            </w:pPr>
            <w:r/>
            <w:r>
              <w:rPr>
                <w:rFonts w:ascii="Aptos" w:hAnsi="Aptos"/>
                <w:b w:val="0"/>
                <w:sz w:val="18"/>
              </w:rPr>
              <w:t>2,455</w:t>
            </w:r>
          </w:p>
        </w:tc>
        <w:tc>
          <w:tcPr>
            <w:tcW w:type="dxa" w:w="5904"/>
            <w:vAlign w:val="center"/>
            <w:shd w:fill="F2F5F8"/>
          </w:tcPr>
          <w:p>
            <w:pPr>
              <w:spacing w:after="20"/>
            </w:pPr>
            <w:r/>
            <w:r>
              <w:rPr>
                <w:rFonts w:ascii="Aptos" w:hAnsi="Aptos"/>
                <w:b w:val="0"/>
                <w:sz w:val="18"/>
              </w:rPr>
              <w:t>Another strong lunchtime period.</w:t>
            </w:r>
          </w:p>
        </w:tc>
      </w:tr>
      <w:tr>
        <w:tc>
          <w:tcPr>
            <w:tcW w:type="dxa" w:w="1584"/>
            <w:vAlign w:val="center"/>
          </w:tcPr>
          <w:p>
            <w:pPr>
              <w:spacing w:after="20"/>
            </w:pPr>
            <w:r/>
            <w:r>
              <w:rPr>
                <w:rFonts w:ascii="Aptos" w:hAnsi="Aptos"/>
                <w:b w:val="0"/>
                <w:sz w:val="18"/>
              </w:rPr>
              <w:t>18:00</w:t>
            </w:r>
          </w:p>
        </w:tc>
        <w:tc>
          <w:tcPr>
            <w:tcW w:type="dxa" w:w="2016"/>
            <w:vAlign w:val="center"/>
          </w:tcPr>
          <w:p>
            <w:pPr>
              <w:spacing w:after="20"/>
            </w:pPr>
            <w:r/>
            <w:r>
              <w:rPr>
                <w:rFonts w:ascii="Aptos" w:hAnsi="Aptos"/>
                <w:b w:val="0"/>
                <w:sz w:val="18"/>
              </w:rPr>
              <w:t>2,399</w:t>
            </w:r>
          </w:p>
        </w:tc>
        <w:tc>
          <w:tcPr>
            <w:tcW w:type="dxa" w:w="5904"/>
            <w:vAlign w:val="center"/>
          </w:tcPr>
          <w:p>
            <w:pPr>
              <w:spacing w:after="20"/>
            </w:pPr>
            <w:r/>
            <w:r>
              <w:rPr>
                <w:rFonts w:ascii="Aptos" w:hAnsi="Aptos"/>
                <w:b w:val="0"/>
                <w:sz w:val="18"/>
              </w:rPr>
              <w:t>High evening demand.</w:t>
            </w:r>
          </w:p>
        </w:tc>
      </w:tr>
      <w:tr>
        <w:tc>
          <w:tcPr>
            <w:tcW w:type="dxa" w:w="1584"/>
            <w:vAlign w:val="center"/>
            <w:shd w:fill="F2F5F8"/>
          </w:tcPr>
          <w:p>
            <w:pPr>
              <w:spacing w:after="20"/>
            </w:pPr>
            <w:r/>
            <w:r>
              <w:rPr>
                <w:rFonts w:ascii="Aptos" w:hAnsi="Aptos"/>
                <w:b w:val="0"/>
                <w:sz w:val="18"/>
              </w:rPr>
              <w:t>17:00</w:t>
            </w:r>
          </w:p>
        </w:tc>
        <w:tc>
          <w:tcPr>
            <w:tcW w:type="dxa" w:w="2016"/>
            <w:vAlign w:val="center"/>
            <w:shd w:fill="F2F5F8"/>
          </w:tcPr>
          <w:p>
            <w:pPr>
              <w:spacing w:after="20"/>
            </w:pPr>
            <w:r/>
            <w:r>
              <w:rPr>
                <w:rFonts w:ascii="Aptos" w:hAnsi="Aptos"/>
                <w:b w:val="0"/>
                <w:sz w:val="18"/>
              </w:rPr>
              <w:t>2,336</w:t>
            </w:r>
          </w:p>
        </w:tc>
        <w:tc>
          <w:tcPr>
            <w:tcW w:type="dxa" w:w="5904"/>
            <w:vAlign w:val="center"/>
            <w:shd w:fill="F2F5F8"/>
          </w:tcPr>
          <w:p>
            <w:pPr>
              <w:spacing w:after="20"/>
            </w:pPr>
            <w:r/>
            <w:r>
              <w:rPr>
                <w:rFonts w:ascii="Aptos" w:hAnsi="Aptos"/>
                <w:b w:val="0"/>
                <w:sz w:val="18"/>
              </w:rPr>
              <w:t>Evening activity rises before the 18:00 peak.</w:t>
            </w:r>
          </w:p>
        </w:tc>
      </w:tr>
      <w:tr>
        <w:tc>
          <w:tcPr>
            <w:tcW w:type="dxa" w:w="1584"/>
            <w:vAlign w:val="center"/>
          </w:tcPr>
          <w:p>
            <w:pPr>
              <w:spacing w:after="20"/>
            </w:pPr>
            <w:r/>
            <w:r>
              <w:rPr>
                <w:rFonts w:ascii="Aptos" w:hAnsi="Aptos"/>
                <w:b w:val="0"/>
                <w:sz w:val="18"/>
              </w:rPr>
              <w:t>14:00</w:t>
            </w:r>
          </w:p>
        </w:tc>
        <w:tc>
          <w:tcPr>
            <w:tcW w:type="dxa" w:w="2016"/>
            <w:vAlign w:val="center"/>
          </w:tcPr>
          <w:p>
            <w:pPr>
              <w:spacing w:after="20"/>
            </w:pPr>
            <w:r/>
            <w:r>
              <w:rPr>
                <w:rFonts w:ascii="Aptos" w:hAnsi="Aptos"/>
                <w:b w:val="0"/>
                <w:sz w:val="18"/>
              </w:rPr>
              <w:t>1,472</w:t>
            </w:r>
          </w:p>
        </w:tc>
        <w:tc>
          <w:tcPr>
            <w:tcW w:type="dxa" w:w="5904"/>
            <w:vAlign w:val="center"/>
          </w:tcPr>
          <w:p>
            <w:pPr>
              <w:spacing w:after="20"/>
            </w:pPr>
            <w:r/>
            <w:r>
              <w:rPr>
                <w:rFonts w:ascii="Aptos" w:hAnsi="Aptos"/>
                <w:b w:val="0"/>
                <w:sz w:val="18"/>
              </w:rPr>
              <w:t>Lower than the midday peak.</w:t>
            </w:r>
          </w:p>
        </w:tc>
      </w:tr>
      <w:tr>
        <w:tc>
          <w:tcPr>
            <w:tcW w:type="dxa" w:w="1584"/>
            <w:vAlign w:val="center"/>
            <w:shd w:fill="F2F5F8"/>
          </w:tcPr>
          <w:p>
            <w:pPr>
              <w:spacing w:after="20"/>
            </w:pPr>
            <w:r/>
            <w:r>
              <w:rPr>
                <w:rFonts w:ascii="Aptos" w:hAnsi="Aptos"/>
                <w:b w:val="0"/>
                <w:sz w:val="18"/>
              </w:rPr>
              <w:t>15:00</w:t>
            </w:r>
          </w:p>
        </w:tc>
        <w:tc>
          <w:tcPr>
            <w:tcW w:type="dxa" w:w="2016"/>
            <w:vAlign w:val="center"/>
            <w:shd w:fill="F2F5F8"/>
          </w:tcPr>
          <w:p>
            <w:pPr>
              <w:spacing w:after="20"/>
            </w:pPr>
            <w:r/>
            <w:r>
              <w:rPr>
                <w:rFonts w:ascii="Aptos" w:hAnsi="Aptos"/>
                <w:b w:val="0"/>
                <w:sz w:val="18"/>
              </w:rPr>
              <w:t>1,468</w:t>
            </w:r>
          </w:p>
        </w:tc>
        <w:tc>
          <w:tcPr>
            <w:tcW w:type="dxa" w:w="5904"/>
            <w:vAlign w:val="center"/>
            <w:shd w:fill="F2F5F8"/>
          </w:tcPr>
          <w:p>
            <w:pPr>
              <w:spacing w:after="20"/>
            </w:pPr>
            <w:r/>
            <w:r>
              <w:rPr>
                <w:rFonts w:ascii="Aptos" w:hAnsi="Aptos"/>
                <w:b w:val="0"/>
                <w:sz w:val="18"/>
              </w:rPr>
              <w:t>Lower than the midday peak.</w:t>
            </w:r>
          </w:p>
        </w:tc>
      </w:tr>
      <w:tr>
        <w:tc>
          <w:tcPr>
            <w:tcW w:type="dxa" w:w="1584"/>
            <w:vAlign w:val="center"/>
          </w:tcPr>
          <w:p>
            <w:pPr>
              <w:spacing w:after="20"/>
            </w:pPr>
            <w:r/>
            <w:r>
              <w:rPr>
                <w:rFonts w:ascii="Aptos" w:hAnsi="Aptos"/>
                <w:b w:val="0"/>
                <w:sz w:val="18"/>
              </w:rPr>
              <w:t>21:00</w:t>
            </w:r>
          </w:p>
        </w:tc>
        <w:tc>
          <w:tcPr>
            <w:tcW w:type="dxa" w:w="2016"/>
            <w:vAlign w:val="center"/>
          </w:tcPr>
          <w:p>
            <w:pPr>
              <w:spacing w:after="20"/>
            </w:pPr>
            <w:r/>
            <w:r>
              <w:rPr>
                <w:rFonts w:ascii="Aptos" w:hAnsi="Aptos"/>
                <w:b w:val="0"/>
                <w:sz w:val="18"/>
              </w:rPr>
              <w:t>1,198</w:t>
            </w:r>
          </w:p>
        </w:tc>
        <w:tc>
          <w:tcPr>
            <w:tcW w:type="dxa" w:w="5904"/>
            <w:vAlign w:val="center"/>
          </w:tcPr>
          <w:p>
            <w:pPr>
              <w:spacing w:after="20"/>
            </w:pPr>
            <w:r/>
            <w:r>
              <w:rPr>
                <w:rFonts w:ascii="Aptos" w:hAnsi="Aptos"/>
                <w:b w:val="0"/>
                <w:sz w:val="18"/>
              </w:rPr>
              <w:t>Orders taper later in the evening.</w:t>
            </w:r>
          </w:p>
        </w:tc>
      </w:tr>
    </w:tbl>
    <w:p>
      <w:pPr>
        <w:spacing w:after="20"/>
      </w:pPr>
    </w:p>
    <w:p>
      <w:r>
        <w:t>The displayed hourly results indicate strong demand around lunchtime, especially 12:00–13:00, and a second busy period around 17:00–18:00. Staffing and preparation schedules could be aligned to these periods, subject to validation against a complete hourly result set and local operating conditions.</w:t>
      </w:r>
    </w:p>
    <w:p>
      <w:pPr>
        <w:pStyle w:val="Heading2"/>
      </w:pPr>
      <w:r>
        <w:t>5.2 Daily and cumulative sales</w:t>
      </w:r>
    </w:p>
    <w:p>
      <w:r>
        <w:t>The report calculates an average of 138 pizzas ordered per day and includes a cumulative-revenue query ordered by date. These analyses can help establish a baseline for daily production and monitor the progression of sales over the reporting period. The PDF shows a sample of cumulative results rather than a final cumulative total.</w:t>
      </w:r>
    </w:p>
    <w:p>
      <w:pPr>
        <w:pStyle w:val="Heading1"/>
      </w:pPr>
      <w:r>
        <w:t>6. Business Recommendations</w:t>
      </w:r>
    </w:p>
    <w:p>
      <w:pPr>
        <w:pStyle w:val="ListBullet"/>
        <w:spacing w:after="80"/>
      </w:pPr>
      <w:r>
        <w:rPr>
          <w:b/>
        </w:rPr>
        <w:t xml:space="preserve">Protect availability of popular products. </w:t>
      </w:r>
      <w:r>
        <w:t>Monitor stock and preparation capacity for the Classic Deluxe, Barbecue Chicken, Hawaiian, Pepperoni, and Thai Chicken pizzas.</w:t>
      </w:r>
    </w:p>
    <w:p>
      <w:pPr>
        <w:pStyle w:val="ListBullet"/>
        <w:spacing w:after="80"/>
      </w:pPr>
      <w:r>
        <w:rPr>
          <w:b/>
        </w:rPr>
        <w:t xml:space="preserve">Plan staffing around demand peaks. </w:t>
      </w:r>
      <w:r>
        <w:t>Use the lunchtime and early-evening peaks as starting points for staff scheduling, then validate them with full hourly data.</w:t>
      </w:r>
    </w:p>
    <w:p>
      <w:pPr>
        <w:pStyle w:val="ListBullet"/>
        <w:spacing w:after="80"/>
      </w:pPr>
      <w:r>
        <w:rPr>
          <w:b/>
        </w:rPr>
        <w:t xml:space="preserve">Use revenue and quantity rankings together. </w:t>
      </w:r>
      <w:r>
        <w:t>Keep separate scorecards for units sold, revenue, and—when cost data is available—gross margin.</w:t>
      </w:r>
    </w:p>
    <w:p>
      <w:pPr>
        <w:pStyle w:val="ListBullet"/>
        <w:spacing w:after="80"/>
      </w:pPr>
      <w:r>
        <w:rPr>
          <w:b/>
        </w:rPr>
        <w:t xml:space="preserve">Review category mix. </w:t>
      </w:r>
      <w:r>
        <w:t>Classic and Supreme have the largest displayed revenue shares; investigate whether menu placement, promotions, and ingredient planning reflect customer demand.</w:t>
      </w:r>
    </w:p>
    <w:p>
      <w:pPr>
        <w:pStyle w:val="ListBullet"/>
        <w:spacing w:after="80"/>
      </w:pPr>
      <w:r>
        <w:rPr>
          <w:b/>
        </w:rPr>
        <w:t xml:space="preserve">Improve the reporting layer. </w:t>
      </w:r>
      <w:r>
        <w:t>Standardize query aliases and verify that each aggregation uses the intended measure—for example, SUM(quantity) for units sold and COUNT(order_id) for order counts.</w:t>
      </w:r>
    </w:p>
    <w:p>
      <w:pPr>
        <w:pStyle w:val="ListBullet"/>
        <w:spacing w:after="80"/>
      </w:pPr>
      <w:r>
        <w:rPr>
          <w:b/>
        </w:rPr>
        <w:t xml:space="preserve">Extend the analysis. </w:t>
      </w:r>
      <w:r>
        <w:t>Add monthly trend comparisons, weekday/weekend analysis, average order value, pizza-size mix, and margin analysis if the required fields are available.</w:t>
      </w:r>
    </w:p>
    <w:p>
      <w:pPr>
        <w:pStyle w:val="Heading1"/>
      </w:pPr>
      <w:r>
        <w:t>7. Conclusion</w:t>
      </w:r>
    </w:p>
    <w:p>
      <w:r>
        <w:t>The project demonstrates how SQL can convert pizza transaction data into practical business information. The report records 21,350 orders and 817,860.05 in total revenue, highlights popular products and categories, identifies Large as the most frequently ordered size in the displayed query output, and shows clear lunchtime and early-evening demand peaks. These findings provide a useful starting point for inventory planning, staff allocation, and menu decisions. A stronger profitability view would require cost and margin data, and the query outputs should be validated before being used for operational or financial reporting.</w:t>
      </w:r>
    </w:p>
    <w:p>
      <w:pPr>
        <w:pStyle w:val="Heading1"/>
      </w:pPr>
      <w:r>
        <w:t>8. Notes on Interpretation</w:t>
      </w:r>
    </w:p>
    <w:p>
      <w:r>
        <w:t>This summary is based on the results and query screenshots visible in the supplied 17-page PDF. Some result grids are cropped or show only a subset of rows, and some slide headings say “top 5” while the displayed query uses LIMIT 3. Therefore, the summary reports only values that are legible in the source and does not infer missing figures. The report's stated objective includes identifying the highest-profit pizzas, but no cost or profit calculation is shown; the rankings reported here are based on revenue, not profit.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6"/>
      </w:rPr>
      <w:t>SQL Pizza Sales Analysis • Executive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SQL PIZZA SALES ANALYSIS  |  EXECUTIVE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B343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