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8479B" w14:textId="727425F6" w:rsidR="003C168A" w:rsidRDefault="00D1025E" w:rsidP="00D102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1025E">
        <w:rPr>
          <w:rFonts w:ascii="Arial" w:hAnsi="Arial" w:cs="Arial"/>
          <w:b/>
          <w:bCs/>
          <w:sz w:val="28"/>
          <w:szCs w:val="28"/>
        </w:rPr>
        <w:t xml:space="preserve">Resumo </w:t>
      </w:r>
      <w:proofErr w:type="gramStart"/>
      <w:r w:rsidRPr="00D1025E">
        <w:rPr>
          <w:rFonts w:ascii="Arial" w:hAnsi="Arial" w:cs="Arial"/>
          <w:b/>
          <w:bCs/>
          <w:sz w:val="28"/>
          <w:szCs w:val="28"/>
        </w:rPr>
        <w:t>das unidade</w:t>
      </w:r>
      <w:proofErr w:type="gramEnd"/>
      <w:r w:rsidRPr="00D1025E">
        <w:rPr>
          <w:rFonts w:ascii="Arial" w:hAnsi="Arial" w:cs="Arial"/>
          <w:b/>
          <w:bCs/>
          <w:sz w:val="28"/>
          <w:szCs w:val="28"/>
        </w:rPr>
        <w:t xml:space="preserve"> 3 e 4</w:t>
      </w:r>
    </w:p>
    <w:p w14:paraId="1CFC015F" w14:textId="77777777" w:rsidR="00844965" w:rsidRPr="00D1025E" w:rsidRDefault="00844965" w:rsidP="00D1025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41B95B8" w14:textId="4F3949D6" w:rsidR="00D1025E" w:rsidRPr="00844965" w:rsidRDefault="00D1025E" w:rsidP="00844965">
      <w:pPr>
        <w:jc w:val="center"/>
        <w:rPr>
          <w:rFonts w:ascii="Arial" w:hAnsi="Arial" w:cs="Arial"/>
        </w:rPr>
      </w:pPr>
      <w:r w:rsidRPr="00844965">
        <w:rPr>
          <w:rFonts w:ascii="Arial" w:hAnsi="Arial" w:cs="Arial"/>
        </w:rPr>
        <w:t xml:space="preserve">Aluno: </w:t>
      </w:r>
      <w:r w:rsidR="00844965" w:rsidRPr="00844965">
        <w:rPr>
          <w:rFonts w:ascii="Arial" w:hAnsi="Arial" w:cs="Arial"/>
        </w:rPr>
        <w:t>Fernando Jacques Campos Quintanilha</w:t>
      </w:r>
    </w:p>
    <w:p w14:paraId="4205659F" w14:textId="01C7B50B" w:rsidR="00D1025E" w:rsidRDefault="00D1025E" w:rsidP="00844965">
      <w:pPr>
        <w:jc w:val="center"/>
        <w:rPr>
          <w:rFonts w:ascii="Arial" w:hAnsi="Arial" w:cs="Arial"/>
        </w:rPr>
      </w:pPr>
      <w:r w:rsidRPr="00844965">
        <w:rPr>
          <w:rFonts w:ascii="Arial" w:hAnsi="Arial" w:cs="Arial"/>
        </w:rPr>
        <w:t>Curso: Engenharia da Computação</w:t>
      </w:r>
    </w:p>
    <w:p w14:paraId="0126568D" w14:textId="77777777" w:rsidR="00844965" w:rsidRPr="00844965" w:rsidRDefault="00844965" w:rsidP="00844965">
      <w:pPr>
        <w:jc w:val="center"/>
        <w:rPr>
          <w:rFonts w:ascii="Arial" w:hAnsi="Arial" w:cs="Arial"/>
        </w:rPr>
      </w:pPr>
    </w:p>
    <w:p w14:paraId="69C0EF43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Relatório – Unidades 3 e 4 (Compiladores)</w:t>
      </w:r>
    </w:p>
    <w:p w14:paraId="29A7D60D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Unidade 3 – Fase de Análise do Compilador</w:t>
      </w:r>
    </w:p>
    <w:p w14:paraId="26CB7C1A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Seção 1 – Análise Sintática Top-Down</w:t>
      </w:r>
    </w:p>
    <w:p w14:paraId="6764C0F1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Esta seção apresenta a </w:t>
      </w:r>
      <w:r w:rsidRPr="00E00765">
        <w:rPr>
          <w:rFonts w:ascii="Arial" w:hAnsi="Arial" w:cs="Arial"/>
          <w:b/>
          <w:bCs/>
        </w:rPr>
        <w:t>análise sintática descendente preditiva sem retrocesso</w:t>
      </w:r>
      <w:r w:rsidRPr="00E00765">
        <w:rPr>
          <w:rFonts w:ascii="Arial" w:hAnsi="Arial" w:cs="Arial"/>
        </w:rPr>
        <w:t xml:space="preserve">, também conhecida como </w:t>
      </w:r>
      <w:r w:rsidRPr="00E00765">
        <w:rPr>
          <w:rFonts w:ascii="Arial" w:hAnsi="Arial" w:cs="Arial"/>
          <w:i/>
          <w:iCs/>
        </w:rPr>
        <w:t>top-</w:t>
      </w:r>
      <w:proofErr w:type="spellStart"/>
      <w:r w:rsidRPr="00E00765">
        <w:rPr>
          <w:rFonts w:ascii="Arial" w:hAnsi="Arial" w:cs="Arial"/>
          <w:i/>
          <w:iCs/>
        </w:rPr>
        <w:t>down</w:t>
      </w:r>
      <w:proofErr w:type="spellEnd"/>
      <w:r w:rsidRPr="00E00765">
        <w:rPr>
          <w:rFonts w:ascii="Arial" w:hAnsi="Arial" w:cs="Arial"/>
          <w:i/>
          <w:iCs/>
        </w:rPr>
        <w:t xml:space="preserve"> </w:t>
      </w:r>
      <w:proofErr w:type="spellStart"/>
      <w:r w:rsidRPr="00E00765">
        <w:rPr>
          <w:rFonts w:ascii="Arial" w:hAnsi="Arial" w:cs="Arial"/>
          <w:i/>
          <w:iCs/>
        </w:rPr>
        <w:t>parsing</w:t>
      </w:r>
      <w:proofErr w:type="spellEnd"/>
      <w:r w:rsidRPr="00E00765">
        <w:rPr>
          <w:rFonts w:ascii="Arial" w:hAnsi="Arial" w:cs="Arial"/>
        </w:rPr>
        <w:t xml:space="preserve">. O objetivo dessa etapa é verificar se o código-fonte está sintaticamente correto, construindo uma </w:t>
      </w:r>
      <w:r w:rsidRPr="00E00765">
        <w:rPr>
          <w:rFonts w:ascii="Arial" w:hAnsi="Arial" w:cs="Arial"/>
          <w:b/>
          <w:bCs/>
        </w:rPr>
        <w:t>árvore de derivação</w:t>
      </w:r>
      <w:r w:rsidRPr="00E00765">
        <w:rPr>
          <w:rFonts w:ascii="Arial" w:hAnsi="Arial" w:cs="Arial"/>
        </w:rPr>
        <w:t xml:space="preserve"> com base nas regras gramaticais da linguagem.</w:t>
      </w:r>
    </w:p>
    <w:p w14:paraId="1F4AD30A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>O processo parte da gramática formal (geralmente em formato EBNF) e substitui símbolos não terminais até atingir símbolos terminais. Essa estrutura define a ordem e a hierarquia das instruções, servindo como base para a tradução semântica posterior.</w:t>
      </w:r>
      <w:r w:rsidRPr="00E00765">
        <w:rPr>
          <w:rFonts w:ascii="Arial" w:hAnsi="Arial" w:cs="Arial"/>
        </w:rPr>
        <w:br/>
        <w:t xml:space="preserve">Gramáticas ambíguas — aquelas que permitem mais de uma árvore para a mesma sentença — devem ser evitadas. Para isso, emprega-se a </w:t>
      </w:r>
      <w:r w:rsidRPr="00E00765">
        <w:rPr>
          <w:rFonts w:ascii="Arial" w:hAnsi="Arial" w:cs="Arial"/>
          <w:b/>
          <w:bCs/>
        </w:rPr>
        <w:t>fatoração e a eliminação da recursividade à esquerda</w:t>
      </w:r>
      <w:r w:rsidRPr="00E00765">
        <w:rPr>
          <w:rFonts w:ascii="Arial" w:hAnsi="Arial" w:cs="Arial"/>
        </w:rPr>
        <w:t>, permitindo que o analisador preditivo funcione sem retrocessos e de forma eficiente.</w:t>
      </w:r>
    </w:p>
    <w:p w14:paraId="148EF948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pict w14:anchorId="59FA97DA">
          <v:rect id="_x0000_i1097" style="width:0;height:1.5pt" o:hralign="center" o:hrstd="t" o:hr="t" fillcolor="#a0a0a0" stroked="f"/>
        </w:pict>
      </w:r>
    </w:p>
    <w:p w14:paraId="4BFE000B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Seção 2 – Tradução Dirigida pela Sintaxe</w:t>
      </w:r>
    </w:p>
    <w:p w14:paraId="6A548B5F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A segunda seção introduz a </w:t>
      </w:r>
      <w:r w:rsidRPr="00E00765">
        <w:rPr>
          <w:rFonts w:ascii="Arial" w:hAnsi="Arial" w:cs="Arial"/>
          <w:b/>
          <w:bCs/>
        </w:rPr>
        <w:t>definição dirigida pela sintaxe (DDS)</w:t>
      </w:r>
      <w:r w:rsidRPr="00E00765">
        <w:rPr>
          <w:rFonts w:ascii="Arial" w:hAnsi="Arial" w:cs="Arial"/>
        </w:rPr>
        <w:t xml:space="preserve">, que conecta a análise sintática à semântica. Essa abordagem associa a cada símbolo da gramática um conjunto de </w:t>
      </w:r>
      <w:r w:rsidRPr="00E00765">
        <w:rPr>
          <w:rFonts w:ascii="Arial" w:hAnsi="Arial" w:cs="Arial"/>
          <w:b/>
          <w:bCs/>
        </w:rPr>
        <w:t>atributos</w:t>
      </w:r>
      <w:r w:rsidRPr="00E00765">
        <w:rPr>
          <w:rFonts w:ascii="Arial" w:hAnsi="Arial" w:cs="Arial"/>
        </w:rPr>
        <w:t xml:space="preserve"> — </w:t>
      </w:r>
      <w:r w:rsidRPr="00E00765">
        <w:rPr>
          <w:rFonts w:ascii="Arial" w:hAnsi="Arial" w:cs="Arial"/>
          <w:i/>
          <w:iCs/>
        </w:rPr>
        <w:t>sintetizados</w:t>
      </w:r>
      <w:r w:rsidRPr="00E00765">
        <w:rPr>
          <w:rFonts w:ascii="Arial" w:hAnsi="Arial" w:cs="Arial"/>
        </w:rPr>
        <w:t xml:space="preserve"> (que sobem na árvore) e </w:t>
      </w:r>
      <w:r w:rsidRPr="00E00765">
        <w:rPr>
          <w:rFonts w:ascii="Arial" w:hAnsi="Arial" w:cs="Arial"/>
          <w:i/>
          <w:iCs/>
        </w:rPr>
        <w:t>herdados</w:t>
      </w:r>
      <w:r w:rsidRPr="00E00765">
        <w:rPr>
          <w:rFonts w:ascii="Arial" w:hAnsi="Arial" w:cs="Arial"/>
        </w:rPr>
        <w:t xml:space="preserve"> (que descem dela).</w:t>
      </w:r>
    </w:p>
    <w:p w14:paraId="4873B27F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Durante a tradução, o analisador sintático aciona </w:t>
      </w:r>
      <w:r w:rsidRPr="00E00765">
        <w:rPr>
          <w:rFonts w:ascii="Arial" w:hAnsi="Arial" w:cs="Arial"/>
          <w:b/>
          <w:bCs/>
        </w:rPr>
        <w:t>sub-rotinas semânticas</w:t>
      </w:r>
      <w:r w:rsidRPr="00E00765">
        <w:rPr>
          <w:rFonts w:ascii="Arial" w:hAnsi="Arial" w:cs="Arial"/>
        </w:rPr>
        <w:t xml:space="preserve"> definidas para cada regra da gramática, verificando tipos, escopos e usos corretos das variáveis. Conforme Appel (2002), essa fase assegura a coerência entre as definições e os usos de variáveis, traduzindo a estrutura sintática em uma </w:t>
      </w:r>
      <w:r w:rsidRPr="00E00765">
        <w:rPr>
          <w:rFonts w:ascii="Arial" w:hAnsi="Arial" w:cs="Arial"/>
          <w:b/>
          <w:bCs/>
        </w:rPr>
        <w:t>representação intermediária</w:t>
      </w:r>
      <w:r w:rsidRPr="00E00765">
        <w:rPr>
          <w:rFonts w:ascii="Arial" w:hAnsi="Arial" w:cs="Arial"/>
        </w:rPr>
        <w:t xml:space="preserve"> adequada para a geração de código de máquina.</w:t>
      </w:r>
      <w:r w:rsidRPr="00E00765">
        <w:rPr>
          <w:rFonts w:ascii="Arial" w:hAnsi="Arial" w:cs="Arial"/>
        </w:rPr>
        <w:br/>
        <w:t xml:space="preserve">Portanto, a DDS e os </w:t>
      </w:r>
      <w:r w:rsidRPr="00E00765">
        <w:rPr>
          <w:rFonts w:ascii="Arial" w:hAnsi="Arial" w:cs="Arial"/>
          <w:b/>
          <w:bCs/>
        </w:rPr>
        <w:t>esquemas de tradução</w:t>
      </w:r>
      <w:r w:rsidRPr="00E00765">
        <w:rPr>
          <w:rFonts w:ascii="Arial" w:hAnsi="Arial" w:cs="Arial"/>
        </w:rPr>
        <w:t xml:space="preserve"> são essenciais para unir forma e significado na estrutura de um compilador.</w:t>
      </w:r>
    </w:p>
    <w:p w14:paraId="19939D10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pict w14:anchorId="7DA062A7">
          <v:rect id="_x0000_i1098" style="width:0;height:1.5pt" o:hralign="center" o:hrstd="t" o:hr="t" fillcolor="#a0a0a0" stroked="f"/>
        </w:pict>
      </w:r>
    </w:p>
    <w:p w14:paraId="4EFD2A01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Seção 3 – Tabela de Símbolos</w:t>
      </w:r>
    </w:p>
    <w:p w14:paraId="6141553B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lastRenderedPageBreak/>
        <w:t xml:space="preserve">A terceira seção aborda a </w:t>
      </w:r>
      <w:r w:rsidRPr="00E00765">
        <w:rPr>
          <w:rFonts w:ascii="Arial" w:hAnsi="Arial" w:cs="Arial"/>
          <w:b/>
          <w:bCs/>
        </w:rPr>
        <w:t>tabela de símbolos (TS)</w:t>
      </w:r>
      <w:r w:rsidRPr="00E00765">
        <w:rPr>
          <w:rFonts w:ascii="Arial" w:hAnsi="Arial" w:cs="Arial"/>
        </w:rPr>
        <w:t xml:space="preserve">, estrutura de dados fundamental em qualquer compilador. Ela armazena pares </w:t>
      </w:r>
      <w:r w:rsidRPr="00E00765">
        <w:rPr>
          <w:rFonts w:ascii="Arial" w:hAnsi="Arial" w:cs="Arial"/>
          <w:b/>
          <w:bCs/>
        </w:rPr>
        <w:t>token–lexema</w:t>
      </w:r>
      <w:r w:rsidRPr="00E00765">
        <w:rPr>
          <w:rFonts w:ascii="Arial" w:hAnsi="Arial" w:cs="Arial"/>
        </w:rPr>
        <w:t>, além de informações sobre tipo, escopo, posição e valor.</w:t>
      </w:r>
      <w:r w:rsidRPr="00E00765">
        <w:rPr>
          <w:rFonts w:ascii="Arial" w:hAnsi="Arial" w:cs="Arial"/>
        </w:rPr>
        <w:br/>
        <w:t xml:space="preserve">A tabela é constantemente consultada durante as fases de análise léxica, sintática e semântica, sendo normalmente implementada com o uso de </w:t>
      </w:r>
      <w:r w:rsidRPr="00E00765">
        <w:rPr>
          <w:rFonts w:ascii="Arial" w:hAnsi="Arial" w:cs="Arial"/>
          <w:b/>
          <w:bCs/>
        </w:rPr>
        <w:t xml:space="preserve">tabelas </w:t>
      </w:r>
      <w:proofErr w:type="spellStart"/>
      <w:r w:rsidRPr="00E00765">
        <w:rPr>
          <w:rFonts w:ascii="Arial" w:hAnsi="Arial" w:cs="Arial"/>
          <w:b/>
          <w:bCs/>
        </w:rPr>
        <w:t>hash</w:t>
      </w:r>
      <w:proofErr w:type="spellEnd"/>
      <w:r w:rsidRPr="00E00765">
        <w:rPr>
          <w:rFonts w:ascii="Arial" w:hAnsi="Arial" w:cs="Arial"/>
        </w:rPr>
        <w:t>, que permitem buscas rápidas e tratamento de colisões.</w:t>
      </w:r>
    </w:p>
    <w:p w14:paraId="226FB5B7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Além da teoria, são destacadas as ferramentas </w:t>
      </w:r>
      <w:proofErr w:type="spellStart"/>
      <w:r w:rsidRPr="00E00765">
        <w:rPr>
          <w:rFonts w:ascii="Arial" w:hAnsi="Arial" w:cs="Arial"/>
          <w:b/>
          <w:bCs/>
        </w:rPr>
        <w:t>JFlex</w:t>
      </w:r>
      <w:proofErr w:type="spellEnd"/>
      <w:r w:rsidRPr="00E00765">
        <w:rPr>
          <w:rFonts w:ascii="Arial" w:hAnsi="Arial" w:cs="Arial"/>
        </w:rPr>
        <w:t xml:space="preserve"> (analisador léxico) e </w:t>
      </w:r>
      <w:r w:rsidRPr="00E00765">
        <w:rPr>
          <w:rFonts w:ascii="Arial" w:hAnsi="Arial" w:cs="Arial"/>
          <w:b/>
          <w:bCs/>
        </w:rPr>
        <w:t>CUP</w:t>
      </w:r>
      <w:r w:rsidRPr="00E00765">
        <w:rPr>
          <w:rFonts w:ascii="Arial" w:hAnsi="Arial" w:cs="Arial"/>
        </w:rPr>
        <w:t xml:space="preserve"> (gerador de analisadores sintáticos), que podem ser integradas para formar um </w:t>
      </w:r>
      <w:r w:rsidRPr="00E00765">
        <w:rPr>
          <w:rFonts w:ascii="Arial" w:hAnsi="Arial" w:cs="Arial"/>
          <w:i/>
          <w:iCs/>
        </w:rPr>
        <w:t>front-</w:t>
      </w:r>
      <w:proofErr w:type="spellStart"/>
      <w:r w:rsidRPr="00E00765">
        <w:rPr>
          <w:rFonts w:ascii="Arial" w:hAnsi="Arial" w:cs="Arial"/>
          <w:i/>
          <w:iCs/>
        </w:rPr>
        <w:t>end</w:t>
      </w:r>
      <w:proofErr w:type="spellEnd"/>
      <w:r w:rsidRPr="00E00765">
        <w:rPr>
          <w:rFonts w:ascii="Arial" w:hAnsi="Arial" w:cs="Arial"/>
        </w:rPr>
        <w:t xml:space="preserve"> completo em Java. O CUP utiliza o método </w:t>
      </w:r>
      <w:r w:rsidRPr="00E00765">
        <w:rPr>
          <w:rFonts w:ascii="Arial" w:hAnsi="Arial" w:cs="Arial"/>
          <w:b/>
          <w:bCs/>
        </w:rPr>
        <w:t>LALR (Look-</w:t>
      </w:r>
      <w:proofErr w:type="spellStart"/>
      <w:r w:rsidRPr="00E00765">
        <w:rPr>
          <w:rFonts w:ascii="Arial" w:hAnsi="Arial" w:cs="Arial"/>
          <w:b/>
          <w:bCs/>
        </w:rPr>
        <w:t>Ahead</w:t>
      </w:r>
      <w:proofErr w:type="spellEnd"/>
      <w:r w:rsidRPr="00E00765">
        <w:rPr>
          <w:rFonts w:ascii="Arial" w:hAnsi="Arial" w:cs="Arial"/>
          <w:b/>
          <w:bCs/>
        </w:rPr>
        <w:t xml:space="preserve"> </w:t>
      </w:r>
      <w:proofErr w:type="spellStart"/>
      <w:r w:rsidRPr="00E00765">
        <w:rPr>
          <w:rFonts w:ascii="Arial" w:hAnsi="Arial" w:cs="Arial"/>
          <w:b/>
          <w:bCs/>
        </w:rPr>
        <w:t>Left-to-Right</w:t>
      </w:r>
      <w:proofErr w:type="spellEnd"/>
      <w:r w:rsidRPr="00E00765">
        <w:rPr>
          <w:rFonts w:ascii="Arial" w:hAnsi="Arial" w:cs="Arial"/>
          <w:b/>
          <w:bCs/>
        </w:rPr>
        <w:t>)</w:t>
      </w:r>
      <w:r w:rsidRPr="00E00765">
        <w:rPr>
          <w:rFonts w:ascii="Arial" w:hAnsi="Arial" w:cs="Arial"/>
        </w:rPr>
        <w:t xml:space="preserve"> e facilita o desenvolvimento de ações semânticas e integração com a TS, permitindo a implementação prática da fase de análise do compilador.</w:t>
      </w:r>
    </w:p>
    <w:p w14:paraId="329AFBEE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pict w14:anchorId="0CF5A66B">
          <v:rect id="_x0000_i1099" style="width:0;height:1.5pt" o:hralign="center" o:hrstd="t" o:hr="t" fillcolor="#a0a0a0" stroked="f"/>
        </w:pict>
      </w:r>
    </w:p>
    <w:p w14:paraId="7EBFBA1D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Unidade 4 – Fase de Síntese do Compilador</w:t>
      </w:r>
    </w:p>
    <w:p w14:paraId="1C53F6E1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Seção 1 – Geração de Código Intermediário</w:t>
      </w:r>
    </w:p>
    <w:p w14:paraId="5C32D174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Esta etapa marca a transição entre análise e síntese. Devido à diversidade de arquiteturas e plataformas, é inviável traduzir o código-fonte diretamente para o código de máquina. A solução é a criação de uma </w:t>
      </w:r>
      <w:r w:rsidRPr="00E00765">
        <w:rPr>
          <w:rFonts w:ascii="Arial" w:hAnsi="Arial" w:cs="Arial"/>
          <w:b/>
          <w:bCs/>
        </w:rPr>
        <w:t>representação intermediária (RI)</w:t>
      </w:r>
      <w:r w:rsidRPr="00E00765">
        <w:rPr>
          <w:rFonts w:ascii="Arial" w:hAnsi="Arial" w:cs="Arial"/>
        </w:rPr>
        <w:t>, um formato independente de máquina e mais simples de manipular.</w:t>
      </w:r>
    </w:p>
    <w:p w14:paraId="249A466E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Segundo </w:t>
      </w:r>
      <w:proofErr w:type="spellStart"/>
      <w:r w:rsidRPr="00E00765">
        <w:rPr>
          <w:rFonts w:ascii="Arial" w:hAnsi="Arial" w:cs="Arial"/>
        </w:rPr>
        <w:t>Mogensen</w:t>
      </w:r>
      <w:proofErr w:type="spellEnd"/>
      <w:r w:rsidRPr="00E00765">
        <w:rPr>
          <w:rFonts w:ascii="Arial" w:hAnsi="Arial" w:cs="Arial"/>
        </w:rPr>
        <w:t xml:space="preserve"> (2010), a RI deve ser fácil de gerar a partir da linguagem-fonte, fácil de traduzir para código de máquina e adequada para otimizações. As formas mais comuns são:</w:t>
      </w:r>
    </w:p>
    <w:p w14:paraId="4D8CA408" w14:textId="77777777" w:rsidR="00E00765" w:rsidRPr="00E00765" w:rsidRDefault="00E00765" w:rsidP="00E00765">
      <w:pPr>
        <w:numPr>
          <w:ilvl w:val="0"/>
          <w:numId w:val="4"/>
        </w:numPr>
        <w:rPr>
          <w:rFonts w:ascii="Arial" w:hAnsi="Arial" w:cs="Arial"/>
        </w:rPr>
      </w:pPr>
      <w:r w:rsidRPr="00E00765">
        <w:rPr>
          <w:rFonts w:ascii="Arial" w:hAnsi="Arial" w:cs="Arial"/>
          <w:b/>
          <w:bCs/>
        </w:rPr>
        <w:t>Notação pós-fixa (ou polonesa reversa)</w:t>
      </w:r>
      <w:r w:rsidRPr="00E00765">
        <w:rPr>
          <w:rFonts w:ascii="Arial" w:hAnsi="Arial" w:cs="Arial"/>
        </w:rPr>
        <w:t>, baseada em pilhas e que elimina o uso de parênteses;</w:t>
      </w:r>
    </w:p>
    <w:p w14:paraId="277D97FB" w14:textId="77777777" w:rsidR="00E00765" w:rsidRPr="00E00765" w:rsidRDefault="00E00765" w:rsidP="00E00765">
      <w:pPr>
        <w:numPr>
          <w:ilvl w:val="0"/>
          <w:numId w:val="4"/>
        </w:numPr>
        <w:rPr>
          <w:rFonts w:ascii="Arial" w:hAnsi="Arial" w:cs="Arial"/>
        </w:rPr>
      </w:pPr>
      <w:r w:rsidRPr="00E00765">
        <w:rPr>
          <w:rFonts w:ascii="Arial" w:hAnsi="Arial" w:cs="Arial"/>
          <w:b/>
          <w:bCs/>
        </w:rPr>
        <w:t>Árvores sintáticas abstratas (</w:t>
      </w:r>
      <w:proofErr w:type="spellStart"/>
      <w:r w:rsidRPr="00E00765">
        <w:rPr>
          <w:rFonts w:ascii="Arial" w:hAnsi="Arial" w:cs="Arial"/>
          <w:b/>
          <w:bCs/>
        </w:rPr>
        <w:t>ASTs</w:t>
      </w:r>
      <w:proofErr w:type="spellEnd"/>
      <w:r w:rsidRPr="00E00765">
        <w:rPr>
          <w:rFonts w:ascii="Arial" w:hAnsi="Arial" w:cs="Arial"/>
          <w:b/>
          <w:bCs/>
        </w:rPr>
        <w:t>)</w:t>
      </w:r>
      <w:r w:rsidRPr="00E00765">
        <w:rPr>
          <w:rFonts w:ascii="Arial" w:hAnsi="Arial" w:cs="Arial"/>
        </w:rPr>
        <w:t>, que estruturam a hierarquia de operações;</w:t>
      </w:r>
    </w:p>
    <w:p w14:paraId="183C4031" w14:textId="77777777" w:rsidR="00E00765" w:rsidRPr="00E00765" w:rsidRDefault="00E00765" w:rsidP="00E00765">
      <w:pPr>
        <w:numPr>
          <w:ilvl w:val="0"/>
          <w:numId w:val="4"/>
        </w:numPr>
        <w:rPr>
          <w:rFonts w:ascii="Arial" w:hAnsi="Arial" w:cs="Arial"/>
        </w:rPr>
      </w:pPr>
      <w:r w:rsidRPr="00E00765">
        <w:rPr>
          <w:rFonts w:ascii="Arial" w:hAnsi="Arial" w:cs="Arial"/>
          <w:b/>
          <w:bCs/>
        </w:rPr>
        <w:t>Código de três endereços</w:t>
      </w:r>
      <w:r w:rsidRPr="00E00765">
        <w:rPr>
          <w:rFonts w:ascii="Arial" w:hAnsi="Arial" w:cs="Arial"/>
        </w:rPr>
        <w:t>, formato linear e simplificado, ideal para otimizações.</w:t>
      </w:r>
    </w:p>
    <w:p w14:paraId="5A7760A1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O </w:t>
      </w:r>
      <w:proofErr w:type="spellStart"/>
      <w:r w:rsidRPr="00E00765">
        <w:rPr>
          <w:rFonts w:ascii="Arial" w:hAnsi="Arial" w:cs="Arial"/>
          <w:b/>
          <w:bCs/>
        </w:rPr>
        <w:t>bytecode</w:t>
      </w:r>
      <w:proofErr w:type="spellEnd"/>
      <w:r w:rsidRPr="00E00765">
        <w:rPr>
          <w:rFonts w:ascii="Arial" w:hAnsi="Arial" w:cs="Arial"/>
          <w:b/>
          <w:bCs/>
        </w:rPr>
        <w:t xml:space="preserve"> da JVM</w:t>
      </w:r>
      <w:r w:rsidRPr="00E00765">
        <w:rPr>
          <w:rFonts w:ascii="Arial" w:hAnsi="Arial" w:cs="Arial"/>
        </w:rPr>
        <w:t xml:space="preserve"> é um exemplo prático de RI, evidenciando a portabilidade e eficiência dessa abordagem.</w:t>
      </w:r>
    </w:p>
    <w:p w14:paraId="30C2EF9C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pict w14:anchorId="46FE1330">
          <v:rect id="_x0000_i1100" style="width:0;height:1.5pt" o:hralign="center" o:hrstd="t" o:hr="t" fillcolor="#a0a0a0" stroked="f"/>
        </w:pict>
      </w:r>
    </w:p>
    <w:p w14:paraId="416EF576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Seção 2 – Geração e Otimização de Código</w:t>
      </w:r>
    </w:p>
    <w:p w14:paraId="58CB75C6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Após a produção do código intermediário, o compilador converte a RI em </w:t>
      </w:r>
      <w:r w:rsidRPr="00E00765">
        <w:rPr>
          <w:rFonts w:ascii="Arial" w:hAnsi="Arial" w:cs="Arial"/>
          <w:b/>
          <w:bCs/>
        </w:rPr>
        <w:t>código de máquina</w:t>
      </w:r>
      <w:r w:rsidRPr="00E00765">
        <w:rPr>
          <w:rFonts w:ascii="Arial" w:hAnsi="Arial" w:cs="Arial"/>
        </w:rPr>
        <w:t xml:space="preserve"> otimizado. O objetivo é gerar instruções eficientes, eliminando redundâncias e explorando ao máximo os recursos do processador.</w:t>
      </w:r>
    </w:p>
    <w:p w14:paraId="107218D4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lastRenderedPageBreak/>
        <w:t xml:space="preserve">A otimização é uma etapa complexa que requer a análise de propriedades semânticas e de fluxo. Por isso, utiliza-se a divisão do código em </w:t>
      </w:r>
      <w:r w:rsidRPr="00E00765">
        <w:rPr>
          <w:rFonts w:ascii="Arial" w:hAnsi="Arial" w:cs="Arial"/>
          <w:b/>
          <w:bCs/>
        </w:rPr>
        <w:t>blocos básicos</w:t>
      </w:r>
      <w:r w:rsidRPr="00E00765">
        <w:rPr>
          <w:rFonts w:ascii="Arial" w:hAnsi="Arial" w:cs="Arial"/>
        </w:rPr>
        <w:t xml:space="preserve"> e a criação de </w:t>
      </w:r>
      <w:r w:rsidRPr="00E00765">
        <w:rPr>
          <w:rFonts w:ascii="Arial" w:hAnsi="Arial" w:cs="Arial"/>
          <w:b/>
          <w:bCs/>
        </w:rPr>
        <w:t>grafos de fluxo de controle (CFG)</w:t>
      </w:r>
      <w:r w:rsidRPr="00E00765">
        <w:rPr>
          <w:rFonts w:ascii="Arial" w:hAnsi="Arial" w:cs="Arial"/>
        </w:rPr>
        <w:t>, permitindo identificar caminhos redundantes e reorganizar instruções.</w:t>
      </w:r>
      <w:r w:rsidRPr="00E00765">
        <w:rPr>
          <w:rFonts w:ascii="Arial" w:hAnsi="Arial" w:cs="Arial"/>
        </w:rPr>
        <w:br/>
        <w:t>Conforme Cooper (2014), as três ações fundamentais da geração de código são:</w:t>
      </w:r>
    </w:p>
    <w:p w14:paraId="042F4613" w14:textId="77777777" w:rsidR="00E00765" w:rsidRPr="00E00765" w:rsidRDefault="00E00765" w:rsidP="00E00765">
      <w:pPr>
        <w:numPr>
          <w:ilvl w:val="0"/>
          <w:numId w:val="5"/>
        </w:numPr>
        <w:rPr>
          <w:rFonts w:ascii="Arial" w:hAnsi="Arial" w:cs="Arial"/>
        </w:rPr>
      </w:pPr>
      <w:r w:rsidRPr="00E00765">
        <w:rPr>
          <w:rFonts w:ascii="Arial" w:hAnsi="Arial" w:cs="Arial"/>
          <w:b/>
          <w:bCs/>
        </w:rPr>
        <w:t>Seleção de instruções</w:t>
      </w:r>
      <w:r w:rsidRPr="00E00765">
        <w:rPr>
          <w:rFonts w:ascii="Arial" w:hAnsi="Arial" w:cs="Arial"/>
        </w:rPr>
        <w:t xml:space="preserve"> adequadas à arquitetura alvo;</w:t>
      </w:r>
    </w:p>
    <w:p w14:paraId="249FFE34" w14:textId="77777777" w:rsidR="00E00765" w:rsidRPr="00E00765" w:rsidRDefault="00E00765" w:rsidP="00E00765">
      <w:pPr>
        <w:numPr>
          <w:ilvl w:val="0"/>
          <w:numId w:val="5"/>
        </w:numPr>
        <w:rPr>
          <w:rFonts w:ascii="Arial" w:hAnsi="Arial" w:cs="Arial"/>
        </w:rPr>
      </w:pPr>
      <w:r w:rsidRPr="00E00765">
        <w:rPr>
          <w:rFonts w:ascii="Arial" w:hAnsi="Arial" w:cs="Arial"/>
          <w:b/>
          <w:bCs/>
        </w:rPr>
        <w:t>Escalonamento de instruções</w:t>
      </w:r>
      <w:r w:rsidRPr="00E00765">
        <w:rPr>
          <w:rFonts w:ascii="Arial" w:hAnsi="Arial" w:cs="Arial"/>
        </w:rPr>
        <w:t>, definindo a ordem de execução;</w:t>
      </w:r>
    </w:p>
    <w:p w14:paraId="28E7C651" w14:textId="77777777" w:rsidR="00E00765" w:rsidRPr="00E00765" w:rsidRDefault="00E00765" w:rsidP="00E00765">
      <w:pPr>
        <w:numPr>
          <w:ilvl w:val="0"/>
          <w:numId w:val="5"/>
        </w:numPr>
        <w:rPr>
          <w:rFonts w:ascii="Arial" w:hAnsi="Arial" w:cs="Arial"/>
        </w:rPr>
      </w:pPr>
      <w:r w:rsidRPr="00E00765">
        <w:rPr>
          <w:rFonts w:ascii="Arial" w:hAnsi="Arial" w:cs="Arial"/>
          <w:b/>
          <w:bCs/>
        </w:rPr>
        <w:t>Alocação de registradores</w:t>
      </w:r>
      <w:r w:rsidRPr="00E00765">
        <w:rPr>
          <w:rFonts w:ascii="Arial" w:hAnsi="Arial" w:cs="Arial"/>
        </w:rPr>
        <w:t>, otimizando o uso da memória de CPU.</w:t>
      </w:r>
    </w:p>
    <w:p w14:paraId="5EAFD875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>Essas estratégias asseguram que o programa final preserve o comportamento original com desempenho superior.</w:t>
      </w:r>
    </w:p>
    <w:p w14:paraId="1B0FE1D7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pict w14:anchorId="1C32FABF">
          <v:rect id="_x0000_i1101" style="width:0;height:1.5pt" o:hralign="center" o:hrstd="t" o:hr="t" fillcolor="#a0a0a0" stroked="f"/>
        </w:pict>
      </w:r>
    </w:p>
    <w:p w14:paraId="4B57A6B5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Seção 3 – Tendências Atuais e Aplicações dos Compiladores</w:t>
      </w:r>
    </w:p>
    <w:p w14:paraId="7CA35108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A última seção amplia a visão sobre os compiladores, mostrando sua evolução e aplicação moderna. Apesar de a estrutura conceitual clássica ainda ser válida, o desenvolvimento de software atual exige </w:t>
      </w:r>
      <w:r w:rsidRPr="00E00765">
        <w:rPr>
          <w:rFonts w:ascii="Arial" w:hAnsi="Arial" w:cs="Arial"/>
          <w:b/>
          <w:bCs/>
        </w:rPr>
        <w:t>modularidade e portabilidade</w:t>
      </w:r>
      <w:r w:rsidRPr="00E00765">
        <w:rPr>
          <w:rFonts w:ascii="Arial" w:hAnsi="Arial" w:cs="Arial"/>
        </w:rPr>
        <w:t>.</w:t>
      </w:r>
    </w:p>
    <w:p w14:paraId="20689399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Com o avanço das </w:t>
      </w:r>
      <w:proofErr w:type="spellStart"/>
      <w:r w:rsidRPr="00E00765">
        <w:rPr>
          <w:rFonts w:ascii="Arial" w:hAnsi="Arial" w:cs="Arial"/>
          <w:b/>
          <w:bCs/>
        </w:rPr>
        <w:t>IDEs</w:t>
      </w:r>
      <w:proofErr w:type="spellEnd"/>
      <w:r w:rsidRPr="00E00765">
        <w:rPr>
          <w:rFonts w:ascii="Arial" w:hAnsi="Arial" w:cs="Arial"/>
          <w:b/>
          <w:bCs/>
        </w:rPr>
        <w:t xml:space="preserve"> (</w:t>
      </w:r>
      <w:proofErr w:type="spellStart"/>
      <w:r w:rsidRPr="00E00765">
        <w:rPr>
          <w:rFonts w:ascii="Arial" w:hAnsi="Arial" w:cs="Arial"/>
          <w:b/>
          <w:bCs/>
        </w:rPr>
        <w:t>Integrated</w:t>
      </w:r>
      <w:proofErr w:type="spellEnd"/>
      <w:r w:rsidRPr="00E00765">
        <w:rPr>
          <w:rFonts w:ascii="Arial" w:hAnsi="Arial" w:cs="Arial"/>
          <w:b/>
          <w:bCs/>
        </w:rPr>
        <w:t xml:space="preserve"> </w:t>
      </w:r>
      <w:proofErr w:type="spellStart"/>
      <w:r w:rsidRPr="00E00765">
        <w:rPr>
          <w:rFonts w:ascii="Arial" w:hAnsi="Arial" w:cs="Arial"/>
          <w:b/>
          <w:bCs/>
        </w:rPr>
        <w:t>Development</w:t>
      </w:r>
      <w:proofErr w:type="spellEnd"/>
      <w:r w:rsidRPr="00E00765">
        <w:rPr>
          <w:rFonts w:ascii="Arial" w:hAnsi="Arial" w:cs="Arial"/>
          <w:b/>
          <w:bCs/>
        </w:rPr>
        <w:t xml:space="preserve"> </w:t>
      </w:r>
      <w:proofErr w:type="spellStart"/>
      <w:r w:rsidRPr="00E00765">
        <w:rPr>
          <w:rFonts w:ascii="Arial" w:hAnsi="Arial" w:cs="Arial"/>
          <w:b/>
          <w:bCs/>
        </w:rPr>
        <w:t>Environments</w:t>
      </w:r>
      <w:proofErr w:type="spellEnd"/>
      <w:r w:rsidRPr="00E00765">
        <w:rPr>
          <w:rFonts w:ascii="Arial" w:hAnsi="Arial" w:cs="Arial"/>
          <w:b/>
          <w:bCs/>
        </w:rPr>
        <w:t>)</w:t>
      </w:r>
      <w:r w:rsidRPr="00E00765">
        <w:rPr>
          <w:rFonts w:ascii="Arial" w:hAnsi="Arial" w:cs="Arial"/>
        </w:rPr>
        <w:t xml:space="preserve">, como NetBeans, Eclipse e </w:t>
      </w:r>
      <w:proofErr w:type="spellStart"/>
      <w:r w:rsidRPr="00E00765">
        <w:rPr>
          <w:rFonts w:ascii="Arial" w:hAnsi="Arial" w:cs="Arial"/>
        </w:rPr>
        <w:t>DevC</w:t>
      </w:r>
      <w:proofErr w:type="spellEnd"/>
      <w:r w:rsidRPr="00E00765">
        <w:rPr>
          <w:rFonts w:ascii="Arial" w:hAnsi="Arial" w:cs="Arial"/>
        </w:rPr>
        <w:t xml:space="preserve">++, tornou-se essencial a análise em tempo real. Essas ferramentas utilizam </w:t>
      </w:r>
      <w:r w:rsidRPr="00E00765">
        <w:rPr>
          <w:rFonts w:ascii="Arial" w:hAnsi="Arial" w:cs="Arial"/>
          <w:b/>
          <w:bCs/>
        </w:rPr>
        <w:t>analisadores léxicos (</w:t>
      </w:r>
      <w:proofErr w:type="spellStart"/>
      <w:r w:rsidRPr="00E00765">
        <w:rPr>
          <w:rFonts w:ascii="Arial" w:hAnsi="Arial" w:cs="Arial"/>
          <w:b/>
          <w:bCs/>
        </w:rPr>
        <w:t>Lexers</w:t>
      </w:r>
      <w:proofErr w:type="spellEnd"/>
      <w:r w:rsidRPr="00E00765">
        <w:rPr>
          <w:rFonts w:ascii="Arial" w:hAnsi="Arial" w:cs="Arial"/>
          <w:b/>
          <w:bCs/>
        </w:rPr>
        <w:t>)</w:t>
      </w:r>
      <w:r w:rsidRPr="00E00765">
        <w:rPr>
          <w:rFonts w:ascii="Arial" w:hAnsi="Arial" w:cs="Arial"/>
        </w:rPr>
        <w:t xml:space="preserve"> para identificar tokens e aplicar </w:t>
      </w:r>
      <w:proofErr w:type="spellStart"/>
      <w:r w:rsidRPr="00E00765">
        <w:rPr>
          <w:rFonts w:ascii="Arial" w:hAnsi="Arial" w:cs="Arial"/>
          <w:i/>
          <w:iCs/>
        </w:rPr>
        <w:t>syntax</w:t>
      </w:r>
      <w:proofErr w:type="spellEnd"/>
      <w:r w:rsidRPr="00E00765">
        <w:rPr>
          <w:rFonts w:ascii="Arial" w:hAnsi="Arial" w:cs="Arial"/>
          <w:i/>
          <w:iCs/>
        </w:rPr>
        <w:t xml:space="preserve"> </w:t>
      </w:r>
      <w:proofErr w:type="spellStart"/>
      <w:r w:rsidRPr="00E00765">
        <w:rPr>
          <w:rFonts w:ascii="Arial" w:hAnsi="Arial" w:cs="Arial"/>
          <w:i/>
          <w:iCs/>
        </w:rPr>
        <w:t>highlighting</w:t>
      </w:r>
      <w:proofErr w:type="spellEnd"/>
      <w:r w:rsidRPr="00E00765">
        <w:rPr>
          <w:rFonts w:ascii="Arial" w:hAnsi="Arial" w:cs="Arial"/>
        </w:rPr>
        <w:t>, recurso que colore o código e facilita sua leitura — uma aplicação direta de técnicas de compiladores dentro dos editores modernos.</w:t>
      </w:r>
    </w:p>
    <w:p w14:paraId="66F31970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Outra tendência importante é o uso de </w:t>
      </w:r>
      <w:proofErr w:type="spellStart"/>
      <w:r w:rsidRPr="00E00765">
        <w:rPr>
          <w:rFonts w:ascii="Arial" w:hAnsi="Arial" w:cs="Arial"/>
          <w:b/>
          <w:bCs/>
        </w:rPr>
        <w:t>DSLs</w:t>
      </w:r>
      <w:proofErr w:type="spellEnd"/>
      <w:r w:rsidRPr="00E00765">
        <w:rPr>
          <w:rFonts w:ascii="Arial" w:hAnsi="Arial" w:cs="Arial"/>
          <w:b/>
          <w:bCs/>
        </w:rPr>
        <w:t xml:space="preserve"> (Domain </w:t>
      </w:r>
      <w:proofErr w:type="spellStart"/>
      <w:r w:rsidRPr="00E00765">
        <w:rPr>
          <w:rFonts w:ascii="Arial" w:hAnsi="Arial" w:cs="Arial"/>
          <w:b/>
          <w:bCs/>
        </w:rPr>
        <w:t>Specific</w:t>
      </w:r>
      <w:proofErr w:type="spellEnd"/>
      <w:r w:rsidRPr="00E00765">
        <w:rPr>
          <w:rFonts w:ascii="Arial" w:hAnsi="Arial" w:cs="Arial"/>
          <w:b/>
          <w:bCs/>
        </w:rPr>
        <w:t xml:space="preserve"> </w:t>
      </w:r>
      <w:proofErr w:type="spellStart"/>
      <w:r w:rsidRPr="00E00765">
        <w:rPr>
          <w:rFonts w:ascii="Arial" w:hAnsi="Arial" w:cs="Arial"/>
          <w:b/>
          <w:bCs/>
        </w:rPr>
        <w:t>Languages</w:t>
      </w:r>
      <w:proofErr w:type="spellEnd"/>
      <w:r w:rsidRPr="00E00765">
        <w:rPr>
          <w:rFonts w:ascii="Arial" w:hAnsi="Arial" w:cs="Arial"/>
          <w:b/>
          <w:bCs/>
        </w:rPr>
        <w:t>)</w:t>
      </w:r>
      <w:r w:rsidRPr="00E00765">
        <w:rPr>
          <w:rFonts w:ascii="Arial" w:hAnsi="Arial" w:cs="Arial"/>
        </w:rPr>
        <w:t xml:space="preserve">, linguagens voltadas a domínios específicos. Como explica Fowler (2012), as </w:t>
      </w:r>
      <w:proofErr w:type="spellStart"/>
      <w:r w:rsidRPr="00E00765">
        <w:rPr>
          <w:rFonts w:ascii="Arial" w:hAnsi="Arial" w:cs="Arial"/>
        </w:rPr>
        <w:t>DSLs</w:t>
      </w:r>
      <w:proofErr w:type="spellEnd"/>
      <w:r w:rsidRPr="00E00765">
        <w:rPr>
          <w:rFonts w:ascii="Arial" w:hAnsi="Arial" w:cs="Arial"/>
        </w:rPr>
        <w:t xml:space="preserve"> aumentam a expressividade e clareza do código e dependem fortemente de conceitos de compiladores para sua criação e interpretação.</w:t>
      </w:r>
    </w:p>
    <w:p w14:paraId="1723DB1F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Na etapa de </w:t>
      </w:r>
      <w:r w:rsidRPr="00E00765">
        <w:rPr>
          <w:rFonts w:ascii="Arial" w:hAnsi="Arial" w:cs="Arial"/>
          <w:b/>
          <w:bCs/>
        </w:rPr>
        <w:t>gerenciamento e automação de compilação</w:t>
      </w:r>
      <w:r w:rsidRPr="00E00765">
        <w:rPr>
          <w:rFonts w:ascii="Arial" w:hAnsi="Arial" w:cs="Arial"/>
        </w:rPr>
        <w:t xml:space="preserve">, ferramentas como o </w:t>
      </w:r>
      <w:r w:rsidRPr="00E00765">
        <w:rPr>
          <w:rFonts w:ascii="Arial" w:hAnsi="Arial" w:cs="Arial"/>
          <w:b/>
          <w:bCs/>
        </w:rPr>
        <w:t xml:space="preserve">Apache </w:t>
      </w:r>
      <w:proofErr w:type="spellStart"/>
      <w:r w:rsidRPr="00E00765">
        <w:rPr>
          <w:rFonts w:ascii="Arial" w:hAnsi="Arial" w:cs="Arial"/>
          <w:b/>
          <w:bCs/>
        </w:rPr>
        <w:t>Ant</w:t>
      </w:r>
      <w:proofErr w:type="spellEnd"/>
      <w:r w:rsidRPr="00E00765">
        <w:rPr>
          <w:rFonts w:ascii="Arial" w:hAnsi="Arial" w:cs="Arial"/>
        </w:rPr>
        <w:t xml:space="preserve"> facilitam o processo de </w:t>
      </w:r>
      <w:r w:rsidRPr="00E00765">
        <w:rPr>
          <w:rFonts w:ascii="Arial" w:hAnsi="Arial" w:cs="Arial"/>
          <w:i/>
          <w:iCs/>
        </w:rPr>
        <w:t>build</w:t>
      </w:r>
      <w:r w:rsidRPr="00E00765">
        <w:rPr>
          <w:rFonts w:ascii="Arial" w:hAnsi="Arial" w:cs="Arial"/>
        </w:rPr>
        <w:t xml:space="preserve"> e integração contínua, permitindo compilações automatizadas com dependências resolvidas via arquivos XML.</w:t>
      </w:r>
    </w:p>
    <w:p w14:paraId="5599EA49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Os dados do </w:t>
      </w:r>
      <w:r w:rsidRPr="00E00765">
        <w:rPr>
          <w:rFonts w:ascii="Arial" w:hAnsi="Arial" w:cs="Arial"/>
          <w:b/>
          <w:bCs/>
        </w:rPr>
        <w:t>índice TIOBE (2018)</w:t>
      </w:r>
      <w:r w:rsidRPr="00E00765">
        <w:rPr>
          <w:rFonts w:ascii="Arial" w:hAnsi="Arial" w:cs="Arial"/>
        </w:rPr>
        <w:t xml:space="preserve"> indicam que as linguagens mais populares atualmente empregam </w:t>
      </w:r>
      <w:r w:rsidRPr="00E00765">
        <w:rPr>
          <w:rFonts w:ascii="Arial" w:hAnsi="Arial" w:cs="Arial"/>
          <w:b/>
          <w:bCs/>
        </w:rPr>
        <w:t>compiladores híbridos</w:t>
      </w:r>
      <w:r w:rsidRPr="00E00765">
        <w:rPr>
          <w:rFonts w:ascii="Arial" w:hAnsi="Arial" w:cs="Arial"/>
        </w:rPr>
        <w:t xml:space="preserve">, que combinam representações intermediárias e técnicas de </w:t>
      </w:r>
      <w:r w:rsidRPr="00E00765">
        <w:rPr>
          <w:rFonts w:ascii="Arial" w:hAnsi="Arial" w:cs="Arial"/>
          <w:i/>
          <w:iCs/>
        </w:rPr>
        <w:t>Just-In-Time (JIT)</w:t>
      </w:r>
      <w:r w:rsidRPr="00E00765">
        <w:rPr>
          <w:rFonts w:ascii="Arial" w:hAnsi="Arial" w:cs="Arial"/>
        </w:rPr>
        <w:t>, representando mais de 33% do total. Compiladores monolíticos são cada vez menos comuns.</w:t>
      </w:r>
    </w:p>
    <w:p w14:paraId="0CBDCAF0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Segundo </w:t>
      </w:r>
      <w:proofErr w:type="spellStart"/>
      <w:r w:rsidRPr="00E00765">
        <w:rPr>
          <w:rFonts w:ascii="Arial" w:hAnsi="Arial" w:cs="Arial"/>
        </w:rPr>
        <w:t>Aho</w:t>
      </w:r>
      <w:proofErr w:type="spellEnd"/>
      <w:r w:rsidRPr="00E00765">
        <w:rPr>
          <w:rFonts w:ascii="Arial" w:hAnsi="Arial" w:cs="Arial"/>
        </w:rPr>
        <w:t xml:space="preserve"> (2007), essa modularização e uso de </w:t>
      </w:r>
      <w:proofErr w:type="spellStart"/>
      <w:r w:rsidRPr="00E00765">
        <w:rPr>
          <w:rFonts w:ascii="Arial" w:hAnsi="Arial" w:cs="Arial"/>
          <w:b/>
          <w:bCs/>
        </w:rPr>
        <w:t>back-ends</w:t>
      </w:r>
      <w:proofErr w:type="spellEnd"/>
      <w:r w:rsidRPr="00E00765">
        <w:rPr>
          <w:rFonts w:ascii="Arial" w:hAnsi="Arial" w:cs="Arial"/>
          <w:b/>
          <w:bCs/>
        </w:rPr>
        <w:t xml:space="preserve"> reutilizáveis</w:t>
      </w:r>
      <w:r w:rsidRPr="00E00765">
        <w:rPr>
          <w:rFonts w:ascii="Arial" w:hAnsi="Arial" w:cs="Arial"/>
        </w:rPr>
        <w:t xml:space="preserve"> permitem maior portabilidade e agilidade no desenvolvimento de novas linguagens. Além disso, o uso de </w:t>
      </w:r>
      <w:r w:rsidRPr="00E00765">
        <w:rPr>
          <w:rFonts w:ascii="Arial" w:hAnsi="Arial" w:cs="Arial"/>
          <w:b/>
          <w:bCs/>
        </w:rPr>
        <w:t>expressões regulares</w:t>
      </w:r>
      <w:r w:rsidRPr="00E00765">
        <w:rPr>
          <w:rFonts w:ascii="Arial" w:hAnsi="Arial" w:cs="Arial"/>
        </w:rPr>
        <w:t xml:space="preserve"> tornou-se ubíquo, </w:t>
      </w:r>
      <w:r w:rsidRPr="00E00765">
        <w:rPr>
          <w:rFonts w:ascii="Arial" w:hAnsi="Arial" w:cs="Arial"/>
        </w:rPr>
        <w:lastRenderedPageBreak/>
        <w:t>embora, conforme Cox (2007), seu uso inadequado possa gerar perda de desempenho — reforçando a importância de aplicar teoria formal de maneira eficiente.</w:t>
      </w:r>
    </w:p>
    <w:p w14:paraId="681F198C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pict w14:anchorId="6ACA30D9">
          <v:rect id="_x0000_i1102" style="width:0;height:1.5pt" o:hralign="center" o:hrstd="t" o:hr="t" fillcolor="#a0a0a0" stroked="f"/>
        </w:pict>
      </w:r>
    </w:p>
    <w:p w14:paraId="0C241130" w14:textId="77777777" w:rsidR="00E00765" w:rsidRPr="00E00765" w:rsidRDefault="00E00765" w:rsidP="00E00765">
      <w:pPr>
        <w:rPr>
          <w:rFonts w:ascii="Arial" w:hAnsi="Arial" w:cs="Arial"/>
          <w:b/>
          <w:bCs/>
        </w:rPr>
      </w:pPr>
      <w:r w:rsidRPr="00E00765">
        <w:rPr>
          <w:rFonts w:ascii="Arial" w:hAnsi="Arial" w:cs="Arial"/>
          <w:b/>
          <w:bCs/>
        </w:rPr>
        <w:t>Conclusão</w:t>
      </w:r>
    </w:p>
    <w:p w14:paraId="5EB4258B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As Unidades 3 e 4 descrevem as duas grandes fases do compilador — </w:t>
      </w:r>
      <w:r w:rsidRPr="00E00765">
        <w:rPr>
          <w:rFonts w:ascii="Arial" w:hAnsi="Arial" w:cs="Arial"/>
          <w:b/>
          <w:bCs/>
        </w:rPr>
        <w:t>análise</w:t>
      </w:r>
      <w:r w:rsidRPr="00E00765">
        <w:rPr>
          <w:rFonts w:ascii="Arial" w:hAnsi="Arial" w:cs="Arial"/>
        </w:rPr>
        <w:t xml:space="preserve"> e </w:t>
      </w:r>
      <w:r w:rsidRPr="00E00765">
        <w:rPr>
          <w:rFonts w:ascii="Arial" w:hAnsi="Arial" w:cs="Arial"/>
          <w:b/>
          <w:bCs/>
        </w:rPr>
        <w:t>síntese</w:t>
      </w:r>
      <w:r w:rsidRPr="00E00765">
        <w:rPr>
          <w:rFonts w:ascii="Arial" w:hAnsi="Arial" w:cs="Arial"/>
        </w:rPr>
        <w:t xml:space="preserve"> — e sua evolução até as aplicações modernas.</w:t>
      </w:r>
      <w:r w:rsidRPr="00E00765">
        <w:rPr>
          <w:rFonts w:ascii="Arial" w:hAnsi="Arial" w:cs="Arial"/>
        </w:rPr>
        <w:br/>
        <w:t xml:space="preserve">Na </w:t>
      </w:r>
      <w:r w:rsidRPr="00E00765">
        <w:rPr>
          <w:rFonts w:ascii="Arial" w:hAnsi="Arial" w:cs="Arial"/>
          <w:b/>
          <w:bCs/>
        </w:rPr>
        <w:t>análise</w:t>
      </w:r>
      <w:r w:rsidRPr="00E00765">
        <w:rPr>
          <w:rFonts w:ascii="Arial" w:hAnsi="Arial" w:cs="Arial"/>
        </w:rPr>
        <w:t>, o compilador compreende e valida o código-fonte por meio da análise sintática, tradução dirigida pela sintaxe e uso da tabela de símbolos.</w:t>
      </w:r>
      <w:r w:rsidRPr="00E00765">
        <w:rPr>
          <w:rFonts w:ascii="Arial" w:hAnsi="Arial" w:cs="Arial"/>
        </w:rPr>
        <w:br/>
        <w:t xml:space="preserve">Na </w:t>
      </w:r>
      <w:r w:rsidRPr="00E00765">
        <w:rPr>
          <w:rFonts w:ascii="Arial" w:hAnsi="Arial" w:cs="Arial"/>
          <w:b/>
          <w:bCs/>
        </w:rPr>
        <w:t>síntese</w:t>
      </w:r>
      <w:r w:rsidRPr="00E00765">
        <w:rPr>
          <w:rFonts w:ascii="Arial" w:hAnsi="Arial" w:cs="Arial"/>
        </w:rPr>
        <w:t>, ele converte essa representação em código executável eficiente, utilizando representações intermediárias, otimizações e técnicas de geração de código.</w:t>
      </w:r>
    </w:p>
    <w:p w14:paraId="40112DCC" w14:textId="77777777" w:rsidR="00E00765" w:rsidRPr="00E00765" w:rsidRDefault="00E00765" w:rsidP="00E00765">
      <w:pPr>
        <w:rPr>
          <w:rFonts w:ascii="Arial" w:hAnsi="Arial" w:cs="Arial"/>
        </w:rPr>
      </w:pPr>
      <w:r w:rsidRPr="00E00765">
        <w:rPr>
          <w:rFonts w:ascii="Arial" w:hAnsi="Arial" w:cs="Arial"/>
        </w:rPr>
        <w:t xml:space="preserve">Por fim, as tendências modernas — </w:t>
      </w:r>
      <w:proofErr w:type="gramStart"/>
      <w:r w:rsidRPr="00E00765">
        <w:rPr>
          <w:rFonts w:ascii="Arial" w:hAnsi="Arial" w:cs="Arial"/>
        </w:rPr>
        <w:t xml:space="preserve">como </w:t>
      </w:r>
      <w:proofErr w:type="spellStart"/>
      <w:r w:rsidRPr="00E00765">
        <w:rPr>
          <w:rFonts w:ascii="Arial" w:hAnsi="Arial" w:cs="Arial"/>
          <w:b/>
          <w:bCs/>
        </w:rPr>
        <w:t>IDEs</w:t>
      </w:r>
      <w:proofErr w:type="spellEnd"/>
      <w:proofErr w:type="gramEnd"/>
      <w:r w:rsidRPr="00E00765">
        <w:rPr>
          <w:rFonts w:ascii="Arial" w:hAnsi="Arial" w:cs="Arial"/>
          <w:b/>
          <w:bCs/>
        </w:rPr>
        <w:t xml:space="preserve"> inteligentes, </w:t>
      </w:r>
      <w:proofErr w:type="spellStart"/>
      <w:r w:rsidRPr="00E00765">
        <w:rPr>
          <w:rFonts w:ascii="Arial" w:hAnsi="Arial" w:cs="Arial"/>
          <w:b/>
          <w:bCs/>
        </w:rPr>
        <w:t>DSLs</w:t>
      </w:r>
      <w:proofErr w:type="spellEnd"/>
      <w:r w:rsidRPr="00E00765">
        <w:rPr>
          <w:rFonts w:ascii="Arial" w:hAnsi="Arial" w:cs="Arial"/>
          <w:b/>
          <w:bCs/>
        </w:rPr>
        <w:t xml:space="preserve"> e compiladores híbridos</w:t>
      </w:r>
      <w:r w:rsidRPr="00E00765">
        <w:rPr>
          <w:rFonts w:ascii="Arial" w:hAnsi="Arial" w:cs="Arial"/>
        </w:rPr>
        <w:t xml:space="preserve"> — demonstram que os conceitos fundamentais de compiladores permanecem essenciais, mas agora aplicados em contextos mais dinâmicos, integrados e voltados à produtividade e portabilidade.</w:t>
      </w:r>
    </w:p>
    <w:p w14:paraId="6FE5A93A" w14:textId="36D317A5" w:rsidR="00D1025E" w:rsidRPr="00D1025E" w:rsidRDefault="00D1025E" w:rsidP="00D1025E">
      <w:pPr>
        <w:rPr>
          <w:rFonts w:ascii="Arial" w:hAnsi="Arial" w:cs="Arial"/>
        </w:rPr>
      </w:pPr>
    </w:p>
    <w:sectPr w:rsidR="00D1025E" w:rsidRPr="00D102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84124E"/>
    <w:multiLevelType w:val="multilevel"/>
    <w:tmpl w:val="EDA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16BD9"/>
    <w:multiLevelType w:val="multilevel"/>
    <w:tmpl w:val="602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63935"/>
    <w:multiLevelType w:val="multilevel"/>
    <w:tmpl w:val="BD7E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4CD6"/>
    <w:multiLevelType w:val="hybridMultilevel"/>
    <w:tmpl w:val="FE107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07131"/>
    <w:multiLevelType w:val="multilevel"/>
    <w:tmpl w:val="6C1E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079992">
    <w:abstractNumId w:val="3"/>
  </w:num>
  <w:num w:numId="2" w16cid:durableId="198906999">
    <w:abstractNumId w:val="1"/>
  </w:num>
  <w:num w:numId="3" w16cid:durableId="1371415241">
    <w:abstractNumId w:val="2"/>
  </w:num>
  <w:num w:numId="4" w16cid:durableId="158467951">
    <w:abstractNumId w:val="0"/>
  </w:num>
  <w:num w:numId="5" w16cid:durableId="1737316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5E"/>
    <w:rsid w:val="003C168A"/>
    <w:rsid w:val="00457D28"/>
    <w:rsid w:val="006B48CE"/>
    <w:rsid w:val="00844965"/>
    <w:rsid w:val="00900275"/>
    <w:rsid w:val="00985DAC"/>
    <w:rsid w:val="00D1025E"/>
    <w:rsid w:val="00E0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43CB5"/>
  <w15:chartTrackingRefBased/>
  <w15:docId w15:val="{BC0ABE93-17DA-4C00-BF29-B21CE755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02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02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02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02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02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02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02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02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02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02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4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1095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Vítor de Siqueira Campos</dc:creator>
  <cp:keywords/>
  <dc:description/>
  <cp:lastModifiedBy>Fernando Quintanilha</cp:lastModifiedBy>
  <cp:revision>3</cp:revision>
  <dcterms:created xsi:type="dcterms:W3CDTF">2025-11-04T01:09:00Z</dcterms:created>
  <dcterms:modified xsi:type="dcterms:W3CDTF">2025-11-07T02:12:00Z</dcterms:modified>
</cp:coreProperties>
</file>