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jc w:val="center"/>
        <w:spacing w:after="120"/>
      </w:pPr>
      <w:r>
        <w:rPr>
          <w:rFonts w:ascii="Arial" w:cs="Arial" w:hAnsi="Arial"/>
          <w:b/>
          <w:sz w:val="36"/>
          <w:color w:val="2e4057"/>
        </w:rPr>
        <w:t xml:space="preserve">Geometric Foundations of the Born Rule:</w:t>
      </w:r>
    </w:p>
    <w:p>
      <w:pPr>
        <w:jc w:val="center"/>
        <w:spacing w:after="120"/>
      </w:pPr>
      <w:r>
        <w:rPr>
          <w:rFonts w:ascii="Arial" w:cs="Arial" w:hAnsi="Arial"/>
          <w:b/>
          <w:sz w:val="28"/>
          <w:color w:val="4a6080"/>
        </w:rPr>
        <w:t xml:space="preserve">A Simplex Perspective with Connections to Berry Phase and URCM</w:t>
      </w:r>
    </w:p>
    <w:p>
      <w:pPr>
        <w:jc w:val="center"/>
        <w:spacing w:after="80"/>
      </w:pPr>
      <w:r>
        <w:rPr>
          <w:i/>
          <w:sz w:val="22"/>
        </w:rPr>
        <w:t xml:space="preserve">Ettore Bevilacqua (SapriZero)</w:t>
      </w:r>
    </w:p>
    <w:p>
      <w:pPr>
        <w:jc w:val="center"/>
        <w:spacing w:after="400"/>
      </w:pPr>
      <w:r>
        <w:rPr>
          <w:i/>
          <w:sz w:val="20"/>
          <w:color w:val="666666"/>
        </w:rPr>
        <w:t xml:space="preserve">March 2026 — Commentary and extension of Sassoli de Bianchi (2026), arXiv:2603.07745</w:t>
      </w:r>
    </w:p>
    <w:p>
      <w:pPr>
        <w:jc w:val="left"/>
        <w:spacing w:after="400"/>
      </w:pPr>
      <w:r>
        <w:rPr>
          <w:b/>
        </w:rPr>
        <w:t xml:space="preserve">Author:</w:t>
      </w:r>
      <w:r>
        <w:rPr/>
        <w:t xml:space="preserve"> Ettore Bevilacqua (SapriZero)
 </w:t>
      </w:r>
      <w:r>
        <w:rPr>
          <w:b/>
        </w:rPr>
        <w:t xml:space="preserve">Date:</w:t>
      </w:r>
      <w:r>
        <w:rPr/>
        <w:t xml:space="preserve"> March 2026
 </w:t>
      </w:r>
      <w:r>
        <w:rPr>
          <w:b/>
        </w:rPr>
        <w:t xml:space="preserve">DOI:</w:t>
      </w:r>
      <w:r>
        <w:rPr/>
        <w:t xml:space="preserve"> </w:t>
      </w:r>
      <w:hyperlink r:id="rId26">
        <w:r>
          <w:rPr>
            <w:u w:val="single"/>
            <w:color w:val="0000ff"/>
          </w:rPr>
          <w:t xml:space="preserve">10.5281/zenodo.19202518</w:t>
        </w:r>
      </w:hyperlink>
      <w:r>
        <w:rPr/>
        <w:t xml:space="preserve">
 </w:t>
      </w:r>
      <w:r>
        <w:rPr>
          <w:b/>
        </w:rPr>
        <w:t xml:space="preserve">Keywords:</w:t>
      </w:r>
      <w:r>
        <w:rPr/>
        <w:t xml:space="preserve"> </w:t>
      </w:r>
      <w:r>
        <w:rPr/>
        <w:t xml:space="preserve">Gleason's theorem, Born rule, Bloch sphere, simplex, Berry phase, golden ratio, quantum foundations, URCM, transition metals, d-orbitals, cohesive energy</w:t>
      </w:r>
    </w:p>
    <w:p>
      <w:pPr>
        <w:pStyle w:val="Heading 1"/>
      </w:pPr>
      <w:r>
        <w:rPr>
          <w:b/>
        </w:rPr>
        <w:t xml:space="preserve">Abstract</w:t>
      </w:r>
    </w:p>
    <w:p>
      <w:pPr>
        <w:spacing w:after="160"/>
      </w:pPr>
      <w:r>
        <w:rPr>
          <w:sz w:val="22"/>
        </w:rPr>
        <w:t xml:space="preserve">We present three contributions to the geometric understanding of Gleason's theorem, building on the Bloch-space approach of Sassoli de Bianchi (2026). First, we provide a simplified geometric interpretation of the Cauchy functional equation that emerges in dimension N ≥ 3: the regular simplex enforces Born linearity through symmetry, not merely through algebra. Second, we supply a comparative table making the structural distinction between N = 2 and N ≥ 3 immediately visible, filling a presentational gap in the original paper. Third, we identify a connection between the simplex geometry and the Berry phase in d-orbital systems, mediated by the golden ratio φ. This connection links Gleason's theorem to the cohesive energy formula for transition metals, suggesting a common geometric origin for both results.</w:t>
      </w:r>
    </w:p>
    <w:p>
      <w:pPr>
        <w:pStyle w:val="Heading 1"/>
      </w:pPr>
      <w:r>
        <w:rPr>
          <w:b/>
        </w:rPr>
        <w:t xml:space="preserve">1. Introduction</w:t>
      </w:r>
    </w:p>
    <w:p>
      <w:pPr>
        <w:spacing w:after="160"/>
      </w:pPr>
      <w:r>
        <w:rPr>
          <w:sz w:val="22"/>
        </w:rPr>
        <w:t xml:space="preserve">Gleason's theorem (1957) establishes that the Born rule is the unique probability measure compatible with the Hilbert space structure for dimension N ≥ 3. The original proof is technically demanding. Sassoli de Bianchi (2026) has provided a transparent route to the theorem's core mechanism using the generalized Bloch representation: measurement outcomes correspond to vertices of a regular (N−1)-simplex, and the requirement that N probabilities sum to unity for any state imposes the Cauchy functional equation, forcing linearity.</w:t>
      </w:r>
    </w:p>
    <w:p>
      <w:pPr>
        <w:spacing w:after="160"/>
      </w:pPr>
      <w:r>
        <w:rPr>
          <w:sz w:val="22"/>
        </w:rPr>
        <w:t xml:space="preserve">The present commentary adds three elements that are absent from or implicit in the original presentation: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geometric reading of why the simplex forces Cauchy — making the algebraic argument physically transparent.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comparative table that makes the N = 2 vs N ≥ 3 distinction immediately visible to the reader.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connection between the simplex geometry and the Berry phase in transition-metal d-orbitals, mediated by φ.</w:t>
      </w:r>
    </w:p>
    <w:p>
      <w:pPr>
        <w:spacing w:after="160"/>
      </w:pPr>
    </w:p>
    <w:p>
      <w:pPr>
        <w:pStyle w:val="Heading 1"/>
      </w:pPr>
      <w:r>
        <w:rPr>
          <w:b/>
        </w:rPr>
        <w:t xml:space="preserve">2. Geometric origin of the Cauchy equation (Direction A)</w:t>
      </w:r>
    </w:p>
    <w:p>
      <w:pPr>
        <w:pStyle w:val="Heading 2"/>
      </w:pPr>
      <w:r>
        <w:rPr>
          <w:b/>
        </w:rPr>
        <w:t xml:space="preserve">2.1 The algebraic argument in Sassoli de Bianchi</w:t>
      </w:r>
    </w:p>
    <w:p>
      <w:pPr>
        <w:spacing w:after="160"/>
      </w:pPr>
      <w:r>
        <w:rPr>
          <w:sz w:val="22"/>
        </w:rPr>
        <w:t xml:space="preserve">Sassoli de Bianchi derives the Cauchy equation through the following chain: additivity of the N probabilities for any state → functional constraint on f → setting specific values of the simplex coordinates → equation (31): f(x) + f(z) = f(x + z). The argument is correct and complete. What it does not make transparent is why the simplex produces this equation while the Bloch sphere does not.</w:t>
      </w:r>
    </w:p>
    <w:p>
      <w:pPr>
        <w:pStyle w:val="Heading 2"/>
      </w:pPr>
      <w:r>
        <w:rPr>
          <w:b/>
        </w:rPr>
        <w:t xml:space="preserve">2.2 The geometric reading</w:t>
      </w:r>
    </w:p>
    <w:p>
      <w:pPr>
        <w:spacing w:after="160"/>
      </w:pPr>
      <w:r>
        <w:rPr>
          <w:sz w:val="22"/>
        </w:rPr>
        <w:t xml:space="preserve">The regular (N−1)-simplex has a key property: all N vertices are equidistant from the center, and the group of permutations of the vertices is a symmetry of the simplex. This means the simplex is vertex-transitive: no vertex is geometrically privileged.</w:t>
      </w:r>
    </w:p>
    <w:p>
      <w:pPr>
        <w:spacing w:after="160"/>
      </w:pPr>
      <w:r>
        <w:rPr>
          <w:sz w:val="22"/>
        </w:rPr>
        <w:t xml:space="preserve">A probability rule f that assigns probabilities based on scalar products r · nᵢ must therefore be consistent with this symmetry. If f were nonlinear — say f(x) = x³ — then two states r₁ and r₂ with the same distance from the center but different angles to the vertices would produce different probability distributions. For the Bloch sphere (N = 2), this is acceptable: the two vertices are antipodal, and any odd function with f(1) = 1 preserves the single constraint P₁ + P₂ = 1.</w:t>
      </w:r>
    </w:p>
    <w:p>
      <w:pPr>
        <w:spacing w:after="160"/>
      </w:pPr>
      <w:r>
        <w:rPr>
          <w:sz w:val="22"/>
        </w:rPr>
        <w:t xml:space="preserve">For N ≥ 3, the N vertices form a simplex with N(N−1)/2 mutual constraints (one for each pair of vertices). A nonlinear f cannot satisfy all of them simultaneously while preserving normalization for every state r. The Cauchy equation is not imposed externally — it emerges as the unique form of f that is consistent with all N(N−1)/2 symmetry constraints of the simplex.</w:t>
      </w:r>
    </w:p>
    <w:p>
      <w:pPr>
        <w:spacing w:after="160"/>
      </w:pPr>
      <w:r>
        <w:rPr>
          <w:b/>
          <w:sz w:val="22"/>
        </w:rPr>
        <w:t xml:space="preserve">In URCM language: </w:t>
      </w:r>
      <w:r>
        <w:rPr>
          <w:sz w:val="22"/>
        </w:rPr>
        <w:t xml:space="preserve">the simplex is the trestle (il treppiede) generalized to N dimensions. Two poles without a central pivot (N = 2) admit deformation. N ≥ 3 poles forming a regular simplex are rigid — the structure does not allow nonlinear rules.</w:t>
      </w:r>
    </w:p>
    <w:p>
      <w:pPr>
        <w:pStyle w:val="Heading 2"/>
      </w:pPr>
      <w:r>
        <w:rPr>
          <w:b/>
        </w:rPr>
        <w:t xml:space="preserve">2.3 Why boundedness matters</w:t>
      </w:r>
    </w:p>
    <w:p>
      <w:pPr>
        <w:spacing w:after="160"/>
      </w:pPr>
      <w:r>
        <w:rPr>
          <w:sz w:val="22"/>
        </w:rPr>
        <w:t xml:space="preserve">Sassoli de Bianchi notes that a bounded function satisfying f(x) + f(z) = f(x+z) on a closed interval is necessarily continuous, and hence linear. The geometric reading makes this sharper: the boundedness is not a separate assumption imposed from outside. It follows from the requirement that probabilities lie in [0, 1] — itself a consequence of the simplex normalization. The Cauchy equation and the boundedness condition are both consequences of the simplex geometry; neither needs to be postulated independently.</w:t>
      </w:r>
    </w:p>
    <w:p>
      <w:pPr>
        <w:pStyle w:val="Heading 1"/>
      </w:pPr>
      <w:r>
        <w:rPr>
          <w:b/>
        </w:rPr>
        <w:t xml:space="preserve">3. Comparative table: N = 2 vs N ≥ 3 (Direction B)</w:t>
      </w:r>
    </w:p>
    <w:p>
      <w:pPr>
        <w:spacing w:after="160"/>
      </w:pPr>
      <w:r>
        <w:rPr>
          <w:sz w:val="22"/>
        </w:rPr>
        <w:t xml:space="preserve">The following table makes explicit the structural differences that Sassoli de Bianchi describes in prose. It also adds the URCM reading in the final two rows.</w:t>
      </w:r>
    </w:p>
    <w:p>
      <w:pPr>
        <w:spacing w:after="160"/>
      </w:pPr>
    </w:p>
    <w:tbl>
      <w:tblGrid>
        <w:gridCol w:w="2200"/>
        <w:gridCol w:w="3580"/>
        <w:gridCol w:w="3580"/>
      </w:tblGrid>
      <w:tblPr>
        <w:tblBorders>
          <w:left w:val="single" w:sz="4"/>
          <w:right w:val="single" w:sz="4"/>
          <w:top w:val="single" w:sz="4"/>
          <w:bottom w:val="single" w:sz="4"/>
        </w:tblBorders>
      </w:tblPr>
      <w:tr>
        <w:trPr/>
        <w:tc>
          <w:tcPr>
            <w:tcW w:w="2200" w:type="dxa"/>
            <w:shd w:fill="e8e8f0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e8e8f0"/>
            </w:pPr>
            <w:r>
              <w:rPr>
                <w:b/>
                <w:sz w:val="20"/>
                <w:shd w:fill="e8e8f0"/>
              </w:rPr>
              <w:t xml:space="preserve">Proprietà</w:t>
            </w:r>
          </w:p>
        </w:tc>
        <w:tc>
          <w:tcPr>
            <w:tcW w:w="3580" w:type="dxa"/>
            <w:shd w:fill="e8e8f0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e8e8f0"/>
            </w:pPr>
            <w:r>
              <w:rPr>
                <w:b/>
                <w:sz w:val="20"/>
                <w:shd w:fill="e8e8f0"/>
              </w:rPr>
              <w:t xml:space="preserve">N = 2 (qubit)</w:t>
            </w:r>
          </w:p>
        </w:tc>
        <w:tc>
          <w:tcPr>
            <w:tcW w:w="3580" w:type="dxa"/>
            <w:shd w:fill="e8e8f0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e8e8f0"/>
            </w:pPr>
            <w:r>
              <w:rPr>
                <w:b/>
                <w:sz w:val="20"/>
                <w:shd w:fill="e8e8f0"/>
              </w:rPr>
              <w:t xml:space="preserve">N ≥ 3</w:t>
            </w:r>
          </w:p>
        </w:tc>
      </w:tr>
      <w:tr>
        <w:trPr/>
        <w:tc>
          <w:tcPr>
            <w:tcW w:w="220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Geometria stati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Sfera di Bloch (3D)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Palla (N²−1)-dimensionale</w:t>
            </w:r>
          </w:p>
        </w:tc>
      </w:tr>
      <w:tr>
        <w:trPr/>
        <w:tc>
          <w:tcPr>
            <w:tcW w:w="220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Esiti di misura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Antipodali: n₁ = −n₂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Vertici del simplesso (N−1)-dim</w:t>
            </w:r>
          </w:p>
        </w:tc>
      </w:tr>
      <w:tr>
        <w:trPr/>
        <w:tc>
          <w:tcPr>
            <w:tcW w:w="220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Vincoli su f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Solo P₁ + P₂ = 1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Sistema incrociato di N equazioni</w:t>
            </w:r>
          </w:p>
        </w:tc>
      </w:tr>
      <w:tr>
        <w:trPr/>
        <w:tc>
          <w:tcPr>
            <w:tcW w:w="220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Equazione emergente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Nessuna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Cauchy: f(x) + f(z) = f(x+z)</w:t>
            </w:r>
          </w:p>
        </w:tc>
      </w:tr>
      <w:tr>
        <w:trPr/>
        <w:tc>
          <w:tcPr>
            <w:tcW w:w="220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Soluzioni valide per f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Infinite (x, x³, x⁵, ...)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Unica: f(x) = x</w:t>
            </w:r>
          </w:p>
        </w:tc>
      </w:tr>
      <w:tr>
        <w:trPr/>
        <w:tc>
          <w:tcPr>
            <w:tcW w:w="220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Regola di Born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Non forzata dalla geometria</w:t>
            </w:r>
          </w:p>
        </w:tc>
        <w:tc>
          <w:tcPr>
            <w:tcW w:w="3580" w:type="dxa"/>
            <w:shd w:fill="f5f5fa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5f5fa"/>
            </w:pPr>
            <w:r>
              <w:rPr>
                <w:sz w:val="20"/>
                <w:shd w:fill="f5f5fa"/>
              </w:rPr>
              <w:t xml:space="preserve">Forzata — conseguenza del simplesso</w:t>
            </w:r>
          </w:p>
        </w:tc>
      </w:tr>
      <w:tr>
        <w:trPr/>
        <w:tc>
          <w:tcPr>
            <w:tcW w:w="220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Casualità quantistica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Strutturale (anche con parametro preciso)</w:t>
            </w:r>
          </w:p>
        </w:tc>
        <w:tc>
          <w:tcPr>
            <w:tcW w:w="3580" w:type="dxa"/>
            <w:shd w:fill="ffffff"/>
            <w:tcBorders>
              <w:left w:val="single" w:color="cccccc" w:sz="1"/>
              <w:right w:val="single" w:color="cccccc" w:sz="1"/>
              <w:top w:val="single" w:color="cccccc" w:sz="1"/>
              <w:bottom w:val="single" w:color="cccccc" w:sz="1"/>
            </w:tcBorders>
          </w:tcPr>
          <w:p>
            <w:pPr>
              <w:shd w:fill="ffffff"/>
            </w:pPr>
            <w:r>
              <w:rPr>
                <w:sz w:val="20"/>
                <w:shd w:fill="ffffff"/>
              </w:rPr>
              <w:t xml:space="preserve">Da imprecisione del parametro (URCM)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</w:rPr>
        <w:t xml:space="preserve">The table clarifies a point that is easy to miss in the original paper: the exceptionality of the qubit is not a mathematical curiosity. It reflects a genuine structural difference. For N = 2, the two measurement outcomes are antipodal — the geometry has only one constraint. For N ≥ 3, the vertices form a simplex with interlocking constraints that leave no freedom.</w:t>
      </w:r>
    </w:p>
    <w:p>
      <w:pPr>
        <w:spacing w:after="160"/>
      </w:pPr>
      <w:r>
        <w:rPr>
          <w:sz w:val="22"/>
        </w:rPr>
        <w:t xml:space="preserve">This has a direct consequence for interpretations of quantum indeterminism. The claim that quantum randomness arises from parameter imprecision — a natural reading in the URCM framework — holds for N ≥ 3 but requires qualification for qubits. A qubit admits non-Born probability rules even with a perfectly precise parameter. The qubit is structurally different, not merely a limiting case.</w:t>
      </w:r>
    </w:p>
    <w:p>
      <w:pPr>
        <w:pStyle w:val="Heading 1"/>
      </w:pPr>
      <w:r>
        <w:rPr>
          <w:b/>
        </w:rPr>
        <w:t xml:space="preserve">4. Connection to Berry phase and the golden ratio (Direction C)</w:t>
      </w:r>
    </w:p>
    <w:p>
      <w:pPr>
        <w:pStyle w:val="Heading 2"/>
      </w:pPr>
      <w:r>
        <w:rPr>
          <w:b/>
        </w:rPr>
        <w:t xml:space="preserve">4.1 The Berry phase as an unclosed cycle</w:t>
      </w:r>
    </w:p>
    <w:p>
      <w:pPr>
        <w:spacing w:after="160"/>
      </w:pPr>
      <w:r>
        <w:rPr>
          <w:sz w:val="22"/>
        </w:rPr>
        <w:t xml:space="preserve">A d-orbital electron traversing a closed path in parameter space does not return to an identical quantum state. It acquires a geometric phase — the Berry phase — proportional to the solid angle subtended by the path. This phase is a signature of the path's failure to close in the full quantum state space, even when it closes in parameter space.</w:t>
      </w:r>
    </w:p>
    <w:p>
      <w:pPr>
        <w:spacing w:after="160"/>
      </w:pPr>
      <w:r>
        <w:rPr>
          <w:sz w:val="22"/>
        </w:rPr>
        <w:t xml:space="preserve">The golden ratio φ satisfies φ − 1/φ = 1: it carries exactly 1 unit as a carry when completing a cycle. This is the algebraic signature of an unclosed cycle: a system that traverses φ periods returns to a state shifted by exactly 1 unit of phase. φ is the unique real number with this property, which is why it appears in structures that grow without collapsing on themselves.</w:t>
      </w:r>
    </w:p>
    <w:p>
      <w:pPr>
        <w:pStyle w:val="Heading 2"/>
      </w:pPr>
      <w:r>
        <w:rPr>
          <w:b/>
        </w:rPr>
        <w:t xml:space="preserve">4.2 The simplex and the Berry phase share a geometric structure</w:t>
      </w:r>
    </w:p>
    <w:p>
      <w:pPr>
        <w:spacing w:after="160"/>
      </w:pPr>
      <w:r>
        <w:rPr>
          <w:sz w:val="22"/>
        </w:rPr>
        <w:t xml:space="preserve">In the Bloch-space formulation of Gleason's theorem, the N measurement outcomes form the vertices of a regular (N−1)-simplex. The simplex has a characteristic angle between any two vertices:</w:t>
      </w:r>
    </w:p>
    <w:p>
      <w:pPr>
        <w:jc w:val="center"/>
        <w:spacing w:after="160"/>
      </w:pPr>
      <w:r>
        <w:rPr>
          <w:i/>
          <w:sz w:val="22"/>
        </w:rPr>
        <w:t xml:space="preserve">cos θ_N = −1/(N−1)</w:t>
      </w:r>
    </w:p>
    <w:p>
      <w:pPr>
        <w:spacing w:after="160"/>
      </w:pPr>
      <w:r>
        <w:rPr>
          <w:sz w:val="22"/>
        </w:rPr>
        <w:t xml:space="preserve">For N = 3 (a triangle): cos θ₃ = −1/2, giving θ₃ = 120°. This is the angle of a regular triangle — the minimum stable structure, the trestle of URCM.</w:t>
      </w:r>
    </w:p>
    <w:p>
      <w:pPr>
        <w:spacing w:after="160"/>
      </w:pPr>
      <w:r>
        <w:rPr>
          <w:sz w:val="22"/>
        </w:rPr>
        <w:t xml:space="preserve">For N = 6: cos θ₆ = −1/5. The six-vertex simplex in 5-dimensional space has the same number of generators as the Adimensional Sextets of URCM (α, μ, h, π, φ, √2). The MSAS analysis (Bevilacqua 2026) found that dimensional saturation occurs at exactly D = 6 — six dimensions capture all the structure of a typical sequence. The geometric coincidence suggests a common origin: both results may be consequences of the same 5-simplex structure in the relevant parameter space.</w:t>
      </w:r>
    </w:p>
    <w:p>
      <w:pPr>
        <w:pStyle w:val="Heading 2"/>
      </w:pPr>
      <w:r>
        <w:rPr>
          <w:b/>
        </w:rPr>
        <w:t xml:space="preserve">4.3 C_d = 2π/φ as the Berry phase coupling constant</w:t>
      </w:r>
    </w:p>
    <w:p>
      <w:pPr>
        <w:spacing w:after="160"/>
      </w:pPr>
      <w:r>
        <w:rPr>
          <w:sz w:val="22"/>
        </w:rPr>
        <w:t xml:space="preserve">In the cohesive energy formula for transition metals (Bevilacqua 2026), the d-orbital contribution is governed by the constant:</w:t>
      </w:r>
    </w:p>
    <w:p>
      <w:pPr>
        <w:jc w:val="center"/>
        <w:spacing w:after="160"/>
      </w:pPr>
      <w:r>
        <w:rPr>
          <w:i/>
          <w:sz w:val="22"/>
        </w:rPr>
        <w:t xml:space="preserve">C_d = 2π/φ ≈ 3.883</w:t>
      </w:r>
    </w:p>
    <w:p>
      <w:pPr>
        <w:spacing w:after="160"/>
      </w:pPr>
      <w:r>
        <w:rPr>
          <w:sz w:val="22"/>
        </w:rPr>
        <w:t xml:space="preserve">The factor 2π is the cost of a full rotation (one orbital cycle). The factor 1/φ is the carry of the unclosed cycle — the Berry phase contribution per revolution. The combination 2π/φ thus encodes: full rotation × geometric carry of non-closure.</w:t>
      </w:r>
    </w:p>
    <w:p>
      <w:pPr>
        <w:spacing w:after="160"/>
      </w:pPr>
      <w:r>
        <w:rPr>
          <w:sz w:val="22"/>
        </w:rPr>
        <w:t xml:space="preserve">This is not a post-hoc rationalization. In the Bloch-space representation, a d-orbital state space is at least 3-dimensional (the three degenerate t₂g orbitals in a cubic crystal field constitute a 3-level system). By Gleason's theorem, the probability rule for this system is Born. The Born rule in a 3-level system requires the triangle (2-simplex) geometry, with vertex angle 120° = 2π/3. The ratio 2π/φ ≈ 3.883 is close to 2π/3 × φ² = 2π × φ/3 ≈ 3.383 — the difference reflects the higher-dimensional simplex structure of the full d-orbital manifold (5-fold degenerate d-orbitals → 5-simplex).</w:t>
      </w:r>
    </w:p>
    <w:p>
      <w:pPr>
        <w:spacing w:after="160"/>
      </w:pPr>
      <w:r>
        <w:rPr>
          <w:b/>
          <w:sz w:val="22"/>
        </w:rPr>
        <w:t xml:space="preserve">Proposal: </w:t>
      </w:r>
      <w:r>
        <w:rPr>
          <w:sz w:val="22"/>
        </w:rPr>
        <w:t xml:space="preserve">the constant C_d = 2π/φ in the cohesive energy formula is a geometric invariant of the Berry phase in d-orbital systems, constrained by the simplex geometry of Gleason's theorem applied to the d-orbital Hilbert space. This would provide a first-principles geometric derivation of C_d, replacing the current Appendix A justification (which is correct but L2) with an L1 derivation.</w:t>
      </w:r>
    </w:p>
    <w:p>
      <w:pPr>
        <w:pStyle w:val="Heading 2"/>
      </w:pPr>
      <w:r>
        <w:rPr>
          <w:b/>
        </w:rPr>
        <w:t xml:space="preserve">4.4 Verification pathway</w:t>
      </w:r>
    </w:p>
    <w:p>
      <w:pPr>
        <w:spacing w:after="160"/>
      </w:pPr>
      <w:r>
        <w:rPr>
          <w:sz w:val="22"/>
        </w:rPr>
        <w:t xml:space="preserve">The connection proposed in Section 4.3 is L2 — a coherent direction that requires formal verification. The verification pathway is: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Compute the Berry phase for the d-orbital manifold in a representative transition metal (e.g., Fe or Ni) using standard ab initio methods.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Compare the Berry phase per orbital period with 2π/φ.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If the agreement is quantitative (not just order-of-magnitude), derive C_d formally from the Berry phase integral.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Test whether the derived C_d reproduces the cohesive energy RMSE of the original formula.</w:t>
      </w:r>
    </w:p>
    <w:p>
      <w:pPr>
        <w:spacing w:after="160"/>
      </w:pPr>
    </w:p>
    <w:p>
      <w:pPr>
        <w:pStyle w:val="Heading 1"/>
      </w:pPr>
      <w:r>
        <w:rPr>
          <w:b/>
        </w:rPr>
        <w:t xml:space="preserve">5. Implications for quantum foundations</w:t>
      </w:r>
    </w:p>
    <w:p>
      <w:pPr>
        <w:spacing w:after="160"/>
      </w:pPr>
      <w:r>
        <w:rPr>
          <w:sz w:val="22"/>
        </w:rPr>
        <w:t xml:space="preserve">The three contributions above have implications beyond their technical content.</w:t>
      </w:r>
    </w:p>
    <w:p>
      <w:pPr>
        <w:spacing w:after="160"/>
      </w:pPr>
      <w:r>
        <w:rPr>
          <w:sz w:val="22"/>
        </w:rPr>
        <w:t xml:space="preserve">First, the geometric reading of Cauchy makes Gleason's theorem accessible to a broader audience. The original proof and even Sassoli de Bianchi's simplification rely on functional-analytic arguments. The symmetry argument in Section 2 requires only the concept of vertex-transitivity of a regular simplex — a geometric fact visible without any algebra.</w:t>
      </w:r>
    </w:p>
    <w:p>
      <w:pPr>
        <w:spacing w:after="160"/>
      </w:pPr>
      <w:r>
        <w:rPr>
          <w:sz w:val="22"/>
        </w:rPr>
        <w:t xml:space="preserve">Second, the N = 2 vs N ≥ 3 distinction, made explicit in Table 1, clarifies the scope of interpretations of quantum indeterminism. Approaches that reduce quantum randomness to classical ignorance or parameter imprecision (hidden-variable theories, URCM interpretation) apply naturally to N ≥ 3 systems but face a genuine structural obstacle in qubits. The qubit is not just a two-state system — it is a system whose geometry does not force Born linearity.</w:t>
      </w:r>
    </w:p>
    <w:p>
      <w:pPr>
        <w:spacing w:after="160"/>
      </w:pPr>
      <w:r>
        <w:rPr>
          <w:sz w:val="22"/>
        </w:rPr>
        <w:t xml:space="preserve">Third, the Berry phase connection suggests that the constants appearing in phenomenological formulas for quantum systems (cohesive energies, exchange integrals, spin-orbit couplings) may have geometric origins traceable to the simplex structure of the relevant Hilbert space. If so, these constants are not empirical fitting parameters but geometric invariants — computable from first principles via Gleason's theorem.</w:t>
      </w:r>
    </w:p>
    <w:p>
      <w:pPr>
        <w:pStyle w:val="Heading 1"/>
      </w:pPr>
      <w:r>
        <w:rPr>
          <w:b/>
        </w:rPr>
        <w:t xml:space="preserve">6. Conclusions</w:t>
      </w:r>
    </w:p>
    <w:p>
      <w:pPr>
        <w:spacing w:after="160"/>
      </w:pPr>
      <w:r>
        <w:rPr>
          <w:sz w:val="22"/>
        </w:rPr>
        <w:t xml:space="preserve">We have presented three contributions to the geometric understanding of Gleason's theorem: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geometric interpretation of the Cauchy equation: the simplex's vertex-transitivity symmetry forces Born linearity without requiring explicit functional-analytic arguments.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comparative table making the N = 2 vs N ≥ 3 structural distinction immediately visible.</w:t>
      </w:r>
    </w:p>
    <w:p>
      <w:pPr>
        <w:pStyle w:val="List Paragraph"/>
        <w:ind w:hanging="360"/>
        <w:ind w:left="720"/>
        <w:spacing w:after="100"/>
        <w:numPr>
          <w:ilvl w:val="0"/>
          <w:numId w:val="120"/>
        </w:numPr>
      </w:pPr>
      <w:r>
        <w:rPr/>
        <w:t xml:space="preserve"/>
      </w:r>
      <w:r>
        <w:rPr>
          <w:sz w:val="22"/>
        </w:rPr>
        <w:t xml:space="preserve">A proposed connection between the simplex geometry, the Berry phase in d-orbital systems, and the geometric constant C_d = 2π/φ in the cohesive energy formula.</w:t>
      </w:r>
    </w:p>
    <w:p>
      <w:pPr>
        <w:spacing w:after="160"/>
      </w:pPr>
    </w:p>
    <w:p>
      <w:pPr>
        <w:spacing w:after="160"/>
      </w:pPr>
      <w:r>
        <w:rPr>
          <w:sz w:val="22"/>
        </w:rPr>
        <w:t xml:space="preserve">The first two contributions are L1 — they follow directly from the mathematics of Sassoli de Bianchi (2026) and require no new assumptions. The third is L2 — a coherent direction with a clear verification pathway, connecting Gleason's theorem to condensed matter physics through the golden ratio.</w:t>
      </w:r>
    </w:p>
    <w:p>
      <w:pPr>
        <w:spacing w:after="160"/>
      </w:pPr>
      <w:r>
        <w:rPr>
          <w:i/>
          <w:sz w:val="22"/>
        </w:rPr>
        <w:t xml:space="preserve">We use L1/L2 in the sense of Bevilacqua (2026b): L1 = results verifiable by direct calculation; L2 = logically coherent directions requiring expert verification against existing literature.</w:t>
      </w:r>
    </w:p>
    <w:p>
      <w:pPr>
        <w:pStyle w:val="Heading 1"/>
      </w:pPr>
      <w:r>
        <w:rPr>
          <w:b/>
        </w:rPr>
        <w:t xml:space="preserve">References</w:t>
      </w:r>
    </w:p>
    <w:p>
      <w:pPr>
        <w:spacing w:after="160"/>
      </w:pPr>
      <w:r>
        <w:rPr>
          <w:sz w:val="22"/>
        </w:rPr>
        <w:t xml:space="preserve">[1] Gleason, A.M. (1957). Measures on the closed subspaces of a Hilbert space. J. Math. Mech. 6, 885–893.</w:t>
      </w:r>
    </w:p>
    <w:p>
      <w:pPr>
        <w:spacing w:after="160"/>
      </w:pPr>
      <w:r>
        <w:rPr>
          <w:sz w:val="22"/>
        </w:rPr>
        <w:t xml:space="preserve">[2] Sassoli de Bianchi, M. (2026). Gleason's theorem made simple: a Bloch-space perspective. arXiv:2603.07745v1.</w:t>
      </w:r>
    </w:p>
    <w:p>
      <w:pPr>
        <w:spacing w:after="160"/>
      </w:pPr>
      <w:r>
        <w:rPr>
          <w:sz w:val="22"/>
        </w:rPr>
        <w:t xml:space="preserve">[3] Busch, P. (2003). Quantum states and generalized observables: a simple proof of Gleason's theorem. Phys. Rev. Lett. 91, 120403.</w:t>
      </w:r>
    </w:p>
    <w:p>
      <w:pPr>
        <w:spacing w:after="160"/>
      </w:pPr>
      <w:r>
        <w:rPr>
          <w:sz w:val="22"/>
        </w:rPr>
        <w:t xml:space="preserve">[4] Bevilacqua, E. (2026a). Geometric Screening of Metallic Cohesion: A Closed-Form Pre-DFT Filter. SapriZero, March 2026.</w:t>
      </w:r>
    </w:p>
    <w:p>
      <w:pPr>
        <w:spacing w:after="160"/>
      </w:pPr>
      <w:r>
        <w:rPr>
          <w:sz w:val="22"/>
        </w:rPr>
        <w:t xml:space="preserve">[5] Bevilacqua, E. (2026b). L1 and L2: Two levels of knowledge — a proposal. Framework Sapri URCM, March 2026.</w:t>
      </w:r>
    </w:p>
    <w:p>
      <w:pPr>
        <w:spacing w:after="160"/>
      </w:pPr>
      <w:r>
        <w:rPr>
          <w:sz w:val="22"/>
        </w:rPr>
        <w:t xml:space="preserve">[6] Bevilacqua, E. (2026c). Arithmetic of the denominators of a hypergeometric series associated with the golden ratio. DOI: 10.5281/zenodo.19188552.</w:t>
      </w:r>
    </w:p>
    <w:p>
      <w:pPr>
        <w:spacing w:after="160"/>
      </w:pPr>
      <w:r>
        <w:rPr>
          <w:sz w:val="22"/>
        </w:rPr>
        <w:t xml:space="preserve">[7] Simon, B. (1983). Holonomy, the quantum adiabatic theorem, and Berry's phase. Phys. Rev. Lett. 51, 2167.</w:t>
      </w:r>
    </w:p>
    <w:p>
      <w:pPr>
        <w:spacing w:after="160"/>
      </w:pPr>
      <w:r>
        <w:rPr>
          <w:sz w:val="22"/>
        </w:rPr>
        <w:t xml:space="preserve">[8] Berry, M.V. (1984). Quantal phase factors accompanying adiabatic changes. Proc. R. Soc. London A 392, 45–57.</w:t>
      </w: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120">
    <w:multiLevelType w:val="hybridMultilevel"/>
    <w:lvl w:ilvl="0">
      <w:start w:val="1"/>
      <w:numFmt w:val="bullet"/>
      <w:lvlText w:val="•"/>
      <w:rPr>
        <w:rFonts w:ascii="Times New Roman" w:cs="Times New Roman" w:hAnsi="Times New Roman"/>
      </w:rPr>
    </w:lvl>
    <w:lvl w:ilvl="1">
      <w:start w:val="1"/>
      <w:numFmt w:val="bullet"/>
      <w:lvlText w:val="•"/>
      <w:rPr>
        <w:rFonts w:ascii="Times New Roman" w:cs="Times New Roman" w:hAnsi="Times New Roman"/>
      </w:rPr>
    </w:lvl>
    <w:lvl w:ilvl="2">
      <w:start w:val="1"/>
      <w:numFmt w:val="bullet"/>
      <w:lvlText w:val="•"/>
      <w:rPr>
        <w:rFonts w:ascii="Times New Roman" w:cs="Times New Roman" w:hAnsi="Times New Roman"/>
      </w:rPr>
    </w:lvl>
    <w:lvl w:ilvl="3">
      <w:start w:val="1"/>
      <w:numFmt w:val="bullet"/>
      <w:lvlText w:val="•"/>
      <w:rPr>
        <w:rFonts w:ascii="Times New Roman" w:cs="Times New Roman" w:hAnsi="Times New Roman"/>
      </w:rPr>
    </w:lvl>
    <w:lvl w:ilvl="4">
      <w:start w:val="1"/>
      <w:numFmt w:val="bullet"/>
      <w:lvlText w:val="•"/>
      <w:rPr>
        <w:rFonts w:ascii="Times New Roman" w:cs="Times New Roman" w:hAnsi="Times New Roman"/>
      </w:rPr>
    </w:lvl>
    <w:lvl w:ilvl="5">
      <w:start w:val="1"/>
      <w:numFmt w:val="bullet"/>
      <w:lvlText w:val="•"/>
      <w:rPr>
        <w:rFonts w:ascii="Times New Roman" w:cs="Times New Roman" w:hAnsi="Times New Roman"/>
      </w:rPr>
    </w:lvl>
    <w:lvl w:ilvl="6">
      <w:start w:val="1"/>
      <w:numFmt w:val="bullet"/>
      <w:lvlText w:val="•"/>
      <w:rPr>
        <w:rFonts w:ascii="Times New Roman" w:cs="Times New Roman" w:hAnsi="Times New Roman"/>
      </w:rPr>
    </w:lvl>
    <w:lvl w:ilvl="7">
      <w:start w:val="1"/>
      <w:numFmt w:val="bullet"/>
      <w:lvlText w:val="•"/>
      <w:rPr>
        <w:rFonts w:ascii="Times New Roman" w:cs="Times New Roman" w:hAnsi="Times New Roman"/>
      </w:rPr>
    </w:lvl>
    <w:lvl w:ilvl="8">
      <w:start w:val="1"/>
      <w:numFmt w:val="bullet"/>
      <w:lvlText w:val="•"/>
      <w:rPr>
        <w:rFonts w:ascii="Times New Roman" w:cs="Times New Roman" w:hAnsi="Times New Roman"/>
      </w:rPr>
    </w:lvl>
  </w:abstractNum>
  <w:num w:numId="120">
    <w:abstractNumId w:val="120"/>
  </w:num>
</w:numbering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Arimo" w:cs="Arimo" w:hAnsi="Arimo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character" w:styleId="Footnote Text Char">
    <w:name w:val="Footnote Text Char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pPr>
      <w:spacing w:after="200"/>
      <w:spacing w:before="320"/>
    </w:pPr>
    <w:rPr>
      <w:b/>
      <w:sz w:val="32"/>
      <w:rFonts w:ascii="Arial" w:cs="Arial" w:hAnsi="Arial"/>
      <w:color w:val="2e4057"/>
    </w:rPr>
  </w:style>
  <w:style w:type="paragraph" w:styleId="Heading 2">
    <w:name w:val="Heading 2"/>
    <w:basedOn w:val="Normal"/>
    <w:pPr>
      <w:spacing w:after="160"/>
      <w:spacing w:before="240"/>
    </w:pPr>
    <w:rPr>
      <w:b/>
      <w:sz w:val="26"/>
      <w:rFonts w:ascii="Arial" w:cs="Arial" w:hAnsi="Arial"/>
      <w:color w:val="2e4057"/>
    </w:rPr>
  </w:style>
  <w:style w:type="paragraph" w:styleId="Heading 3">
    <w:name w:val="Heading 3"/>
    <w:basedOn w:val="Normal"/>
    <w:pPr>
      <w:spacing w:after="120"/>
      <w:spacing w:before="200"/>
    </w:pPr>
    <w:rPr>
      <w:b/>
      <w:sz w:val="24"/>
      <w:rFonts w:ascii="Arial" w:cs="Arial" w:hAnsi="Arial"/>
      <w:color w:val="4a6080"/>
    </w:rPr>
  </w:style>
  <w:style w:type="paragraph" w:styleId="Heading 4">
    <w:name w:val="Heading 4"/>
    <w:basedOn w:val="Normal"/>
    <w:pPr/>
    <w:rPr>
      <w:i/>
      <w:color w:val="2e74b5"/>
    </w:rPr>
  </w:style>
  <w:style w:type="paragraph" w:styleId="Heading 5">
    <w:name w:val="Heading 5"/>
    <w:basedOn w:val="Normal"/>
    <w:pPr/>
    <w:rPr>
      <w:color w:val="2e74b5"/>
    </w:rPr>
  </w:style>
  <w:style w:type="paragraph" w:styleId="Heading 6">
    <w:name w:val="Heading 6"/>
    <w:basedOn w:val="Normal"/>
    <w:pPr/>
    <w:rPr>
      <w:color w:val="1f4d78"/>
    </w:rPr>
  </w:style>
  <w:style w:type="paragraph" w:styleId="Heart List">
    <w:name w:val="Heart List"/>
    <w:pPr>
      <w:ind w:hanging="432"/>
      <w:ind w:left="720"/>
    </w:pPr>
    <w:rPr/>
  </w:style>
  <w:style w:type="character" w:styleId="Hyperlink">
    <w:name w:val="Hyperlink"/>
    <w:basedOn w:val="Normal"/>
    <w:pPr/>
    <w:rPr>
      <w:u w:val="single"/>
      <w:color w:val="0563c1"/>
    </w:rPr>
  </w:style>
  <w:style w:type="paragraph" w:styleId="Implies List">
    <w:name w:val="Implies List"/>
    <w:pPr>
      <w:ind w:hanging="432"/>
      <w:ind w:left="720"/>
    </w:pPr>
    <w:rPr/>
  </w:style>
  <w:style w:type="paragraph" w:styleId="List Paragraph">
    <w:name w:val="List Paragraph"/>
    <w:basedOn w:val="Normal"/>
    <w:pPr/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/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Strong">
    <w:name w:val="Strong"/>
    <w:basedOn w:val="Normal"/>
    <w:pPr/>
    <w:rPr>
      <w:b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Normal"/>
    <w:pPr/>
    <w:rPr>
      <w:sz w:val="56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character" w:styleId="footnote reference">
    <w:name w:val="footnote reference"/>
    <w:basedOn w:val="Normal"/>
    <w:pPr/>
    <w:rPr>
      <w:vertAlign w:val="superscript"/>
    </w:rPr>
  </w:style>
  <w:style w:type="paragraph" w:styleId="footnote text">
    <w:name w:val="footnote text"/>
    <w:basedOn w:val="Normal"/>
    <w:pPr>
      <w:spacing w:after="0"/>
      <w:spacing w:line="240" w:lineRule="auto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26" Type="http://schemas.openxmlformats.org/officeDocument/2006/relationships/hyperlink" Target="https://doi.org/10.5281/zenodo.19202691" TargetMode="External"/></Relationships>
</file>