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22222"/>
          <w:sz w:val="44"/>
        </w:rPr>
        <w:t>Technical Specification Document</w:t>
      </w:r>
    </w:p>
    <w:p>
      <w:pPr>
        <w:spacing w:before="0" w:after="280"/>
      </w:pPr>
      <w:r>
        <w:rPr>
          <w:rFonts w:ascii="Calibri" w:hAnsi="Calibri"/>
          <w:b w:val="0"/>
          <w:i w:val="0"/>
          <w:color w:val="5A5A5A"/>
          <w:sz w:val="24"/>
        </w:rPr>
        <w:t>Architecture and API design for the Test Case Generator backend</w:t>
      </w:r>
    </w:p>
    <w:tbl>
      <w:tblPr>
        <w:tblStyle w:val="TableGrid"/>
        <w:tblW w:type="auto" w:w="0"/>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680"/>
        <w:gridCol w:w="4680"/>
      </w:tblGrid>
      <w:tr>
        <w:tc>
          <w:tcPr>
            <w:tcW w:type="dxa" w:w="2304"/>
            <w:vAlign w:val="center"/>
            <w:shd w:fill="F2F4F7"/>
          </w:tcPr>
          <w:p>
            <w:pPr>
              <w:spacing w:after="0"/>
            </w:pPr>
            <w:r>
              <w:rPr>
                <w:rFonts w:ascii="Calibri" w:hAnsi="Calibri"/>
                <w:b/>
                <w:i w:val="0"/>
                <w:color w:val="222222"/>
                <w:sz w:val="21"/>
              </w:rPr>
              <w:t>System owner</w:t>
            </w:r>
          </w:p>
        </w:tc>
        <w:tc>
          <w:tcPr>
            <w:tcW w:type="dxa" w:w="7056"/>
            <w:vAlign w:val="center"/>
          </w:tcPr>
          <w:p>
            <w:pPr>
              <w:spacing w:after="0"/>
            </w:pPr>
            <w:r>
              <w:rPr>
                <w:rFonts w:ascii="Calibri" w:hAnsi="Calibri"/>
                <w:b w:val="0"/>
                <w:i w:val="0"/>
                <w:color w:val="222222"/>
                <w:sz w:val="21"/>
              </w:rPr>
              <w:t>Engineering</w:t>
            </w:r>
          </w:p>
        </w:tc>
      </w:tr>
      <w:tr>
        <w:tc>
          <w:tcPr>
            <w:tcW w:type="dxa" w:w="2304"/>
            <w:vAlign w:val="center"/>
            <w:shd w:fill="F2F4F7"/>
          </w:tcPr>
          <w:p>
            <w:pPr>
              <w:spacing w:after="0"/>
            </w:pPr>
            <w:r>
              <w:rPr>
                <w:rFonts w:ascii="Calibri" w:hAnsi="Calibri"/>
                <w:b/>
                <w:i w:val="0"/>
                <w:color w:val="222222"/>
                <w:sz w:val="21"/>
              </w:rPr>
              <w:t>Runtime stack</w:t>
            </w:r>
          </w:p>
        </w:tc>
        <w:tc>
          <w:tcPr>
            <w:tcW w:type="dxa" w:w="7056"/>
            <w:vAlign w:val="center"/>
          </w:tcPr>
          <w:p>
            <w:pPr>
              <w:spacing w:after="0"/>
            </w:pPr>
            <w:r>
              <w:rPr>
                <w:rFonts w:ascii="Calibri" w:hAnsi="Calibri"/>
                <w:b w:val="0"/>
                <w:i w:val="0"/>
                <w:color w:val="222222"/>
                <w:sz w:val="21"/>
              </w:rPr>
              <w:t>TypeScript, Express, Vite, Gemini API</w:t>
            </w:r>
          </w:p>
        </w:tc>
      </w:tr>
      <w:tr>
        <w:tc>
          <w:tcPr>
            <w:tcW w:type="dxa" w:w="2304"/>
            <w:vAlign w:val="center"/>
            <w:shd w:fill="F2F4F7"/>
          </w:tcPr>
          <w:p>
            <w:pPr>
              <w:spacing w:after="0"/>
            </w:pPr>
            <w:r>
              <w:rPr>
                <w:rFonts w:ascii="Calibri" w:hAnsi="Calibri"/>
                <w:b/>
                <w:i w:val="0"/>
                <w:color w:val="222222"/>
                <w:sz w:val="21"/>
              </w:rPr>
              <w:t>Document ingestion</w:t>
            </w:r>
          </w:p>
        </w:tc>
        <w:tc>
          <w:tcPr>
            <w:tcW w:type="dxa" w:w="7056"/>
            <w:vAlign w:val="center"/>
          </w:tcPr>
          <w:p>
            <w:pPr>
              <w:spacing w:after="0"/>
            </w:pPr>
            <w:r>
              <w:rPr>
                <w:rFonts w:ascii="Calibri" w:hAnsi="Calibri"/>
                <w:b w:val="0"/>
                <w:i w:val="0"/>
                <w:color w:val="222222"/>
                <w:sz w:val="21"/>
              </w:rPr>
              <w:t>Multer, pdf-parse, mammoth</w:t>
            </w:r>
          </w:p>
        </w:tc>
      </w:tr>
      <w:tr>
        <w:tc>
          <w:tcPr>
            <w:tcW w:type="dxa" w:w="2304"/>
            <w:vAlign w:val="center"/>
            <w:shd w:fill="F2F4F7"/>
          </w:tcPr>
          <w:p>
            <w:pPr>
              <w:spacing w:after="0"/>
            </w:pPr>
            <w:r>
              <w:rPr>
                <w:rFonts w:ascii="Calibri" w:hAnsi="Calibri"/>
                <w:b/>
                <w:i w:val="0"/>
                <w:color w:val="222222"/>
                <w:sz w:val="21"/>
              </w:rPr>
              <w:t>Delivery model</w:t>
            </w:r>
          </w:p>
        </w:tc>
        <w:tc>
          <w:tcPr>
            <w:tcW w:type="dxa" w:w="7056"/>
            <w:vAlign w:val="center"/>
          </w:tcPr>
          <w:p>
            <w:pPr>
              <w:spacing w:after="0"/>
            </w:pPr>
            <w:r>
              <w:rPr>
                <w:rFonts w:ascii="Calibri" w:hAnsi="Calibri"/>
                <w:b w:val="0"/>
                <w:i w:val="0"/>
                <w:color w:val="222222"/>
                <w:sz w:val="21"/>
              </w:rPr>
              <w:t>Single repo with frontend and backend running in parallel</w:t>
            </w:r>
          </w:p>
        </w:tc>
      </w:tr>
    </w:tbl>
    <w:p/>
    <w:p>
      <w:pPr>
        <w:pStyle w:val="Heading1"/>
      </w:pPr>
      <w:r>
        <w:t>1. Executive Summary</w:t>
      </w:r>
    </w:p>
    <w:p>
      <w:pPr>
        <w:spacing w:after="120" w:line="264" w:lineRule="auto"/>
      </w:pPr>
      <w:r>
        <w:rPr>
          <w:rFonts w:ascii="Calibri" w:hAnsi="Calibri"/>
          <w:b w:val="0"/>
          <w:i w:val="0"/>
          <w:color w:val="222222"/>
          <w:sz w:val="22"/>
        </w:rPr>
        <w:t>The Test Case Generator backend provides a document-ingestion and inference service that accepts one PRD plus multiple contextual knowledge-base files, extracts the underlying text, sends the combined context to Gemini, and returns structured QA output to the frontend.</w:t>
      </w:r>
    </w:p>
    <w:p>
      <w:pPr>
        <w:spacing w:after="120" w:line="264" w:lineRule="auto"/>
      </w:pPr>
      <w:r>
        <w:rPr>
          <w:rFonts w:ascii="Calibri" w:hAnsi="Calibri"/>
          <w:b w:val="0"/>
          <w:i w:val="0"/>
          <w:color w:val="222222"/>
          <w:sz w:val="22"/>
        </w:rPr>
        <w:t>The MVP is intentionally lightweight and stateless. It is implemented as an Express API in the same repository as the Vite frontend, with shared TypeScript types used to keep the request-response contract stable. The system focuses on three engineering responsibilities: reliable file upload handling, deterministic document parsing, and trustworthy structured LLM output validation.</w:t>
      </w:r>
    </w:p>
    <w:p>
      <w:pPr>
        <w:pStyle w:val="Heading1"/>
      </w:pPr>
      <w:r>
        <w:t>2. System Architechture</w:t>
      </w:r>
    </w:p>
    <w:p>
      <w:pPr>
        <w:spacing w:after="120" w:line="264" w:lineRule="auto"/>
      </w:pPr>
      <w:r>
        <w:rPr>
          <w:rFonts w:ascii="Calibri" w:hAnsi="Calibri"/>
          <w:b w:val="0"/>
          <w:i w:val="0"/>
          <w:color w:val="222222"/>
          <w:sz w:val="22"/>
        </w:rPr>
        <w:t>The system follows a browser-client to API-server to LLM-provider flow. The frontend handles user interaction and file selection, the backend handles document extraction and orchestration, and Gemini performs structured reasoning over the assembled context.</w:t>
      </w:r>
    </w:p>
    <w:p>
      <w:pPr>
        <w:pStyle w:val="ListNumber"/>
        <w:spacing w:after="80" w:line="276" w:lineRule="auto"/>
      </w:pPr>
      <w:r>
        <w:rPr>
          <w:rFonts w:ascii="Calibri" w:hAnsi="Calibri"/>
          <w:b w:val="0"/>
          <w:i w:val="0"/>
          <w:color w:val="222222"/>
          <w:sz w:val="22"/>
        </w:rPr>
        <w:t>User selects a PRD and optional knowledge-base files in the React frontend.</w:t>
      </w:r>
    </w:p>
    <w:p>
      <w:pPr>
        <w:pStyle w:val="ListNumber"/>
        <w:spacing w:after="80" w:line="276" w:lineRule="auto"/>
      </w:pPr>
      <w:r>
        <w:rPr>
          <w:rFonts w:ascii="Calibri" w:hAnsi="Calibri"/>
          <w:b w:val="0"/>
          <w:i w:val="0"/>
          <w:color w:val="222222"/>
          <w:sz w:val="22"/>
        </w:rPr>
        <w:t>Frontend constructs a multipart form request and submits it to POST /api/generate-test-cases.</w:t>
      </w:r>
    </w:p>
    <w:p>
      <w:pPr>
        <w:pStyle w:val="ListNumber"/>
        <w:spacing w:after="80" w:line="276" w:lineRule="auto"/>
      </w:pPr>
      <w:r>
        <w:rPr>
          <w:rFonts w:ascii="Calibri" w:hAnsi="Calibri"/>
          <w:b w:val="0"/>
          <w:i w:val="0"/>
          <w:color w:val="222222"/>
          <w:sz w:val="22"/>
        </w:rPr>
        <w:t>Express receives the request and Multer stores uploaded files in memory for immediate processing.</w:t>
      </w:r>
    </w:p>
    <w:p>
      <w:pPr>
        <w:pStyle w:val="ListNumber"/>
        <w:spacing w:after="80" w:line="276" w:lineRule="auto"/>
      </w:pPr>
      <w:r>
        <w:rPr>
          <w:rFonts w:ascii="Calibri" w:hAnsi="Calibri"/>
          <w:b w:val="0"/>
          <w:i w:val="0"/>
          <w:color w:val="222222"/>
          <w:sz w:val="22"/>
        </w:rPr>
        <w:t>Document parsing service detects file type and extracts text from PDF, DOCX, or text-like files.</w:t>
      </w:r>
    </w:p>
    <w:p>
      <w:pPr>
        <w:pStyle w:val="ListNumber"/>
        <w:spacing w:after="80" w:line="276" w:lineRule="auto"/>
      </w:pPr>
      <w:r>
        <w:rPr>
          <w:rFonts w:ascii="Calibri" w:hAnsi="Calibri"/>
          <w:b w:val="0"/>
          <w:i w:val="0"/>
          <w:color w:val="222222"/>
          <w:sz w:val="22"/>
        </w:rPr>
        <w:t>The generation service trims the extracted content to safe token-oriented limits and builds a prompt with the PRD as the primary context source.</w:t>
      </w:r>
    </w:p>
    <w:p>
      <w:pPr>
        <w:pStyle w:val="ListNumber"/>
        <w:spacing w:after="80" w:line="276" w:lineRule="auto"/>
      </w:pPr>
      <w:r>
        <w:rPr>
          <w:rFonts w:ascii="Calibri" w:hAnsi="Calibri"/>
          <w:b w:val="0"/>
          <w:i w:val="0"/>
          <w:color w:val="222222"/>
          <w:sz w:val="22"/>
        </w:rPr>
        <w:t>Gemini returns JSON constrained to the expected schema for summaries, risks, assumptions, test cases, and test steps.</w:t>
      </w:r>
    </w:p>
    <w:p>
      <w:pPr>
        <w:pStyle w:val="ListNumber"/>
        <w:spacing w:after="80" w:line="276" w:lineRule="auto"/>
      </w:pPr>
      <w:r>
        <w:rPr>
          <w:rFonts w:ascii="Calibri" w:hAnsi="Calibri"/>
          <w:b w:val="0"/>
          <w:i w:val="0"/>
          <w:color w:val="222222"/>
          <w:sz w:val="22"/>
        </w:rPr>
        <w:t>Backend validates the JSON with Zod and returns the resulting payload to the frontend.</w:t>
      </w:r>
    </w:p>
    <w:p>
      <w:pPr>
        <w:pStyle w:val="ListNumber"/>
        <w:spacing w:after="80" w:line="276" w:lineRule="auto"/>
      </w:pPr>
      <w:r>
        <w:rPr>
          <w:rFonts w:ascii="Calibri" w:hAnsi="Calibri"/>
          <w:b w:val="0"/>
          <w:i w:val="0"/>
          <w:color w:val="222222"/>
          <w:sz w:val="22"/>
        </w:rPr>
        <w:t>Frontend renders the structured output in the testcase explorer.</w:t>
      </w:r>
    </w:p>
    <w:tbl>
      <w:tblPr>
        <w:tblStyle w:val="TableGrid"/>
        <w:tblW w:type="auto" w:w="0"/>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1440"/>
            <w:shd w:fill="F2F4F7"/>
            <w:vAlign w:val="center"/>
          </w:tcPr>
          <w:p>
            <w:pPr>
              <w:spacing w:after="0"/>
            </w:pPr>
            <w:r>
              <w:rPr>
                <w:rFonts w:ascii="Calibri" w:hAnsi="Calibri"/>
                <w:b/>
                <w:i w:val="0"/>
                <w:color w:val="222222"/>
                <w:sz w:val="20"/>
              </w:rPr>
              <w:t>Layer</w:t>
            </w:r>
          </w:p>
        </w:tc>
        <w:tc>
          <w:tcPr>
            <w:tcW w:type="dxa" w:w="2880"/>
            <w:shd w:fill="F2F4F7"/>
            <w:vAlign w:val="center"/>
          </w:tcPr>
          <w:p>
            <w:pPr>
              <w:spacing w:after="0"/>
            </w:pPr>
            <w:r>
              <w:rPr>
                <w:rFonts w:ascii="Calibri" w:hAnsi="Calibri"/>
                <w:b/>
                <w:i w:val="0"/>
                <w:color w:val="222222"/>
                <w:sz w:val="20"/>
              </w:rPr>
              <w:t>Primary responsibility</w:t>
            </w:r>
          </w:p>
        </w:tc>
        <w:tc>
          <w:tcPr>
            <w:tcW w:type="dxa" w:w="5040"/>
            <w:shd w:fill="F2F4F7"/>
            <w:vAlign w:val="center"/>
          </w:tcPr>
          <w:p>
            <w:pPr>
              <w:spacing w:after="0"/>
            </w:pPr>
            <w:r>
              <w:rPr>
                <w:rFonts w:ascii="Calibri" w:hAnsi="Calibri"/>
                <w:b/>
                <w:i w:val="0"/>
                <w:color w:val="222222"/>
                <w:sz w:val="20"/>
              </w:rPr>
              <w:t>Implementation notes</w:t>
            </w:r>
          </w:p>
        </w:tc>
      </w:tr>
      <w:tr>
        <w:tc>
          <w:tcPr>
            <w:tcW w:type="dxa" w:w="1440"/>
            <w:vAlign w:val="center"/>
          </w:tcPr>
          <w:p>
            <w:pPr>
              <w:spacing w:after="0"/>
            </w:pPr>
            <w:r>
              <w:rPr>
                <w:rFonts w:ascii="Calibri" w:hAnsi="Calibri"/>
                <w:b w:val="0"/>
                <w:i w:val="0"/>
                <w:color w:val="222222"/>
                <w:sz w:val="19"/>
              </w:rPr>
              <w:t>Frontend</w:t>
            </w:r>
          </w:p>
        </w:tc>
        <w:tc>
          <w:tcPr>
            <w:tcW w:type="dxa" w:w="2880"/>
            <w:vAlign w:val="center"/>
          </w:tcPr>
          <w:p>
            <w:pPr>
              <w:spacing w:after="0"/>
            </w:pPr>
            <w:r>
              <w:rPr>
                <w:rFonts w:ascii="Calibri" w:hAnsi="Calibri"/>
                <w:b w:val="0"/>
                <w:i w:val="0"/>
                <w:color w:val="222222"/>
                <w:sz w:val="19"/>
              </w:rPr>
              <w:t>User interaction and display</w:t>
            </w:r>
          </w:p>
        </w:tc>
        <w:tc>
          <w:tcPr>
            <w:tcW w:type="dxa" w:w="5040"/>
            <w:vAlign w:val="center"/>
          </w:tcPr>
          <w:p>
            <w:pPr>
              <w:spacing w:after="0"/>
            </w:pPr>
            <w:r>
              <w:rPr>
                <w:rFonts w:ascii="Calibri" w:hAnsi="Calibri"/>
                <w:b w:val="0"/>
                <w:i w:val="0"/>
                <w:color w:val="222222"/>
                <w:sz w:val="19"/>
              </w:rPr>
              <w:t>React + Vite UI, uploads files, renders suite, handles loading and error states</w:t>
            </w:r>
          </w:p>
        </w:tc>
      </w:tr>
      <w:tr>
        <w:tc>
          <w:tcPr>
            <w:tcW w:type="dxa" w:w="1440"/>
            <w:vAlign w:val="center"/>
          </w:tcPr>
          <w:p>
            <w:pPr>
              <w:spacing w:after="0"/>
            </w:pPr>
            <w:r>
              <w:rPr>
                <w:rFonts w:ascii="Calibri" w:hAnsi="Calibri"/>
                <w:b w:val="0"/>
                <w:i w:val="0"/>
                <w:color w:val="222222"/>
                <w:sz w:val="19"/>
              </w:rPr>
              <w:t>API layer</w:t>
            </w:r>
          </w:p>
        </w:tc>
        <w:tc>
          <w:tcPr>
            <w:tcW w:type="dxa" w:w="2880"/>
            <w:vAlign w:val="center"/>
          </w:tcPr>
          <w:p>
            <w:pPr>
              <w:spacing w:after="0"/>
            </w:pPr>
            <w:r>
              <w:rPr>
                <w:rFonts w:ascii="Calibri" w:hAnsi="Calibri"/>
                <w:b w:val="0"/>
                <w:i w:val="0"/>
                <w:color w:val="222222"/>
                <w:sz w:val="19"/>
              </w:rPr>
              <w:t>Transport and validation</w:t>
            </w:r>
          </w:p>
        </w:tc>
        <w:tc>
          <w:tcPr>
            <w:tcW w:type="dxa" w:w="5040"/>
            <w:vAlign w:val="center"/>
          </w:tcPr>
          <w:p>
            <w:pPr>
              <w:spacing w:after="0"/>
            </w:pPr>
            <w:r>
              <w:rPr>
                <w:rFonts w:ascii="Calibri" w:hAnsi="Calibri"/>
                <w:b w:val="0"/>
                <w:i w:val="0"/>
                <w:color w:val="222222"/>
                <w:sz w:val="19"/>
              </w:rPr>
              <w:t>Express routes, CORS, JSON responses, health endpoint, multipart handling</w:t>
            </w:r>
          </w:p>
        </w:tc>
      </w:tr>
      <w:tr>
        <w:tc>
          <w:tcPr>
            <w:tcW w:type="dxa" w:w="1440"/>
            <w:vAlign w:val="center"/>
          </w:tcPr>
          <w:p>
            <w:pPr>
              <w:spacing w:after="0"/>
            </w:pPr>
            <w:r>
              <w:rPr>
                <w:rFonts w:ascii="Calibri" w:hAnsi="Calibri"/>
                <w:b w:val="0"/>
                <w:i w:val="0"/>
                <w:color w:val="222222"/>
                <w:sz w:val="19"/>
              </w:rPr>
              <w:t>Parsing layer</w:t>
            </w:r>
          </w:p>
        </w:tc>
        <w:tc>
          <w:tcPr>
            <w:tcW w:type="dxa" w:w="2880"/>
            <w:vAlign w:val="center"/>
          </w:tcPr>
          <w:p>
            <w:pPr>
              <w:spacing w:after="0"/>
            </w:pPr>
            <w:r>
              <w:rPr>
                <w:rFonts w:ascii="Calibri" w:hAnsi="Calibri"/>
                <w:b w:val="0"/>
                <w:i w:val="0"/>
                <w:color w:val="222222"/>
                <w:sz w:val="19"/>
              </w:rPr>
              <w:t>Document text extraction</w:t>
            </w:r>
          </w:p>
        </w:tc>
        <w:tc>
          <w:tcPr>
            <w:tcW w:type="dxa" w:w="5040"/>
            <w:vAlign w:val="center"/>
          </w:tcPr>
          <w:p>
            <w:pPr>
              <w:spacing w:after="0"/>
            </w:pPr>
            <w:r>
              <w:rPr>
                <w:rFonts w:ascii="Calibri" w:hAnsi="Calibri"/>
                <w:b w:val="0"/>
                <w:i w:val="0"/>
                <w:color w:val="222222"/>
                <w:sz w:val="19"/>
              </w:rPr>
              <w:t>pdf-parse for PDF, mammoth for DOCX, direct text extraction for TXT/MD/CSV/JSON/RTF</w:t>
            </w:r>
          </w:p>
        </w:tc>
      </w:tr>
      <w:tr>
        <w:tc>
          <w:tcPr>
            <w:tcW w:type="dxa" w:w="1440"/>
            <w:vAlign w:val="center"/>
          </w:tcPr>
          <w:p>
            <w:pPr>
              <w:spacing w:after="0"/>
            </w:pPr>
            <w:r>
              <w:rPr>
                <w:rFonts w:ascii="Calibri" w:hAnsi="Calibri"/>
                <w:b w:val="0"/>
                <w:i w:val="0"/>
                <w:color w:val="222222"/>
                <w:sz w:val="19"/>
              </w:rPr>
              <w:t>Inference layer</w:t>
            </w:r>
          </w:p>
        </w:tc>
        <w:tc>
          <w:tcPr>
            <w:tcW w:type="dxa" w:w="2880"/>
            <w:vAlign w:val="center"/>
          </w:tcPr>
          <w:p>
            <w:pPr>
              <w:spacing w:after="0"/>
            </w:pPr>
            <w:r>
              <w:rPr>
                <w:rFonts w:ascii="Calibri" w:hAnsi="Calibri"/>
                <w:b w:val="0"/>
                <w:i w:val="0"/>
                <w:color w:val="222222"/>
                <w:sz w:val="19"/>
              </w:rPr>
              <w:t>LLM orchestration</w:t>
            </w:r>
          </w:p>
        </w:tc>
        <w:tc>
          <w:tcPr>
            <w:tcW w:type="dxa" w:w="5040"/>
            <w:vAlign w:val="center"/>
          </w:tcPr>
          <w:p>
            <w:pPr>
              <w:spacing w:after="0"/>
            </w:pPr>
            <w:r>
              <w:rPr>
                <w:rFonts w:ascii="Calibri" w:hAnsi="Calibri"/>
                <w:b w:val="0"/>
                <w:i w:val="0"/>
                <w:color w:val="222222"/>
                <w:sz w:val="19"/>
              </w:rPr>
              <w:t>Gemini prompt assembly, structured output request, schema-constrained generation</w:t>
            </w:r>
          </w:p>
        </w:tc>
      </w:tr>
      <w:tr>
        <w:tc>
          <w:tcPr>
            <w:tcW w:type="dxa" w:w="1440"/>
            <w:vAlign w:val="center"/>
          </w:tcPr>
          <w:p>
            <w:pPr>
              <w:spacing w:after="0"/>
            </w:pPr>
            <w:r>
              <w:rPr>
                <w:rFonts w:ascii="Calibri" w:hAnsi="Calibri"/>
                <w:b w:val="0"/>
                <w:i w:val="0"/>
                <w:color w:val="222222"/>
                <w:sz w:val="19"/>
              </w:rPr>
              <w:t>Shared contract</w:t>
            </w:r>
          </w:p>
        </w:tc>
        <w:tc>
          <w:tcPr>
            <w:tcW w:type="dxa" w:w="2880"/>
            <w:vAlign w:val="center"/>
          </w:tcPr>
          <w:p>
            <w:pPr>
              <w:spacing w:after="0"/>
            </w:pPr>
            <w:r>
              <w:rPr>
                <w:rFonts w:ascii="Calibri" w:hAnsi="Calibri"/>
                <w:b w:val="0"/>
                <w:i w:val="0"/>
                <w:color w:val="222222"/>
                <w:sz w:val="19"/>
              </w:rPr>
              <w:t>Type safety across client and server</w:t>
            </w:r>
          </w:p>
        </w:tc>
        <w:tc>
          <w:tcPr>
            <w:tcW w:type="dxa" w:w="5040"/>
            <w:vAlign w:val="center"/>
          </w:tcPr>
          <w:p>
            <w:pPr>
              <w:spacing w:after="0"/>
            </w:pPr>
            <w:r>
              <w:rPr>
                <w:rFonts w:ascii="Calibri" w:hAnsi="Calibri"/>
                <w:b w:val="0"/>
                <w:i w:val="0"/>
                <w:color w:val="222222"/>
                <w:sz w:val="19"/>
              </w:rPr>
              <w:t>Shared GeneratedSuite types used on both frontend and backend</w:t>
            </w:r>
          </w:p>
        </w:tc>
      </w:tr>
    </w:tbl>
    <w:p/>
    <w:p>
      <w:pPr>
        <w:pStyle w:val="Heading1"/>
      </w:pPr>
      <w:r>
        <w:t>3. Data Model</w:t>
      </w:r>
    </w:p>
    <w:p>
      <w:pPr>
        <w:spacing w:after="120" w:line="264" w:lineRule="auto"/>
      </w:pPr>
      <w:r>
        <w:rPr>
          <w:rFonts w:ascii="Calibri" w:hAnsi="Calibri"/>
          <w:b w:val="0"/>
          <w:i w:val="0"/>
          <w:color w:val="222222"/>
          <w:sz w:val="22"/>
        </w:rPr>
        <w:t>The live MVP does not yet persist runs, but the following data model should be used when the system graduates from transient processing to durable storage. The model separates uploaded source context, generation attempts, and the generated artifacts themselves.</w:t>
      </w:r>
    </w:p>
    <w:tbl>
      <w:tblPr>
        <w:tblStyle w:val="TableGrid"/>
        <w:tblW w:type="auto" w:w="0"/>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680"/>
        <w:gridCol w:w="4680"/>
      </w:tblGrid>
      <w:tr>
        <w:trPr>
          <w:tblHeader w:val="true"/>
        </w:trPr>
        <w:tc>
          <w:tcPr>
            <w:tcW w:type="dxa" w:w="2015"/>
            <w:shd w:fill="F2F4F7"/>
            <w:vAlign w:val="center"/>
          </w:tcPr>
          <w:p>
            <w:pPr>
              <w:spacing w:after="0"/>
            </w:pPr>
            <w:r>
              <w:rPr>
                <w:rFonts w:ascii="Calibri" w:hAnsi="Calibri"/>
                <w:b/>
                <w:i w:val="0"/>
                <w:color w:val="222222"/>
                <w:sz w:val="20"/>
              </w:rPr>
              <w:t>Table</w:t>
            </w:r>
          </w:p>
        </w:tc>
        <w:tc>
          <w:tcPr>
            <w:tcW w:type="dxa" w:w="7343"/>
            <w:shd w:fill="F2F4F7"/>
            <w:vAlign w:val="center"/>
          </w:tcPr>
          <w:p>
            <w:pPr>
              <w:spacing w:after="0"/>
            </w:pPr>
            <w:r>
              <w:rPr>
                <w:rFonts w:ascii="Calibri" w:hAnsi="Calibri"/>
                <w:b/>
                <w:i w:val="0"/>
                <w:color w:val="222222"/>
                <w:sz w:val="20"/>
              </w:rPr>
              <w:t>Description</w:t>
            </w:r>
          </w:p>
        </w:tc>
      </w:tr>
      <w:tr>
        <w:tc>
          <w:tcPr>
            <w:tcW w:type="dxa" w:w="2015"/>
            <w:vAlign w:val="center"/>
          </w:tcPr>
          <w:p>
            <w:pPr>
              <w:spacing w:after="0"/>
            </w:pPr>
            <w:r>
              <w:rPr>
                <w:rFonts w:ascii="Calibri" w:hAnsi="Calibri"/>
                <w:b w:val="0"/>
                <w:i w:val="0"/>
                <w:color w:val="222222"/>
                <w:sz w:val="19"/>
              </w:rPr>
              <w:t>features</w:t>
            </w:r>
          </w:p>
        </w:tc>
        <w:tc>
          <w:tcPr>
            <w:tcW w:type="dxa" w:w="7343"/>
            <w:vAlign w:val="center"/>
          </w:tcPr>
          <w:p>
            <w:pPr>
              <w:spacing w:after="0"/>
            </w:pPr>
            <w:r>
              <w:rPr>
                <w:rFonts w:ascii="Calibri" w:hAnsi="Calibri"/>
                <w:b w:val="0"/>
                <w:i w:val="0"/>
                <w:color w:val="222222"/>
                <w:sz w:val="19"/>
              </w:rPr>
              <w:t>Root feature workspace created from an uploaded PRD and optional supporting knowledge base.</w:t>
            </w:r>
          </w:p>
        </w:tc>
      </w:tr>
      <w:tr>
        <w:tc>
          <w:tcPr>
            <w:tcW w:type="dxa" w:w="2015"/>
            <w:vAlign w:val="center"/>
          </w:tcPr>
          <w:p>
            <w:pPr>
              <w:spacing w:after="0"/>
            </w:pPr>
            <w:r>
              <w:rPr>
                <w:rFonts w:ascii="Calibri" w:hAnsi="Calibri"/>
                <w:b w:val="0"/>
                <w:i w:val="0"/>
                <w:color w:val="222222"/>
                <w:sz w:val="19"/>
              </w:rPr>
              <w:t>documents</w:t>
            </w:r>
          </w:p>
        </w:tc>
        <w:tc>
          <w:tcPr>
            <w:tcW w:type="dxa" w:w="7343"/>
            <w:vAlign w:val="center"/>
          </w:tcPr>
          <w:p>
            <w:pPr>
              <w:spacing w:after="0"/>
            </w:pPr>
            <w:r>
              <w:rPr>
                <w:rFonts w:ascii="Calibri" w:hAnsi="Calibri"/>
                <w:b w:val="0"/>
                <w:i w:val="0"/>
                <w:color w:val="222222"/>
                <w:sz w:val="19"/>
              </w:rPr>
              <w:t>Stores metadata, extracted text, and storage pointers for PRD and supporting documents.</w:t>
            </w:r>
          </w:p>
        </w:tc>
      </w:tr>
      <w:tr>
        <w:tc>
          <w:tcPr>
            <w:tcW w:type="dxa" w:w="2015"/>
            <w:vAlign w:val="center"/>
          </w:tcPr>
          <w:p>
            <w:pPr>
              <w:spacing w:after="0"/>
            </w:pPr>
            <w:r>
              <w:rPr>
                <w:rFonts w:ascii="Calibri" w:hAnsi="Calibri"/>
                <w:b w:val="0"/>
                <w:i w:val="0"/>
                <w:color w:val="222222"/>
                <w:sz w:val="19"/>
              </w:rPr>
              <w:t>generation_runs</w:t>
            </w:r>
          </w:p>
        </w:tc>
        <w:tc>
          <w:tcPr>
            <w:tcW w:type="dxa" w:w="7343"/>
            <w:vAlign w:val="center"/>
          </w:tcPr>
          <w:p>
            <w:pPr>
              <w:spacing w:after="0"/>
            </w:pPr>
            <w:r>
              <w:rPr>
                <w:rFonts w:ascii="Calibri" w:hAnsi="Calibri"/>
                <w:b w:val="0"/>
                <w:i w:val="0"/>
                <w:color w:val="222222"/>
                <w:sz w:val="19"/>
              </w:rPr>
              <w:t>Tracks each attempt to generate a test suite, including model and status metadata.</w:t>
            </w:r>
          </w:p>
        </w:tc>
      </w:tr>
      <w:tr>
        <w:tc>
          <w:tcPr>
            <w:tcW w:type="dxa" w:w="2015"/>
            <w:vAlign w:val="center"/>
          </w:tcPr>
          <w:p>
            <w:pPr>
              <w:spacing w:after="0"/>
            </w:pPr>
            <w:r>
              <w:rPr>
                <w:rFonts w:ascii="Calibri" w:hAnsi="Calibri"/>
                <w:b w:val="0"/>
                <w:i w:val="0"/>
                <w:color w:val="222222"/>
                <w:sz w:val="19"/>
              </w:rPr>
              <w:t>generated_test_cases</w:t>
            </w:r>
          </w:p>
        </w:tc>
        <w:tc>
          <w:tcPr>
            <w:tcW w:type="dxa" w:w="7343"/>
            <w:vAlign w:val="center"/>
          </w:tcPr>
          <w:p>
            <w:pPr>
              <w:spacing w:after="0"/>
            </w:pPr>
            <w:r>
              <w:rPr>
                <w:rFonts w:ascii="Calibri" w:hAnsi="Calibri"/>
                <w:b w:val="0"/>
                <w:i w:val="0"/>
                <w:color w:val="222222"/>
                <w:sz w:val="19"/>
              </w:rPr>
              <w:t>Persists testcase-level results for a given generation run.</w:t>
            </w:r>
          </w:p>
        </w:tc>
      </w:tr>
      <w:tr>
        <w:tc>
          <w:tcPr>
            <w:tcW w:type="dxa" w:w="2015"/>
            <w:vAlign w:val="center"/>
          </w:tcPr>
          <w:p>
            <w:pPr>
              <w:spacing w:after="0"/>
            </w:pPr>
            <w:r>
              <w:rPr>
                <w:rFonts w:ascii="Calibri" w:hAnsi="Calibri"/>
                <w:b w:val="0"/>
                <w:i w:val="0"/>
                <w:color w:val="222222"/>
                <w:sz w:val="19"/>
              </w:rPr>
              <w:t>generated_test_steps</w:t>
            </w:r>
          </w:p>
        </w:tc>
        <w:tc>
          <w:tcPr>
            <w:tcW w:type="dxa" w:w="7343"/>
            <w:vAlign w:val="center"/>
          </w:tcPr>
          <w:p>
            <w:pPr>
              <w:spacing w:after="0"/>
            </w:pPr>
            <w:r>
              <w:rPr>
                <w:rFonts w:ascii="Calibri" w:hAnsi="Calibri"/>
                <w:b w:val="0"/>
                <w:i w:val="0"/>
                <w:color w:val="222222"/>
                <w:sz w:val="19"/>
              </w:rPr>
              <w:t>Stores ordered steps associated with one generated test case.</w:t>
            </w:r>
          </w:p>
        </w:tc>
      </w:tr>
    </w:tbl>
    <w:p/>
    <w:p>
      <w:pPr>
        <w:pStyle w:val="ListBullet"/>
        <w:spacing w:after="80" w:line="276" w:lineRule="auto"/>
      </w:pPr>
      <w:r>
        <w:rPr>
          <w:rFonts w:ascii="Calibri" w:hAnsi="Calibri"/>
          <w:b w:val="0"/>
          <w:i w:val="0"/>
          <w:color w:val="222222"/>
          <w:sz w:val="22"/>
        </w:rPr>
        <w:t>A feature can have many documents and many generation runs.</w:t>
      </w:r>
    </w:p>
    <w:p>
      <w:pPr>
        <w:pStyle w:val="ListBullet"/>
        <w:spacing w:after="80" w:line="276" w:lineRule="auto"/>
      </w:pPr>
      <w:r>
        <w:rPr>
          <w:rFonts w:ascii="Calibri" w:hAnsi="Calibri"/>
          <w:b w:val="0"/>
          <w:i w:val="0"/>
          <w:color w:val="222222"/>
          <w:sz w:val="22"/>
        </w:rPr>
        <w:t>A generation run belongs to one feature and produces many test cases.</w:t>
      </w:r>
    </w:p>
    <w:p>
      <w:pPr>
        <w:pStyle w:val="ListBullet"/>
        <w:spacing w:after="80" w:line="276" w:lineRule="auto"/>
      </w:pPr>
      <w:r>
        <w:rPr>
          <w:rFonts w:ascii="Calibri" w:hAnsi="Calibri"/>
          <w:b w:val="0"/>
          <w:i w:val="0"/>
          <w:color w:val="222222"/>
          <w:sz w:val="22"/>
        </w:rPr>
        <w:t>A generated test case belongs to one generation run and has many ordered test steps.</w:t>
      </w:r>
    </w:p>
    <w:p>
      <w:pPr>
        <w:pStyle w:val="ListBullet"/>
        <w:spacing w:after="80" w:line="276" w:lineRule="auto"/>
      </w:pPr>
      <w:r>
        <w:rPr>
          <w:rFonts w:ascii="Calibri" w:hAnsi="Calibri"/>
          <w:b w:val="0"/>
          <w:i w:val="0"/>
          <w:color w:val="222222"/>
          <w:sz w:val="22"/>
        </w:rPr>
        <w:t>Documents should be tagged by type so the PRD remains distinguishable from supporting knowledge-base content during audits and reruns.</w:t>
      </w:r>
    </w:p>
    <w:tbl>
      <w:tblPr>
        <w:tblStyle w:val="TableGrid"/>
        <w:tblW w:type="auto" w:w="0"/>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1728"/>
            <w:shd w:fill="F2F4F7"/>
            <w:vAlign w:val="center"/>
          </w:tcPr>
          <w:p>
            <w:pPr>
              <w:spacing w:after="0"/>
            </w:pPr>
            <w:r>
              <w:rPr>
                <w:rFonts w:ascii="Calibri" w:hAnsi="Calibri"/>
                <w:b/>
                <w:i w:val="0"/>
                <w:color w:val="222222"/>
                <w:sz w:val="20"/>
              </w:rPr>
              <w:t>Entity</w:t>
            </w:r>
          </w:p>
        </w:tc>
        <w:tc>
          <w:tcPr>
            <w:tcW w:type="dxa" w:w="3456"/>
            <w:shd w:fill="F2F4F7"/>
            <w:vAlign w:val="center"/>
          </w:tcPr>
          <w:p>
            <w:pPr>
              <w:spacing w:after="0"/>
            </w:pPr>
            <w:r>
              <w:rPr>
                <w:rFonts w:ascii="Calibri" w:hAnsi="Calibri"/>
                <w:b/>
                <w:i w:val="0"/>
                <w:color w:val="222222"/>
                <w:sz w:val="20"/>
              </w:rPr>
              <w:t>Key fields</w:t>
            </w:r>
          </w:p>
        </w:tc>
        <w:tc>
          <w:tcPr>
            <w:tcW w:type="dxa" w:w="4176"/>
            <w:shd w:fill="F2F4F7"/>
            <w:vAlign w:val="center"/>
          </w:tcPr>
          <w:p>
            <w:pPr>
              <w:spacing w:after="0"/>
            </w:pPr>
            <w:r>
              <w:rPr>
                <w:rFonts w:ascii="Calibri" w:hAnsi="Calibri"/>
                <w:b/>
                <w:i w:val="0"/>
                <w:color w:val="222222"/>
                <w:sz w:val="20"/>
              </w:rPr>
              <w:t>Notes</w:t>
            </w:r>
          </w:p>
        </w:tc>
      </w:tr>
      <w:tr>
        <w:tc>
          <w:tcPr>
            <w:tcW w:type="dxa" w:w="1728"/>
            <w:vAlign w:val="center"/>
          </w:tcPr>
          <w:p>
            <w:pPr>
              <w:spacing w:after="0"/>
            </w:pPr>
            <w:r>
              <w:rPr>
                <w:rFonts w:ascii="Calibri" w:hAnsi="Calibri"/>
                <w:b w:val="0"/>
                <w:i w:val="0"/>
                <w:color w:val="222222"/>
                <w:sz w:val="19"/>
              </w:rPr>
              <w:t>features</w:t>
            </w:r>
          </w:p>
        </w:tc>
        <w:tc>
          <w:tcPr>
            <w:tcW w:type="dxa" w:w="3456"/>
            <w:vAlign w:val="center"/>
          </w:tcPr>
          <w:p>
            <w:pPr>
              <w:spacing w:after="0"/>
            </w:pPr>
            <w:r>
              <w:rPr>
                <w:rFonts w:ascii="Calibri" w:hAnsi="Calibri"/>
                <w:b w:val="0"/>
                <w:i w:val="0"/>
                <w:color w:val="222222"/>
                <w:sz w:val="19"/>
              </w:rPr>
              <w:t>id, title, status, created_at, updated_at</w:t>
            </w:r>
          </w:p>
        </w:tc>
        <w:tc>
          <w:tcPr>
            <w:tcW w:type="dxa" w:w="4176"/>
            <w:vAlign w:val="center"/>
          </w:tcPr>
          <w:p>
            <w:pPr>
              <w:spacing w:after="0"/>
            </w:pPr>
            <w:r>
              <w:rPr>
                <w:rFonts w:ascii="Calibri" w:hAnsi="Calibri"/>
                <w:b w:val="0"/>
                <w:i w:val="0"/>
                <w:color w:val="222222"/>
                <w:sz w:val="19"/>
              </w:rPr>
              <w:t>Used to group all analysis activity for one feature scope.</w:t>
            </w:r>
          </w:p>
        </w:tc>
      </w:tr>
      <w:tr>
        <w:tc>
          <w:tcPr>
            <w:tcW w:type="dxa" w:w="1728"/>
            <w:vAlign w:val="center"/>
          </w:tcPr>
          <w:p>
            <w:pPr>
              <w:spacing w:after="0"/>
            </w:pPr>
            <w:r>
              <w:rPr>
                <w:rFonts w:ascii="Calibri" w:hAnsi="Calibri"/>
                <w:b w:val="0"/>
                <w:i w:val="0"/>
                <w:color w:val="222222"/>
                <w:sz w:val="19"/>
              </w:rPr>
              <w:t>documents</w:t>
            </w:r>
          </w:p>
        </w:tc>
        <w:tc>
          <w:tcPr>
            <w:tcW w:type="dxa" w:w="3456"/>
            <w:vAlign w:val="center"/>
          </w:tcPr>
          <w:p>
            <w:pPr>
              <w:spacing w:after="0"/>
            </w:pPr>
            <w:r>
              <w:rPr>
                <w:rFonts w:ascii="Calibri" w:hAnsi="Calibri"/>
                <w:b w:val="0"/>
                <w:i w:val="0"/>
                <w:color w:val="222222"/>
                <w:sz w:val="19"/>
              </w:rPr>
              <w:t>id, feature_id, document_type, original_filename, mime_type, extracted_text, parse_status</w:t>
            </w:r>
          </w:p>
        </w:tc>
        <w:tc>
          <w:tcPr>
            <w:tcW w:type="dxa" w:w="4176"/>
            <w:vAlign w:val="center"/>
          </w:tcPr>
          <w:p>
            <w:pPr>
              <w:spacing w:after="0"/>
            </w:pPr>
            <w:r>
              <w:rPr>
                <w:rFonts w:ascii="Calibri" w:hAnsi="Calibri"/>
                <w:b w:val="0"/>
                <w:i w:val="0"/>
                <w:color w:val="222222"/>
                <w:sz w:val="19"/>
              </w:rPr>
              <w:t>Stores both upload metadata and parser results.</w:t>
            </w:r>
          </w:p>
        </w:tc>
      </w:tr>
      <w:tr>
        <w:tc>
          <w:tcPr>
            <w:tcW w:type="dxa" w:w="1728"/>
            <w:vAlign w:val="center"/>
          </w:tcPr>
          <w:p>
            <w:pPr>
              <w:spacing w:after="0"/>
            </w:pPr>
            <w:r>
              <w:rPr>
                <w:rFonts w:ascii="Calibri" w:hAnsi="Calibri"/>
                <w:b w:val="0"/>
                <w:i w:val="0"/>
                <w:color w:val="222222"/>
                <w:sz w:val="19"/>
              </w:rPr>
              <w:t>generation_runs</w:t>
            </w:r>
          </w:p>
        </w:tc>
        <w:tc>
          <w:tcPr>
            <w:tcW w:type="dxa" w:w="3456"/>
            <w:vAlign w:val="center"/>
          </w:tcPr>
          <w:p>
            <w:pPr>
              <w:spacing w:after="0"/>
            </w:pPr>
            <w:r>
              <w:rPr>
                <w:rFonts w:ascii="Calibri" w:hAnsi="Calibri"/>
                <w:b w:val="0"/>
                <w:i w:val="0"/>
                <w:color w:val="222222"/>
                <w:sz w:val="19"/>
              </w:rPr>
              <w:t>id, feature_id, model_name, prompt_version, status, summary, risks_json, assumptions_json</w:t>
            </w:r>
          </w:p>
        </w:tc>
        <w:tc>
          <w:tcPr>
            <w:tcW w:type="dxa" w:w="4176"/>
            <w:vAlign w:val="center"/>
          </w:tcPr>
          <w:p>
            <w:pPr>
              <w:spacing w:after="0"/>
            </w:pPr>
            <w:r>
              <w:rPr>
                <w:rFonts w:ascii="Calibri" w:hAnsi="Calibri"/>
                <w:b w:val="0"/>
                <w:i w:val="0"/>
                <w:color w:val="222222"/>
                <w:sz w:val="19"/>
              </w:rPr>
              <w:t>Supports observability and re-run traceability.</w:t>
            </w:r>
          </w:p>
        </w:tc>
      </w:tr>
      <w:tr>
        <w:tc>
          <w:tcPr>
            <w:tcW w:type="dxa" w:w="1728"/>
            <w:vAlign w:val="center"/>
          </w:tcPr>
          <w:p>
            <w:pPr>
              <w:spacing w:after="0"/>
            </w:pPr>
            <w:r>
              <w:rPr>
                <w:rFonts w:ascii="Calibri" w:hAnsi="Calibri"/>
                <w:b w:val="0"/>
                <w:i w:val="0"/>
                <w:color w:val="222222"/>
                <w:sz w:val="19"/>
              </w:rPr>
              <w:t>generated_test_cases</w:t>
            </w:r>
          </w:p>
        </w:tc>
        <w:tc>
          <w:tcPr>
            <w:tcW w:type="dxa" w:w="3456"/>
            <w:vAlign w:val="center"/>
          </w:tcPr>
          <w:p>
            <w:pPr>
              <w:spacing w:after="0"/>
            </w:pPr>
            <w:r>
              <w:rPr>
                <w:rFonts w:ascii="Calibri" w:hAnsi="Calibri"/>
                <w:b w:val="0"/>
                <w:i w:val="0"/>
                <w:color w:val="222222"/>
                <w:sz w:val="19"/>
              </w:rPr>
              <w:t>id, generation_run_id, title, criticality, rationale, coverage_area</w:t>
            </w:r>
          </w:p>
        </w:tc>
        <w:tc>
          <w:tcPr>
            <w:tcW w:type="dxa" w:w="4176"/>
            <w:vAlign w:val="center"/>
          </w:tcPr>
          <w:p>
            <w:pPr>
              <w:spacing w:after="0"/>
            </w:pPr>
            <w:r>
              <w:rPr>
                <w:rFonts w:ascii="Calibri" w:hAnsi="Calibri"/>
                <w:b w:val="0"/>
                <w:i w:val="0"/>
                <w:color w:val="222222"/>
                <w:sz w:val="19"/>
              </w:rPr>
              <w:t>One row per surfaced QA scenario.</w:t>
            </w:r>
          </w:p>
        </w:tc>
      </w:tr>
      <w:tr>
        <w:tc>
          <w:tcPr>
            <w:tcW w:type="dxa" w:w="1728"/>
            <w:vAlign w:val="center"/>
          </w:tcPr>
          <w:p>
            <w:pPr>
              <w:spacing w:after="0"/>
            </w:pPr>
            <w:r>
              <w:rPr>
                <w:rFonts w:ascii="Calibri" w:hAnsi="Calibri"/>
                <w:b w:val="0"/>
                <w:i w:val="0"/>
                <w:color w:val="222222"/>
                <w:sz w:val="19"/>
              </w:rPr>
              <w:t>generated_test_steps</w:t>
            </w:r>
          </w:p>
        </w:tc>
        <w:tc>
          <w:tcPr>
            <w:tcW w:type="dxa" w:w="3456"/>
            <w:vAlign w:val="center"/>
          </w:tcPr>
          <w:p>
            <w:pPr>
              <w:spacing w:after="0"/>
            </w:pPr>
            <w:r>
              <w:rPr>
                <w:rFonts w:ascii="Calibri" w:hAnsi="Calibri"/>
                <w:b w:val="0"/>
                <w:i w:val="0"/>
                <w:color w:val="222222"/>
                <w:sz w:val="19"/>
              </w:rPr>
              <w:t>id, generated_test_case_id, step_order, instruction_text</w:t>
            </w:r>
          </w:p>
        </w:tc>
        <w:tc>
          <w:tcPr>
            <w:tcW w:type="dxa" w:w="4176"/>
            <w:vAlign w:val="center"/>
          </w:tcPr>
          <w:p>
            <w:pPr>
              <w:spacing w:after="0"/>
            </w:pPr>
            <w:r>
              <w:rPr>
                <w:rFonts w:ascii="Calibri" w:hAnsi="Calibri"/>
                <w:b w:val="0"/>
                <w:i w:val="0"/>
                <w:color w:val="222222"/>
                <w:sz w:val="19"/>
              </w:rPr>
              <w:t>One row per expandable execution step.</w:t>
            </w:r>
          </w:p>
        </w:tc>
      </w:tr>
    </w:tbl>
    <w:p/>
    <w:p>
      <w:pPr>
        <w:pStyle w:val="Heading1"/>
      </w:pPr>
      <w:r>
        <w:t>4. Backend API specifications (if any)</w:t>
      </w:r>
    </w:p>
    <w:p>
      <w:pPr>
        <w:pStyle w:val="Heading2"/>
      </w:pPr>
      <w:r>
        <w:t>GET /api/health</w:t>
      </w:r>
    </w:p>
    <w:p>
      <w:pPr>
        <w:pStyle w:val="ListBullet"/>
        <w:spacing w:after="80" w:line="276" w:lineRule="auto"/>
      </w:pPr>
      <w:r>
        <w:rPr>
          <w:rFonts w:ascii="Calibri" w:hAnsi="Calibri"/>
          <w:b w:val="0"/>
          <w:i w:val="0"/>
          <w:color w:val="222222"/>
          <w:sz w:val="22"/>
        </w:rPr>
        <w:t>Purpose: lightweight uptime and readiness check for the API service.</w:t>
      </w:r>
    </w:p>
    <w:p>
      <w:pPr>
        <w:pStyle w:val="ListBullet"/>
        <w:spacing w:after="80" w:line="276" w:lineRule="auto"/>
      </w:pPr>
      <w:r>
        <w:rPr>
          <w:rFonts w:ascii="Calibri" w:hAnsi="Calibri"/>
          <w:b w:val="0"/>
          <w:i w:val="0"/>
          <w:color w:val="222222"/>
          <w:sz w:val="22"/>
        </w:rPr>
        <w:t>Request body: none.</w:t>
      </w:r>
    </w:p>
    <w:p>
      <w:pPr>
        <w:pStyle w:val="ListBullet"/>
        <w:spacing w:after="80" w:line="276" w:lineRule="auto"/>
      </w:pPr>
      <w:r>
        <w:rPr>
          <w:rFonts w:ascii="Calibri" w:hAnsi="Calibri"/>
          <w:b w:val="0"/>
          <w:i w:val="0"/>
          <w:color w:val="222222"/>
          <w:sz w:val="22"/>
        </w:rPr>
        <w:t>Success response: `200 OK` with payload `{ "status": "ok" }`.</w:t>
      </w:r>
    </w:p>
    <w:p>
      <w:pPr>
        <w:pStyle w:val="Heading2"/>
      </w:pPr>
      <w:r>
        <w:t>POST /api/generate-test-cases</w:t>
      </w:r>
    </w:p>
    <w:p>
      <w:pPr>
        <w:spacing w:after="120" w:line="264" w:lineRule="auto"/>
      </w:pPr>
      <w:r>
        <w:rPr>
          <w:rFonts w:ascii="Calibri" w:hAnsi="Calibri"/>
          <w:b w:val="0"/>
          <w:i w:val="0"/>
          <w:color w:val="222222"/>
          <w:sz w:val="22"/>
        </w:rPr>
        <w:t>This is the primary application endpoint. It accepts uploaded source documents, performs extraction and LLM orchestration, and returns a fully structured testcase suite.</w:t>
      </w:r>
    </w:p>
    <w:tbl>
      <w:tblPr>
        <w:tblStyle w:val="TableGrid"/>
        <w:tblW w:type="auto" w:w="0"/>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680"/>
        <w:gridCol w:w="4680"/>
      </w:tblGrid>
      <w:tr>
        <w:trPr>
          <w:tblHeader w:val="true"/>
        </w:trPr>
        <w:tc>
          <w:tcPr>
            <w:tcW w:type="dxa" w:w="2592"/>
            <w:shd w:fill="F2F4F7"/>
            <w:vAlign w:val="center"/>
          </w:tcPr>
          <w:p>
            <w:pPr>
              <w:spacing w:after="0"/>
            </w:pPr>
            <w:r>
              <w:rPr>
                <w:rFonts w:ascii="Calibri" w:hAnsi="Calibri"/>
                <w:b/>
                <w:i w:val="0"/>
                <w:color w:val="222222"/>
                <w:sz w:val="20"/>
              </w:rPr>
              <w:t>Aspect</w:t>
            </w:r>
          </w:p>
        </w:tc>
        <w:tc>
          <w:tcPr>
            <w:tcW w:type="dxa" w:w="6768"/>
            <w:shd w:fill="F2F4F7"/>
            <w:vAlign w:val="center"/>
          </w:tcPr>
          <w:p>
            <w:pPr>
              <w:spacing w:after="0"/>
            </w:pPr>
            <w:r>
              <w:rPr>
                <w:rFonts w:ascii="Calibri" w:hAnsi="Calibri"/>
                <w:b/>
                <w:i w:val="0"/>
                <w:color w:val="222222"/>
                <w:sz w:val="20"/>
              </w:rPr>
              <w:t>Specification</w:t>
            </w:r>
          </w:p>
        </w:tc>
      </w:tr>
      <w:tr>
        <w:tc>
          <w:tcPr>
            <w:tcW w:type="dxa" w:w="2592"/>
            <w:vAlign w:val="center"/>
          </w:tcPr>
          <w:p>
            <w:pPr>
              <w:spacing w:after="0"/>
            </w:pPr>
            <w:r>
              <w:rPr>
                <w:rFonts w:ascii="Calibri" w:hAnsi="Calibri"/>
                <w:b w:val="0"/>
                <w:i w:val="0"/>
                <w:color w:val="222222"/>
                <w:sz w:val="19"/>
              </w:rPr>
              <w:t>Method</w:t>
            </w:r>
          </w:p>
        </w:tc>
        <w:tc>
          <w:tcPr>
            <w:tcW w:type="dxa" w:w="6768"/>
            <w:vAlign w:val="center"/>
          </w:tcPr>
          <w:p>
            <w:pPr>
              <w:spacing w:after="0"/>
            </w:pPr>
            <w:r>
              <w:rPr>
                <w:rFonts w:ascii="Calibri" w:hAnsi="Calibri"/>
                <w:b w:val="0"/>
                <w:i w:val="0"/>
                <w:color w:val="222222"/>
                <w:sz w:val="19"/>
              </w:rPr>
              <w:t>POST</w:t>
            </w:r>
          </w:p>
        </w:tc>
      </w:tr>
      <w:tr>
        <w:tc>
          <w:tcPr>
            <w:tcW w:type="dxa" w:w="2592"/>
            <w:vAlign w:val="center"/>
          </w:tcPr>
          <w:p>
            <w:pPr>
              <w:spacing w:after="0"/>
            </w:pPr>
            <w:r>
              <w:rPr>
                <w:rFonts w:ascii="Calibri" w:hAnsi="Calibri"/>
                <w:b w:val="0"/>
                <w:i w:val="0"/>
                <w:color w:val="222222"/>
                <w:sz w:val="19"/>
              </w:rPr>
              <w:t>Path</w:t>
            </w:r>
          </w:p>
        </w:tc>
        <w:tc>
          <w:tcPr>
            <w:tcW w:type="dxa" w:w="6768"/>
            <w:vAlign w:val="center"/>
          </w:tcPr>
          <w:p>
            <w:pPr>
              <w:spacing w:after="0"/>
            </w:pPr>
            <w:r>
              <w:rPr>
                <w:rFonts w:ascii="Calibri" w:hAnsi="Calibri"/>
                <w:b w:val="0"/>
                <w:i w:val="0"/>
                <w:color w:val="222222"/>
                <w:sz w:val="19"/>
              </w:rPr>
              <w:t>/api/generate-test-cases</w:t>
            </w:r>
          </w:p>
        </w:tc>
      </w:tr>
      <w:tr>
        <w:tc>
          <w:tcPr>
            <w:tcW w:type="dxa" w:w="2592"/>
            <w:vAlign w:val="center"/>
          </w:tcPr>
          <w:p>
            <w:pPr>
              <w:spacing w:after="0"/>
            </w:pPr>
            <w:r>
              <w:rPr>
                <w:rFonts w:ascii="Calibri" w:hAnsi="Calibri"/>
                <w:b w:val="0"/>
                <w:i w:val="0"/>
                <w:color w:val="222222"/>
                <w:sz w:val="19"/>
              </w:rPr>
              <w:t>Content type</w:t>
            </w:r>
          </w:p>
        </w:tc>
        <w:tc>
          <w:tcPr>
            <w:tcW w:type="dxa" w:w="6768"/>
            <w:vAlign w:val="center"/>
          </w:tcPr>
          <w:p>
            <w:pPr>
              <w:spacing w:after="0"/>
            </w:pPr>
            <w:r>
              <w:rPr>
                <w:rFonts w:ascii="Calibri" w:hAnsi="Calibri"/>
                <w:b w:val="0"/>
                <w:i w:val="0"/>
                <w:color w:val="222222"/>
                <w:sz w:val="19"/>
              </w:rPr>
              <w:t>multipart/form-data</w:t>
            </w:r>
          </w:p>
        </w:tc>
      </w:tr>
      <w:tr>
        <w:tc>
          <w:tcPr>
            <w:tcW w:type="dxa" w:w="2592"/>
            <w:vAlign w:val="center"/>
          </w:tcPr>
          <w:p>
            <w:pPr>
              <w:spacing w:after="0"/>
            </w:pPr>
            <w:r>
              <w:rPr>
                <w:rFonts w:ascii="Calibri" w:hAnsi="Calibri"/>
                <w:b w:val="0"/>
                <w:i w:val="0"/>
                <w:color w:val="222222"/>
                <w:sz w:val="19"/>
              </w:rPr>
              <w:t>Required file field</w:t>
            </w:r>
          </w:p>
        </w:tc>
        <w:tc>
          <w:tcPr>
            <w:tcW w:type="dxa" w:w="6768"/>
            <w:vAlign w:val="center"/>
          </w:tcPr>
          <w:p>
            <w:pPr>
              <w:spacing w:after="0"/>
            </w:pPr>
            <w:r>
              <w:rPr>
                <w:rFonts w:ascii="Calibri" w:hAnsi="Calibri"/>
                <w:b w:val="0"/>
                <w:i w:val="0"/>
                <w:color w:val="222222"/>
                <w:sz w:val="19"/>
              </w:rPr>
              <w:t>prd</w:t>
            </w:r>
          </w:p>
        </w:tc>
      </w:tr>
      <w:tr>
        <w:tc>
          <w:tcPr>
            <w:tcW w:type="dxa" w:w="2592"/>
            <w:vAlign w:val="center"/>
          </w:tcPr>
          <w:p>
            <w:pPr>
              <w:spacing w:after="0"/>
            </w:pPr>
            <w:r>
              <w:rPr>
                <w:rFonts w:ascii="Calibri" w:hAnsi="Calibri"/>
                <w:b w:val="0"/>
                <w:i w:val="0"/>
                <w:color w:val="222222"/>
                <w:sz w:val="19"/>
              </w:rPr>
              <w:t>Optional repeated file field</w:t>
            </w:r>
          </w:p>
        </w:tc>
        <w:tc>
          <w:tcPr>
            <w:tcW w:type="dxa" w:w="6768"/>
            <w:vAlign w:val="center"/>
          </w:tcPr>
          <w:p>
            <w:pPr>
              <w:spacing w:after="0"/>
            </w:pPr>
            <w:r>
              <w:rPr>
                <w:rFonts w:ascii="Calibri" w:hAnsi="Calibri"/>
                <w:b w:val="0"/>
                <w:i w:val="0"/>
                <w:color w:val="222222"/>
                <w:sz w:val="19"/>
              </w:rPr>
              <w:t>knowledgeBase</w:t>
            </w:r>
          </w:p>
        </w:tc>
      </w:tr>
      <w:tr>
        <w:tc>
          <w:tcPr>
            <w:tcW w:type="dxa" w:w="2592"/>
            <w:vAlign w:val="center"/>
          </w:tcPr>
          <w:p>
            <w:pPr>
              <w:spacing w:after="0"/>
            </w:pPr>
            <w:r>
              <w:rPr>
                <w:rFonts w:ascii="Calibri" w:hAnsi="Calibri"/>
                <w:b w:val="0"/>
                <w:i w:val="0"/>
                <w:color w:val="222222"/>
                <w:sz w:val="19"/>
              </w:rPr>
              <w:t>Maximum upload strategy</w:t>
            </w:r>
          </w:p>
        </w:tc>
        <w:tc>
          <w:tcPr>
            <w:tcW w:type="dxa" w:w="6768"/>
            <w:vAlign w:val="center"/>
          </w:tcPr>
          <w:p>
            <w:pPr>
              <w:spacing w:after="0"/>
            </w:pPr>
            <w:r>
              <w:rPr>
                <w:rFonts w:ascii="Calibri" w:hAnsi="Calibri"/>
                <w:b w:val="0"/>
                <w:i w:val="0"/>
                <w:color w:val="222222"/>
                <w:sz w:val="19"/>
              </w:rPr>
              <w:t>Memory-backed upload with file count and file size limits enforced in Multer</w:t>
            </w:r>
          </w:p>
        </w:tc>
      </w:tr>
      <w:tr>
        <w:tc>
          <w:tcPr>
            <w:tcW w:type="dxa" w:w="2592"/>
            <w:vAlign w:val="center"/>
          </w:tcPr>
          <w:p>
            <w:pPr>
              <w:spacing w:after="0"/>
            </w:pPr>
            <w:r>
              <w:rPr>
                <w:rFonts w:ascii="Calibri" w:hAnsi="Calibri"/>
                <w:b w:val="0"/>
                <w:i w:val="0"/>
                <w:color w:val="222222"/>
                <w:sz w:val="19"/>
              </w:rPr>
              <w:t>Supported parsing types</w:t>
            </w:r>
          </w:p>
        </w:tc>
        <w:tc>
          <w:tcPr>
            <w:tcW w:type="dxa" w:w="6768"/>
            <w:vAlign w:val="center"/>
          </w:tcPr>
          <w:p>
            <w:pPr>
              <w:spacing w:after="0"/>
            </w:pPr>
            <w:r>
              <w:rPr>
                <w:rFonts w:ascii="Calibri" w:hAnsi="Calibri"/>
                <w:b w:val="0"/>
                <w:i w:val="0"/>
                <w:color w:val="222222"/>
                <w:sz w:val="19"/>
              </w:rPr>
              <w:t>PDF, DOCX, TXT, MD, CSV, JSON, RTF</w:t>
            </w:r>
          </w:p>
        </w:tc>
      </w:tr>
    </w:tbl>
    <w:p/>
    <w:p>
      <w:pPr>
        <w:pStyle w:val="Heading3"/>
      </w:pPr>
      <w:r>
        <w:t>Request contract</w:t>
      </w:r>
    </w:p>
    <w:p>
      <w:pPr>
        <w:pStyle w:val="ListBullet"/>
        <w:spacing w:after="80" w:line="276" w:lineRule="auto"/>
      </w:pPr>
      <w:r>
        <w:rPr>
          <w:rFonts w:ascii="Calibri" w:hAnsi="Calibri"/>
          <w:b w:val="0"/>
          <w:i w:val="0"/>
          <w:color w:val="222222"/>
          <w:sz w:val="22"/>
        </w:rPr>
        <w:t>Exactly one file must be sent in the `prd` field.</w:t>
      </w:r>
    </w:p>
    <w:p>
      <w:pPr>
        <w:pStyle w:val="ListBullet"/>
        <w:spacing w:after="80" w:line="276" w:lineRule="auto"/>
      </w:pPr>
      <w:r>
        <w:rPr>
          <w:rFonts w:ascii="Calibri" w:hAnsi="Calibri"/>
          <w:b w:val="0"/>
          <w:i w:val="0"/>
          <w:color w:val="222222"/>
          <w:sz w:val="22"/>
        </w:rPr>
        <w:t>Zero or more files may be sent in the `knowledgeBase` field.</w:t>
      </w:r>
    </w:p>
    <w:p>
      <w:pPr>
        <w:pStyle w:val="ListBullet"/>
        <w:spacing w:after="80" w:line="276" w:lineRule="auto"/>
      </w:pPr>
      <w:r>
        <w:rPr>
          <w:rFonts w:ascii="Calibri" w:hAnsi="Calibri"/>
          <w:b w:val="0"/>
          <w:i w:val="0"/>
          <w:color w:val="222222"/>
          <w:sz w:val="22"/>
        </w:rPr>
        <w:t>Files are parsed server-side, not in the browser.</w:t>
      </w:r>
    </w:p>
    <w:p>
      <w:pPr>
        <w:pStyle w:val="Heading3"/>
      </w:pPr>
      <w:r>
        <w:t>Success response contract</w:t>
      </w:r>
    </w:p>
    <w:tbl>
      <w:tblPr>
        <w:tblStyle w:val="TableGrid"/>
        <w:tblW w:type="auto" w:w="0"/>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2015"/>
            <w:shd w:fill="F2F4F7"/>
            <w:vAlign w:val="center"/>
          </w:tcPr>
          <w:p>
            <w:pPr>
              <w:spacing w:after="0"/>
            </w:pPr>
            <w:r>
              <w:rPr>
                <w:rFonts w:ascii="Calibri" w:hAnsi="Calibri"/>
                <w:b/>
                <w:i w:val="0"/>
                <w:color w:val="222222"/>
                <w:sz w:val="20"/>
              </w:rPr>
              <w:t>Field</w:t>
            </w:r>
          </w:p>
        </w:tc>
        <w:tc>
          <w:tcPr>
            <w:tcW w:type="dxa" w:w="2015"/>
            <w:shd w:fill="F2F4F7"/>
            <w:vAlign w:val="center"/>
          </w:tcPr>
          <w:p>
            <w:pPr>
              <w:spacing w:after="0"/>
            </w:pPr>
            <w:r>
              <w:rPr>
                <w:rFonts w:ascii="Calibri" w:hAnsi="Calibri"/>
                <w:b/>
                <w:i w:val="0"/>
                <w:color w:val="222222"/>
                <w:sz w:val="20"/>
              </w:rPr>
              <w:t>Type</w:t>
            </w:r>
          </w:p>
        </w:tc>
        <w:tc>
          <w:tcPr>
            <w:tcW w:type="dxa" w:w="5328"/>
            <w:shd w:fill="F2F4F7"/>
            <w:vAlign w:val="center"/>
          </w:tcPr>
          <w:p>
            <w:pPr>
              <w:spacing w:after="0"/>
            </w:pPr>
            <w:r>
              <w:rPr>
                <w:rFonts w:ascii="Calibri" w:hAnsi="Calibri"/>
                <w:b/>
                <w:i w:val="0"/>
                <w:color w:val="222222"/>
                <w:sz w:val="20"/>
              </w:rPr>
              <w:t>Description</w:t>
            </w:r>
          </w:p>
        </w:tc>
      </w:tr>
      <w:tr>
        <w:tc>
          <w:tcPr>
            <w:tcW w:type="dxa" w:w="2015"/>
            <w:vAlign w:val="center"/>
          </w:tcPr>
          <w:p>
            <w:pPr>
              <w:spacing w:after="0"/>
            </w:pPr>
            <w:r>
              <w:rPr>
                <w:rFonts w:ascii="Calibri" w:hAnsi="Calibri"/>
                <w:b w:val="0"/>
                <w:i w:val="0"/>
                <w:color w:val="222222"/>
                <w:sz w:val="19"/>
              </w:rPr>
              <w:t>featureName</w:t>
            </w:r>
          </w:p>
        </w:tc>
        <w:tc>
          <w:tcPr>
            <w:tcW w:type="dxa" w:w="2015"/>
            <w:vAlign w:val="center"/>
          </w:tcPr>
          <w:p>
            <w:pPr>
              <w:spacing w:after="0"/>
            </w:pPr>
            <w:r>
              <w:rPr>
                <w:rFonts w:ascii="Calibri" w:hAnsi="Calibri"/>
                <w:b w:val="0"/>
                <w:i w:val="0"/>
                <w:color w:val="222222"/>
                <w:sz w:val="19"/>
              </w:rPr>
              <w:t>string</w:t>
            </w:r>
          </w:p>
        </w:tc>
        <w:tc>
          <w:tcPr>
            <w:tcW w:type="dxa" w:w="5328"/>
            <w:vAlign w:val="center"/>
          </w:tcPr>
          <w:p>
            <w:pPr>
              <w:spacing w:after="0"/>
            </w:pPr>
            <w:r>
              <w:rPr>
                <w:rFonts w:ascii="Calibri" w:hAnsi="Calibri"/>
                <w:b w:val="0"/>
                <w:i w:val="0"/>
                <w:color w:val="222222"/>
                <w:sz w:val="19"/>
              </w:rPr>
              <w:t>Generated human-readable feature title.</w:t>
            </w:r>
          </w:p>
        </w:tc>
      </w:tr>
      <w:tr>
        <w:tc>
          <w:tcPr>
            <w:tcW w:type="dxa" w:w="2015"/>
            <w:vAlign w:val="center"/>
          </w:tcPr>
          <w:p>
            <w:pPr>
              <w:spacing w:after="0"/>
            </w:pPr>
            <w:r>
              <w:rPr>
                <w:rFonts w:ascii="Calibri" w:hAnsi="Calibri"/>
                <w:b w:val="0"/>
                <w:i w:val="0"/>
                <w:color w:val="222222"/>
                <w:sz w:val="19"/>
              </w:rPr>
              <w:t>shortSummary</w:t>
            </w:r>
          </w:p>
        </w:tc>
        <w:tc>
          <w:tcPr>
            <w:tcW w:type="dxa" w:w="2015"/>
            <w:vAlign w:val="center"/>
          </w:tcPr>
          <w:p>
            <w:pPr>
              <w:spacing w:after="0"/>
            </w:pPr>
            <w:r>
              <w:rPr>
                <w:rFonts w:ascii="Calibri" w:hAnsi="Calibri"/>
                <w:b w:val="0"/>
                <w:i w:val="0"/>
                <w:color w:val="222222"/>
                <w:sz w:val="19"/>
              </w:rPr>
              <w:t>string</w:t>
            </w:r>
          </w:p>
        </w:tc>
        <w:tc>
          <w:tcPr>
            <w:tcW w:type="dxa" w:w="5328"/>
            <w:vAlign w:val="center"/>
          </w:tcPr>
          <w:p>
            <w:pPr>
              <w:spacing w:after="0"/>
            </w:pPr>
            <w:r>
              <w:rPr>
                <w:rFonts w:ascii="Calibri" w:hAnsi="Calibri"/>
                <w:b w:val="0"/>
                <w:i w:val="0"/>
                <w:color w:val="222222"/>
                <w:sz w:val="19"/>
              </w:rPr>
              <w:t>Concise description of the feature based on the PRD.</w:t>
            </w:r>
          </w:p>
        </w:tc>
      </w:tr>
      <w:tr>
        <w:tc>
          <w:tcPr>
            <w:tcW w:type="dxa" w:w="2015"/>
            <w:vAlign w:val="center"/>
          </w:tcPr>
          <w:p>
            <w:pPr>
              <w:spacing w:after="0"/>
            </w:pPr>
            <w:r>
              <w:rPr>
                <w:rFonts w:ascii="Calibri" w:hAnsi="Calibri"/>
                <w:b w:val="0"/>
                <w:i w:val="0"/>
                <w:color w:val="222222"/>
                <w:sz w:val="19"/>
              </w:rPr>
              <w:t>risks</w:t>
            </w:r>
          </w:p>
        </w:tc>
        <w:tc>
          <w:tcPr>
            <w:tcW w:type="dxa" w:w="2015"/>
            <w:vAlign w:val="center"/>
          </w:tcPr>
          <w:p>
            <w:pPr>
              <w:spacing w:after="0"/>
            </w:pPr>
            <w:r>
              <w:rPr>
                <w:rFonts w:ascii="Calibri" w:hAnsi="Calibri"/>
                <w:b w:val="0"/>
                <w:i w:val="0"/>
                <w:color w:val="222222"/>
                <w:sz w:val="19"/>
              </w:rPr>
              <w:t>string[]</w:t>
            </w:r>
          </w:p>
        </w:tc>
        <w:tc>
          <w:tcPr>
            <w:tcW w:type="dxa" w:w="5328"/>
            <w:vAlign w:val="center"/>
          </w:tcPr>
          <w:p>
            <w:pPr>
              <w:spacing w:after="0"/>
            </w:pPr>
            <w:r>
              <w:rPr>
                <w:rFonts w:ascii="Calibri" w:hAnsi="Calibri"/>
                <w:b w:val="0"/>
                <w:i w:val="0"/>
                <w:color w:val="222222"/>
                <w:sz w:val="19"/>
              </w:rPr>
              <w:t>List of noteworthy QA risks or potential blind spots.</w:t>
            </w:r>
          </w:p>
        </w:tc>
      </w:tr>
      <w:tr>
        <w:tc>
          <w:tcPr>
            <w:tcW w:type="dxa" w:w="2015"/>
            <w:vAlign w:val="center"/>
          </w:tcPr>
          <w:p>
            <w:pPr>
              <w:spacing w:after="0"/>
            </w:pPr>
            <w:r>
              <w:rPr>
                <w:rFonts w:ascii="Calibri" w:hAnsi="Calibri"/>
                <w:b w:val="0"/>
                <w:i w:val="0"/>
                <w:color w:val="222222"/>
                <w:sz w:val="19"/>
              </w:rPr>
              <w:t>assumptions</w:t>
            </w:r>
          </w:p>
        </w:tc>
        <w:tc>
          <w:tcPr>
            <w:tcW w:type="dxa" w:w="2015"/>
            <w:vAlign w:val="center"/>
          </w:tcPr>
          <w:p>
            <w:pPr>
              <w:spacing w:after="0"/>
            </w:pPr>
            <w:r>
              <w:rPr>
                <w:rFonts w:ascii="Calibri" w:hAnsi="Calibri"/>
                <w:b w:val="0"/>
                <w:i w:val="0"/>
                <w:color w:val="222222"/>
                <w:sz w:val="19"/>
              </w:rPr>
              <w:t>string[]</w:t>
            </w:r>
          </w:p>
        </w:tc>
        <w:tc>
          <w:tcPr>
            <w:tcW w:type="dxa" w:w="5328"/>
            <w:vAlign w:val="center"/>
          </w:tcPr>
          <w:p>
            <w:pPr>
              <w:spacing w:after="0"/>
            </w:pPr>
            <w:r>
              <w:rPr>
                <w:rFonts w:ascii="Calibri" w:hAnsi="Calibri"/>
                <w:b w:val="0"/>
                <w:i w:val="0"/>
                <w:color w:val="222222"/>
                <w:sz w:val="19"/>
              </w:rPr>
              <w:t>Model assumptions or inferred constraints.</w:t>
            </w:r>
          </w:p>
        </w:tc>
      </w:tr>
      <w:tr>
        <w:tc>
          <w:tcPr>
            <w:tcW w:type="dxa" w:w="2015"/>
            <w:vAlign w:val="center"/>
          </w:tcPr>
          <w:p>
            <w:pPr>
              <w:spacing w:after="0"/>
            </w:pPr>
            <w:r>
              <w:rPr>
                <w:rFonts w:ascii="Calibri" w:hAnsi="Calibri"/>
                <w:b w:val="0"/>
                <w:i w:val="0"/>
                <w:color w:val="222222"/>
                <w:sz w:val="19"/>
              </w:rPr>
              <w:t>sourceHighlights</w:t>
            </w:r>
          </w:p>
        </w:tc>
        <w:tc>
          <w:tcPr>
            <w:tcW w:type="dxa" w:w="2015"/>
            <w:vAlign w:val="center"/>
          </w:tcPr>
          <w:p>
            <w:pPr>
              <w:spacing w:after="0"/>
            </w:pPr>
            <w:r>
              <w:rPr>
                <w:rFonts w:ascii="Calibri" w:hAnsi="Calibri"/>
                <w:b w:val="0"/>
                <w:i w:val="0"/>
                <w:color w:val="222222"/>
                <w:sz w:val="19"/>
              </w:rPr>
              <w:t>string[]</w:t>
            </w:r>
          </w:p>
        </w:tc>
        <w:tc>
          <w:tcPr>
            <w:tcW w:type="dxa" w:w="5328"/>
            <w:vAlign w:val="center"/>
          </w:tcPr>
          <w:p>
            <w:pPr>
              <w:spacing w:after="0"/>
            </w:pPr>
            <w:r>
              <w:rPr>
                <w:rFonts w:ascii="Calibri" w:hAnsi="Calibri"/>
                <w:b w:val="0"/>
                <w:i w:val="0"/>
                <w:color w:val="222222"/>
                <w:sz w:val="19"/>
              </w:rPr>
              <w:t>Key references surfaced from source documents.</w:t>
            </w:r>
          </w:p>
        </w:tc>
      </w:tr>
      <w:tr>
        <w:tc>
          <w:tcPr>
            <w:tcW w:type="dxa" w:w="2015"/>
            <w:vAlign w:val="center"/>
          </w:tcPr>
          <w:p>
            <w:pPr>
              <w:spacing w:after="0"/>
            </w:pPr>
            <w:r>
              <w:rPr>
                <w:rFonts w:ascii="Calibri" w:hAnsi="Calibri"/>
                <w:b w:val="0"/>
                <w:i w:val="0"/>
                <w:color w:val="222222"/>
                <w:sz w:val="19"/>
              </w:rPr>
              <w:t>cases</w:t>
            </w:r>
          </w:p>
        </w:tc>
        <w:tc>
          <w:tcPr>
            <w:tcW w:type="dxa" w:w="2015"/>
            <w:vAlign w:val="center"/>
          </w:tcPr>
          <w:p>
            <w:pPr>
              <w:spacing w:after="0"/>
            </w:pPr>
            <w:r>
              <w:rPr>
                <w:rFonts w:ascii="Calibri" w:hAnsi="Calibri"/>
                <w:b w:val="0"/>
                <w:i w:val="0"/>
                <w:color w:val="222222"/>
                <w:sz w:val="19"/>
              </w:rPr>
              <w:t>GeneratedTestCase[]</w:t>
            </w:r>
          </w:p>
        </w:tc>
        <w:tc>
          <w:tcPr>
            <w:tcW w:type="dxa" w:w="5328"/>
            <w:vAlign w:val="center"/>
          </w:tcPr>
          <w:p>
            <w:pPr>
              <w:spacing w:after="0"/>
            </w:pPr>
            <w:r>
              <w:rPr>
                <w:rFonts w:ascii="Calibri" w:hAnsi="Calibri"/>
                <w:b w:val="0"/>
                <w:i w:val="0"/>
                <w:color w:val="222222"/>
                <w:sz w:val="19"/>
              </w:rPr>
              <w:t>Array of test cases with criticality, rationale, coverage area, and steps.</w:t>
            </w:r>
          </w:p>
        </w:tc>
      </w:tr>
    </w:tbl>
    <w:p/>
    <w:p>
      <w:pPr>
        <w:pStyle w:val="Heading3"/>
      </w:pPr>
      <w:r>
        <w:t>GeneratedTestCase schema</w:t>
      </w:r>
    </w:p>
    <w:tbl>
      <w:tblPr>
        <w:tblStyle w:val="TableGrid"/>
        <w:tblW w:type="auto" w:w="0"/>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2160"/>
            <w:shd w:fill="F2F4F7"/>
            <w:vAlign w:val="center"/>
          </w:tcPr>
          <w:p>
            <w:pPr>
              <w:spacing w:after="0"/>
            </w:pPr>
            <w:r>
              <w:rPr>
                <w:rFonts w:ascii="Calibri" w:hAnsi="Calibri"/>
                <w:b/>
                <w:i w:val="0"/>
                <w:color w:val="222222"/>
                <w:sz w:val="20"/>
              </w:rPr>
              <w:t>Field</w:t>
            </w:r>
          </w:p>
        </w:tc>
        <w:tc>
          <w:tcPr>
            <w:tcW w:type="dxa" w:w="2448"/>
            <w:shd w:fill="F2F4F7"/>
            <w:vAlign w:val="center"/>
          </w:tcPr>
          <w:p>
            <w:pPr>
              <w:spacing w:after="0"/>
            </w:pPr>
            <w:r>
              <w:rPr>
                <w:rFonts w:ascii="Calibri" w:hAnsi="Calibri"/>
                <w:b/>
                <w:i w:val="0"/>
                <w:color w:val="222222"/>
                <w:sz w:val="20"/>
              </w:rPr>
              <w:t>Type</w:t>
            </w:r>
          </w:p>
        </w:tc>
        <w:tc>
          <w:tcPr>
            <w:tcW w:type="dxa" w:w="4752"/>
            <w:shd w:fill="F2F4F7"/>
            <w:vAlign w:val="center"/>
          </w:tcPr>
          <w:p>
            <w:pPr>
              <w:spacing w:after="0"/>
            </w:pPr>
            <w:r>
              <w:rPr>
                <w:rFonts w:ascii="Calibri" w:hAnsi="Calibri"/>
                <w:b/>
                <w:i w:val="0"/>
                <w:color w:val="222222"/>
                <w:sz w:val="20"/>
              </w:rPr>
              <w:t>Description</w:t>
            </w:r>
          </w:p>
        </w:tc>
      </w:tr>
      <w:tr>
        <w:tc>
          <w:tcPr>
            <w:tcW w:type="dxa" w:w="2160"/>
            <w:vAlign w:val="center"/>
          </w:tcPr>
          <w:p>
            <w:pPr>
              <w:spacing w:after="0"/>
            </w:pPr>
            <w:r>
              <w:rPr>
                <w:rFonts w:ascii="Calibri" w:hAnsi="Calibri"/>
                <w:b w:val="0"/>
                <w:i w:val="0"/>
                <w:color w:val="222222"/>
                <w:sz w:val="19"/>
              </w:rPr>
              <w:t>id</w:t>
            </w:r>
          </w:p>
        </w:tc>
        <w:tc>
          <w:tcPr>
            <w:tcW w:type="dxa" w:w="2448"/>
            <w:vAlign w:val="center"/>
          </w:tcPr>
          <w:p>
            <w:pPr>
              <w:spacing w:after="0"/>
            </w:pPr>
            <w:r>
              <w:rPr>
                <w:rFonts w:ascii="Calibri" w:hAnsi="Calibri"/>
                <w:b w:val="0"/>
                <w:i w:val="0"/>
                <w:color w:val="222222"/>
                <w:sz w:val="19"/>
              </w:rPr>
              <w:t>string</w:t>
            </w:r>
          </w:p>
        </w:tc>
        <w:tc>
          <w:tcPr>
            <w:tcW w:type="dxa" w:w="4752"/>
            <w:vAlign w:val="center"/>
          </w:tcPr>
          <w:p>
            <w:pPr>
              <w:spacing w:after="0"/>
            </w:pPr>
            <w:r>
              <w:rPr>
                <w:rFonts w:ascii="Calibri" w:hAnsi="Calibri"/>
                <w:b w:val="0"/>
                <w:i w:val="0"/>
                <w:color w:val="222222"/>
                <w:sz w:val="19"/>
              </w:rPr>
              <w:t>Stable identifier for the testcase within the response.</w:t>
            </w:r>
          </w:p>
        </w:tc>
      </w:tr>
      <w:tr>
        <w:tc>
          <w:tcPr>
            <w:tcW w:type="dxa" w:w="2160"/>
            <w:vAlign w:val="center"/>
          </w:tcPr>
          <w:p>
            <w:pPr>
              <w:spacing w:after="0"/>
            </w:pPr>
            <w:r>
              <w:rPr>
                <w:rFonts w:ascii="Calibri" w:hAnsi="Calibri"/>
                <w:b w:val="0"/>
                <w:i w:val="0"/>
                <w:color w:val="222222"/>
                <w:sz w:val="19"/>
              </w:rPr>
              <w:t>title</w:t>
            </w:r>
          </w:p>
        </w:tc>
        <w:tc>
          <w:tcPr>
            <w:tcW w:type="dxa" w:w="2448"/>
            <w:vAlign w:val="center"/>
          </w:tcPr>
          <w:p>
            <w:pPr>
              <w:spacing w:after="0"/>
            </w:pPr>
            <w:r>
              <w:rPr>
                <w:rFonts w:ascii="Calibri" w:hAnsi="Calibri"/>
                <w:b w:val="0"/>
                <w:i w:val="0"/>
                <w:color w:val="222222"/>
                <w:sz w:val="19"/>
              </w:rPr>
              <w:t>string</w:t>
            </w:r>
          </w:p>
        </w:tc>
        <w:tc>
          <w:tcPr>
            <w:tcW w:type="dxa" w:w="4752"/>
            <w:vAlign w:val="center"/>
          </w:tcPr>
          <w:p>
            <w:pPr>
              <w:spacing w:after="0"/>
            </w:pPr>
            <w:r>
              <w:rPr>
                <w:rFonts w:ascii="Calibri" w:hAnsi="Calibri"/>
                <w:b w:val="0"/>
                <w:i w:val="0"/>
                <w:color w:val="222222"/>
                <w:sz w:val="19"/>
              </w:rPr>
              <w:t>Short testcase name.</w:t>
            </w:r>
          </w:p>
        </w:tc>
      </w:tr>
      <w:tr>
        <w:tc>
          <w:tcPr>
            <w:tcW w:type="dxa" w:w="2160"/>
            <w:vAlign w:val="center"/>
          </w:tcPr>
          <w:p>
            <w:pPr>
              <w:spacing w:after="0"/>
            </w:pPr>
            <w:r>
              <w:rPr>
                <w:rFonts w:ascii="Calibri" w:hAnsi="Calibri"/>
                <w:b w:val="0"/>
                <w:i w:val="0"/>
                <w:color w:val="222222"/>
                <w:sz w:val="19"/>
              </w:rPr>
              <w:t>criticality</w:t>
            </w:r>
          </w:p>
        </w:tc>
        <w:tc>
          <w:tcPr>
            <w:tcW w:type="dxa" w:w="2448"/>
            <w:vAlign w:val="center"/>
          </w:tcPr>
          <w:p>
            <w:pPr>
              <w:spacing w:after="0"/>
            </w:pPr>
            <w:r>
              <w:rPr>
                <w:rFonts w:ascii="Calibri" w:hAnsi="Calibri"/>
                <w:b w:val="0"/>
                <w:i w:val="0"/>
                <w:color w:val="222222"/>
                <w:sz w:val="19"/>
              </w:rPr>
              <w:t>Low | Medium | High</w:t>
            </w:r>
          </w:p>
        </w:tc>
        <w:tc>
          <w:tcPr>
            <w:tcW w:type="dxa" w:w="4752"/>
            <w:vAlign w:val="center"/>
          </w:tcPr>
          <w:p>
            <w:pPr>
              <w:spacing w:after="0"/>
            </w:pPr>
            <w:r>
              <w:rPr>
                <w:rFonts w:ascii="Calibri" w:hAnsi="Calibri"/>
                <w:b w:val="0"/>
                <w:i w:val="0"/>
                <w:color w:val="222222"/>
                <w:sz w:val="19"/>
              </w:rPr>
              <w:t>Priority or impact marker for QA review.</w:t>
            </w:r>
          </w:p>
        </w:tc>
      </w:tr>
      <w:tr>
        <w:tc>
          <w:tcPr>
            <w:tcW w:type="dxa" w:w="2160"/>
            <w:vAlign w:val="center"/>
          </w:tcPr>
          <w:p>
            <w:pPr>
              <w:spacing w:after="0"/>
            </w:pPr>
            <w:r>
              <w:rPr>
                <w:rFonts w:ascii="Calibri" w:hAnsi="Calibri"/>
                <w:b w:val="0"/>
                <w:i w:val="0"/>
                <w:color w:val="222222"/>
                <w:sz w:val="19"/>
              </w:rPr>
              <w:t>rationale</w:t>
            </w:r>
          </w:p>
        </w:tc>
        <w:tc>
          <w:tcPr>
            <w:tcW w:type="dxa" w:w="2448"/>
            <w:vAlign w:val="center"/>
          </w:tcPr>
          <w:p>
            <w:pPr>
              <w:spacing w:after="0"/>
            </w:pPr>
            <w:r>
              <w:rPr>
                <w:rFonts w:ascii="Calibri" w:hAnsi="Calibri"/>
                <w:b w:val="0"/>
                <w:i w:val="0"/>
                <w:color w:val="222222"/>
                <w:sz w:val="19"/>
              </w:rPr>
              <w:t>string</w:t>
            </w:r>
          </w:p>
        </w:tc>
        <w:tc>
          <w:tcPr>
            <w:tcW w:type="dxa" w:w="4752"/>
            <w:vAlign w:val="center"/>
          </w:tcPr>
          <w:p>
            <w:pPr>
              <w:spacing w:after="0"/>
            </w:pPr>
            <w:r>
              <w:rPr>
                <w:rFonts w:ascii="Calibri" w:hAnsi="Calibri"/>
                <w:b w:val="0"/>
                <w:i w:val="0"/>
                <w:color w:val="222222"/>
                <w:sz w:val="19"/>
              </w:rPr>
              <w:t>Why the testcase matters.</w:t>
            </w:r>
          </w:p>
        </w:tc>
      </w:tr>
      <w:tr>
        <w:tc>
          <w:tcPr>
            <w:tcW w:type="dxa" w:w="2160"/>
            <w:vAlign w:val="center"/>
          </w:tcPr>
          <w:p>
            <w:pPr>
              <w:spacing w:after="0"/>
            </w:pPr>
            <w:r>
              <w:rPr>
                <w:rFonts w:ascii="Calibri" w:hAnsi="Calibri"/>
                <w:b w:val="0"/>
                <w:i w:val="0"/>
                <w:color w:val="222222"/>
                <w:sz w:val="19"/>
              </w:rPr>
              <w:t>coverageArea</w:t>
            </w:r>
          </w:p>
        </w:tc>
        <w:tc>
          <w:tcPr>
            <w:tcW w:type="dxa" w:w="2448"/>
            <w:vAlign w:val="center"/>
          </w:tcPr>
          <w:p>
            <w:pPr>
              <w:spacing w:after="0"/>
            </w:pPr>
            <w:r>
              <w:rPr>
                <w:rFonts w:ascii="Calibri" w:hAnsi="Calibri"/>
                <w:b w:val="0"/>
                <w:i w:val="0"/>
                <w:color w:val="222222"/>
                <w:sz w:val="19"/>
              </w:rPr>
              <w:t>string</w:t>
            </w:r>
          </w:p>
        </w:tc>
        <w:tc>
          <w:tcPr>
            <w:tcW w:type="dxa" w:w="4752"/>
            <w:vAlign w:val="center"/>
          </w:tcPr>
          <w:p>
            <w:pPr>
              <w:spacing w:after="0"/>
            </w:pPr>
            <w:r>
              <w:rPr>
                <w:rFonts w:ascii="Calibri" w:hAnsi="Calibri"/>
                <w:b w:val="0"/>
                <w:i w:val="0"/>
                <w:color w:val="222222"/>
                <w:sz w:val="19"/>
              </w:rPr>
              <w:t>Logical grouping such as validation or regression.</w:t>
            </w:r>
          </w:p>
        </w:tc>
      </w:tr>
      <w:tr>
        <w:tc>
          <w:tcPr>
            <w:tcW w:type="dxa" w:w="2160"/>
            <w:vAlign w:val="center"/>
          </w:tcPr>
          <w:p>
            <w:pPr>
              <w:spacing w:after="0"/>
            </w:pPr>
            <w:r>
              <w:rPr>
                <w:rFonts w:ascii="Calibri" w:hAnsi="Calibri"/>
                <w:b w:val="0"/>
                <w:i w:val="0"/>
                <w:color w:val="222222"/>
                <w:sz w:val="19"/>
              </w:rPr>
              <w:t>steps</w:t>
            </w:r>
          </w:p>
        </w:tc>
        <w:tc>
          <w:tcPr>
            <w:tcW w:type="dxa" w:w="2448"/>
            <w:vAlign w:val="center"/>
          </w:tcPr>
          <w:p>
            <w:pPr>
              <w:spacing w:after="0"/>
            </w:pPr>
            <w:r>
              <w:rPr>
                <w:rFonts w:ascii="Calibri" w:hAnsi="Calibri"/>
                <w:b w:val="0"/>
                <w:i w:val="0"/>
                <w:color w:val="222222"/>
                <w:sz w:val="19"/>
              </w:rPr>
              <w:t>TestStep[]</w:t>
            </w:r>
          </w:p>
        </w:tc>
        <w:tc>
          <w:tcPr>
            <w:tcW w:type="dxa" w:w="4752"/>
            <w:vAlign w:val="center"/>
          </w:tcPr>
          <w:p>
            <w:pPr>
              <w:spacing w:after="0"/>
            </w:pPr>
            <w:r>
              <w:rPr>
                <w:rFonts w:ascii="Calibri" w:hAnsi="Calibri"/>
                <w:b w:val="0"/>
                <w:i w:val="0"/>
                <w:color w:val="222222"/>
                <w:sz w:val="19"/>
              </w:rPr>
              <w:t>Ordered steps used by the expandable UI.</w:t>
            </w:r>
          </w:p>
        </w:tc>
      </w:tr>
    </w:tbl>
    <w:p/>
    <w:p>
      <w:pPr>
        <w:pStyle w:val="Heading3"/>
      </w:pPr>
      <w:r>
        <w:t>Failure modes</w:t>
      </w:r>
    </w:p>
    <w:p>
      <w:pPr>
        <w:pStyle w:val="ListBullet"/>
        <w:spacing w:after="80" w:line="276" w:lineRule="auto"/>
      </w:pPr>
      <w:r>
        <w:rPr>
          <w:rFonts w:ascii="Calibri" w:hAnsi="Calibri"/>
          <w:b w:val="0"/>
          <w:i w:val="0"/>
          <w:color w:val="222222"/>
          <w:sz w:val="22"/>
        </w:rPr>
        <w:t>400 Bad Request when the PRD is missing or the file type is unsupported.</w:t>
      </w:r>
    </w:p>
    <w:p>
      <w:pPr>
        <w:pStyle w:val="ListBullet"/>
        <w:spacing w:after="80" w:line="276" w:lineRule="auto"/>
      </w:pPr>
      <w:r>
        <w:rPr>
          <w:rFonts w:ascii="Calibri" w:hAnsi="Calibri"/>
          <w:b w:val="0"/>
          <w:i w:val="0"/>
          <w:color w:val="222222"/>
          <w:sz w:val="22"/>
        </w:rPr>
        <w:t>500 Internal Server Error when parsing fails unexpectedly, Gemini returns unusable output, or the API key is missing.</w:t>
      </w:r>
    </w:p>
    <w:p>
      <w:pPr>
        <w:pStyle w:val="ListBullet"/>
        <w:spacing w:after="80" w:line="276" w:lineRule="auto"/>
      </w:pPr>
      <w:r>
        <w:rPr>
          <w:rFonts w:ascii="Calibri" w:hAnsi="Calibri"/>
          <w:b w:val="0"/>
          <w:i w:val="0"/>
          <w:color w:val="222222"/>
          <w:sz w:val="22"/>
        </w:rPr>
        <w:t>Error payload shape: `{ "error": "human-readable message" }`.</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5A5A"/>
        <w:sz w:val="18"/>
      </w:rPr>
      <w:t>Internal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5A5A5A"/>
        <w:sz w:val="18"/>
      </w:rPr>
      <w:t>Test Case Generator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0" w:after="160"/>
      <w:ind w:left="216" w:right="216"/>
    </w:pPr>
    <w:rPr>
      <w:rFonts w:ascii="Calibri" w:hAnsi="Calibri"/>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