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Employee Attrition Analysis</w:t>
      </w:r>
    </w:p>
    <w:p>
      <w:pPr>
        <w:spacing w:after="200"/>
      </w:pPr>
      <w:r>
        <w:rPr>
          <w:i/>
          <w:iCs/>
          <w:color w:val="595959"/>
          <w:sz w:val="26"/>
          <w:szCs w:val="26"/>
        </w:rPr>
        <w:t xml:space="preserve">Insight Memo &amp; Retention Recommendations</w:t>
      </w:r>
    </w:p>
    <w:p>
      <w:pPr>
        <w:pBdr>
          <w:bottom w:val="single" w:color="BFBFBF" w:sz="6" w:space="4"/>
        </w:pBdr>
        <w:tabs>
          <w:tab w:val="right" w:pos="9026"/>
        </w:tabs>
        <w:spacing w:after="280"/>
      </w:pPr>
      <w:r>
        <w:rPr>
          <w:color w:val="595959"/>
          <w:sz w:val="20"/>
          <w:szCs w:val="20"/>
        </w:rPr>
        <w:t xml:space="preserve">Prepared by: Saptarshi Mandal</w:t>
      </w:r>
      <w:r>
        <w:rPr>
          <w:color w:val="595959"/>
          <w:sz w:val="20"/>
          <w:szCs w:val="20"/>
        </w:rPr>
        <w:t xml:space="preserve">	June 2026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sz w:val="22"/>
          <w:szCs w:val="22"/>
        </w:rPr>
        <w:t xml:space="preserve">Of 1,470 employees analyzed, 237 (16.1%) left the company. Attrition is not random — it is concentrated among a clearly identifiable group: employees working overtime, in Sales and Laboratory Technician roles, who travel frequently, are single, sit in the lowest income quartile, and have gone the longest without a promotion. A logistic regression model trained on this pattern correctly flags 64% of actual leavers (vs. a 16% baseline), giving HR a usable early-warning tool rather than just a retrospective report.</w:t>
      </w:r>
    </w:p>
    <w:p>
      <w:pPr>
        <w:pStyle w:val="Heading1"/>
      </w:pPr>
      <w: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Multiple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Overtime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30.5% attrition with overtime vs. 10.4% without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~3.0x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Role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Representatives: 39.8% attrition — the single highest-risk role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~8.1x vs. Research Director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employees: 25.5% vs. 12.5% for married employees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~2.0x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Lowest income quartile: 29.3% vs. 10.3% in the top quartile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~2.8x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Travel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Frequent travelers: 24.9% vs. 8.0% for non-travelers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~3.1x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Tenure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Leavers average 5.1 years at the company vs. 7.4 years for stayers — exits cluster relatively early in tenure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Visual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76500" cy="2476500"/>
                  <wp:effectExtent t="0" r="0" b="0" l="0"/>
                  <wp:docPr id="1" name="01_overall_attrition.png" descr="01_overall_attrition.png" title="01_overall_attri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1" name="02_attrition_by_overtime.png" descr="02_attrition_by_overtime.png" title="02_attrition_by_overti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distT="0" distB="0" distL="0" distR="0">
            <wp:extent cx="4572000" cy="3143250"/>
            <wp:effectExtent t="0" r="0" b="0" l="0"/>
            <wp:docPr id="1" name="03_attrition_by_jobrole.png" descr="03_attrition_by_jobrole.png" title="03_attrition_by_jobro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pStyle w:val="Heading1"/>
      </w:pPr>
      <w:r>
        <w:t xml:space="preserve">Predictive Model Summary</w:t>
      </w:r>
    </w:p>
    <w:p>
      <w:pPr>
        <w:spacing w:after="120"/>
      </w:pPr>
      <w:r>
        <w:rPr>
          <w:sz w:val="22"/>
          <w:szCs w:val="22"/>
        </w:rPr>
        <w:t xml:space="preserve">A logistic regression model was trained on 44 encoded features (75/25 train-test split, stratified for class imbalance). On held-out test data, the model achieved 77.7% accuracy and a ROC-AUC of 0.81, correctly identifying 64% of employees who actually left. The chart below ranks the strongest statistical drivers of attrition risk, controlling for all other factors simultaneously.</w:t>
      </w:r>
    </w:p>
    <w:p>
      <w:pPr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08_top_attrition_drivers.png" descr="08_top_attrition_drivers.png" title="08_top_attrition_driv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pStyle w:val="Heading1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Cap or compensate overtime in Sales and Lab Technician roles: </w:t>
      </w:r>
      <w:r>
        <w:rPr>
          <w:sz w:val="22"/>
          <w:szCs w:val="22"/>
        </w:rPr>
        <w:t xml:space="preserve">these two groups carry the highest combined overtime + role risk; consider overtime caps, shift redistribution, or an overtime premium tied to retention bonuses.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Review promotion velocity: </w:t>
      </w:r>
      <w:r>
        <w:rPr>
          <w:sz w:val="22"/>
          <w:szCs w:val="22"/>
        </w:rPr>
        <w:t xml:space="preserve">"Years Since Last Promotion" is a top-15 statistical driver. Introduce structured 18–24 month promotion/career-conversation checkpoints, especially for tenure-track employees in years 3–6 (the window where most exits cluster).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Target retention budget using the risk score, not tenure alone: </w:t>
      </w:r>
      <w:r>
        <w:rPr>
          <w:sz w:val="22"/>
          <w:szCs w:val="22"/>
        </w:rPr>
        <w:t xml:space="preserve">use the model's risk-scored employee list (471 employees flagged "High Risk") to prioritize stay interviews and retention offers rather than spreading HR effort evenly across the workforce.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Re-examine frequent-travel role design: </w:t>
      </w:r>
      <w:r>
        <w:rPr>
          <w:sz w:val="22"/>
          <w:szCs w:val="22"/>
        </w:rPr>
        <w:t xml:space="preserve">frequent travelers churn at ~3x the rate of non-travelers; consider rotating travel-heavy assignments or adding travel-frequency caps for at-risk segments (single, early-tenure, lower-income).</w:t>
      </w:r>
    </w:p>
    <w:p>
      <w:pPr>
        <w:pStyle w:val="Heading1"/>
      </w:pPr>
      <w:r>
        <w:t xml:space="preserve">Methodology &amp;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Dataset: IBM HR Analytics Employee Attrition dataset, 1,470 employees, 35 original features, no missing values.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Tools: Python (pandas, scikit-learn, matplotlib/seaborn) for EDA and modeling; Power BI for the interactive dashboard.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Model: Logistic regression with standardized features and class-balanced weighting to correct for the 16% positive-class imbalance.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Validation: Stratified 75/25 train-test split; metrics reported on the held-out test set only (not training data).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F3864"/>
        <w:sz w:val="18"/>
        <w:szCs w:val="18"/>
      </w:rPr>
      <w:t xml:space="preserve">HR Attrition Analysis</w:t>
    </w:r>
    <w:r>
      <w:rPr>
        <w:color w:val="595959"/>
        <w:sz w:val="18"/>
        <w:szCs w:val="18"/>
      </w:rPr>
      <w:t xml:space="preserve">	Confidential —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148a03cb0f93b93dfda2ea6853806e231a5730f.png"/><Relationship Id="rId10" Type="http://schemas.openxmlformats.org/officeDocument/2006/relationships/image" Target="media/66b3c76fb196fff7901ba4423e1a9a927df7531f.png"/><Relationship Id="rId11" Type="http://schemas.openxmlformats.org/officeDocument/2006/relationships/image" Target="media/bb95fbaf1d7afbd0d7bbe0ade74ee1460d5aa7e9.png"/><Relationship Id="rId12" Type="http://schemas.openxmlformats.org/officeDocument/2006/relationships/image" Target="media/eb31237c2463578dc70616a76a6a5e674fd91d2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2026-06-24T04:13:18.519Z</dcterms:created>
  <dcterms:modified xsi:type="dcterms:W3CDTF">2026-06-24T04:13:18.530Z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