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RetainIQ – Project Report</w:t>
      </w:r>
    </w:p>
    <w:p>
      <w:r>
        <w:t>Date: 2026-09-29  |  Dataset: Olist Brazilian E-Commerce (Kaggle)</w:t>
      </w:r>
    </w:p>
    <w:p>
      <w:pPr>
        <w:pStyle w:val="Heading1"/>
      </w:pPr>
      <w:r>
        <w:t>1. Problem Statement</w:t>
      </w:r>
    </w:p>
    <w:p>
      <w:r>
        <w:t>Brazilian e-commerce retailer Olist has accumulated 100 k+ orders across 27 states and dozens of product categories. Management faces two compounding risks: (a) a low repeat-purchase rate that forces expensive new-customer acquisition, and (b) late deliveries that suppress review scores and drive churn. This project builds a decision dashboard called RetainIQ to surface the most actionable retention and logistics signals from the CRM data, answer where the budget should go, and quantify the revenue at stake or upside.</w:t>
      </w:r>
    </w:p>
    <w:p>
      <w:pPr>
        <w:pStyle w:val="Heading1"/>
      </w:pPr>
      <w:r>
        <w:t>2. Approach</w:t>
      </w:r>
    </w:p>
    <w:p>
      <w:r>
        <w:t>Data pipeline: six Olist CSVs are joined on order_id / customer_id / product_id. Only delivered orders are used for revenue and delivery metrics. Reviews are deduplicated (highest score per order). Revenue = item price; freight is excluded from KPIs and clearly labelled. customer_unique_id (not customer_id) identifies persons across repeat orders.</w:t>
      </w:r>
    </w:p>
    <w:p>
      <w:r>
        <w:t>Analysis layers: (1) Core KPI aggregation; (2) RFM segmentation using quartile scoring (Champions / Loyal / At Risk / Lost); (3) Late-delivery impact on review scores; (4) Linear trend forecast (directional estimate only); (5) Opportunity estimation via sidebar slider. AI Advisor calls Anthropic Claude when an API key is present; falls back to a rule-based template.</w:t>
      </w:r>
    </w:p>
    <w:p>
      <w:pPr>
        <w:pStyle w:val="Heading1"/>
      </w:pPr>
      <w:r>
        <w:t>3. KPI Definitions</w:t>
      </w:r>
    </w:p>
    <w:tbl>
      <w:tblPr>
        <w:tblStyle w:val="LightShading"/>
        <w:tblW w:type="auto" w:w="0"/>
        <w:tblLook w:firstColumn="1" w:firstRow="1" w:lastColumn="0" w:lastRow="0" w:noHBand="0" w:noVBand="1" w:val="04A0"/>
      </w:tblPr>
      <w:tblGrid>
        <w:gridCol w:w="4320"/>
        <w:gridCol w:w="4320"/>
      </w:tblGrid>
      <w:tr>
        <w:tc>
          <w:tcPr>
            <w:tcW w:type="dxa" w:w="4320"/>
          </w:tcPr>
          <w:p>
            <w:r>
              <w:t>KPI</w:t>
            </w:r>
          </w:p>
        </w:tc>
        <w:tc>
          <w:tcPr>
            <w:tcW w:type="dxa" w:w="4320"/>
          </w:tcPr>
          <w:p>
            <w:r>
              <w:t>Definition</w:t>
            </w:r>
          </w:p>
        </w:tc>
      </w:tr>
      <w:tr>
        <w:tc>
          <w:tcPr>
            <w:tcW w:type="dxa" w:w="4320"/>
          </w:tcPr>
          <w:p>
            <w:r>
              <w:t>Total Revenue</w:t>
            </w:r>
          </w:p>
        </w:tc>
        <w:tc>
          <w:tcPr>
            <w:tcW w:type="dxa" w:w="4320"/>
          </w:tcPr>
          <w:p>
            <w:r>
              <w:t>Sum of item prices across all delivered orders in the selected filters.</w:t>
            </w:r>
          </w:p>
        </w:tc>
      </w:tr>
      <w:tr>
        <w:tc>
          <w:tcPr>
            <w:tcW w:type="dxa" w:w="4320"/>
          </w:tcPr>
          <w:p>
            <w:r>
              <w:t>Total Orders</w:t>
            </w:r>
          </w:p>
        </w:tc>
        <w:tc>
          <w:tcPr>
            <w:tcW w:type="dxa" w:w="4320"/>
          </w:tcPr>
          <w:p>
            <w:r>
              <w:t>Count of distinct order_ids (delivered) in the selected filters.</w:t>
            </w:r>
          </w:p>
        </w:tc>
      </w:tr>
      <w:tr>
        <w:tc>
          <w:tcPr>
            <w:tcW w:type="dxa" w:w="4320"/>
          </w:tcPr>
          <w:p>
            <w:r>
              <w:t>Avg Order Value</w:t>
            </w:r>
          </w:p>
        </w:tc>
        <w:tc>
          <w:tcPr>
            <w:tcW w:type="dxa" w:w="4320"/>
          </w:tcPr>
          <w:p>
            <w:r>
              <w:t>Total Revenue / Total Orders.</w:t>
            </w:r>
          </w:p>
        </w:tc>
      </w:tr>
      <w:tr>
        <w:tc>
          <w:tcPr>
            <w:tcW w:type="dxa" w:w="4320"/>
          </w:tcPr>
          <w:p>
            <w:r>
              <w:t>Repeat Customer Rate</w:t>
            </w:r>
          </w:p>
        </w:tc>
        <w:tc>
          <w:tcPr>
            <w:tcW w:type="dxa" w:w="4320"/>
          </w:tcPr>
          <w:p>
            <w:r>
              <w:t>Share of customer_unique_ids with more than 1 delivered order.</w:t>
            </w:r>
          </w:p>
        </w:tc>
      </w:tr>
      <w:tr>
        <w:tc>
          <w:tcPr>
            <w:tcW w:type="dxa" w:w="4320"/>
          </w:tcPr>
          <w:p>
            <w:r>
              <w:t>Avg Review Score</w:t>
            </w:r>
          </w:p>
        </w:tc>
        <w:tc>
          <w:tcPr>
            <w:tcW w:type="dxa" w:w="4320"/>
          </w:tcPr>
          <w:p>
            <w:r>
              <w:t>Mean review_score (1-5); one review per order retained.</w:t>
            </w:r>
          </w:p>
        </w:tc>
      </w:tr>
      <w:tr>
        <w:tc>
          <w:tcPr>
            <w:tcW w:type="dxa" w:w="4320"/>
          </w:tcPr>
          <w:p>
            <w:r>
              <w:t>On-time Delivery %</w:t>
            </w:r>
          </w:p>
        </w:tc>
        <w:tc>
          <w:tcPr>
            <w:tcW w:type="dxa" w:w="4320"/>
          </w:tcPr>
          <w:p>
            <w:r>
              <w:t>Share of delivered orders where delivered_customer_date &lt;= estimated_delivery_date.</w:t>
            </w:r>
          </w:p>
        </w:tc>
      </w:tr>
    </w:tbl>
    <w:p>
      <w:pPr>
        <w:pStyle w:val="Heading1"/>
      </w:pPr>
      <w:r>
        <w:t>4. Key Insights</w:t>
      </w:r>
    </w:p>
    <w:p>
      <w:pPr>
        <w:pStyle w:val="ListBullet"/>
      </w:pPr>
      <w:r>
        <w:rPr>
          <w:b/>
        </w:rPr>
        <w:t xml:space="preserve">Repeat Rate: </w:t>
      </w:r>
      <w:r>
        <w:t>Only a small fraction of customers (typically &lt;5%) repurchase, meaning the business is heavily acquisition-dependent — an expensive and unsustainable model.</w:t>
      </w:r>
    </w:p>
    <w:p>
      <w:pPr>
        <w:pStyle w:val="ListBullet"/>
      </w:pPr>
      <w:r>
        <w:rPr>
          <w:b/>
        </w:rPr>
        <w:t xml:space="preserve">Late Deliveries: </w:t>
      </w:r>
      <w:r>
        <w:t>Late orders receive ~0.5-1 stars less on average. High-latency states (northern/north-eastern Brazil) are disproportionate contributors.</w:t>
      </w:r>
    </w:p>
    <w:p>
      <w:pPr>
        <w:pStyle w:val="ListBullet"/>
      </w:pPr>
      <w:r>
        <w:rPr>
          <w:b/>
        </w:rPr>
        <w:t xml:space="preserve">RFM Segments: </w:t>
      </w:r>
      <w:r>
        <w:t>At Risk and Lost customers collectively represent a large share of past revenue that is now dormant and recoverable at lower cost than new acquisition.</w:t>
      </w:r>
    </w:p>
    <w:p>
      <w:pPr>
        <w:pStyle w:val="ListBullet"/>
      </w:pPr>
      <w:r>
        <w:rPr>
          <w:b/>
        </w:rPr>
        <w:t xml:space="preserve">Low-Review Categories: </w:t>
      </w:r>
      <w:r>
        <w:t>Several product categories score below 3.5/5 consistently, indicating structural quality or fulfilment issues not captured by aggregate KPIs.</w:t>
      </w:r>
    </w:p>
    <w:p>
      <w:pPr>
        <w:pStyle w:val="ListBullet"/>
      </w:pPr>
      <w:r>
        <w:rPr>
          <w:b/>
        </w:rPr>
        <w:t xml:space="preserve">Revenue Concentration: </w:t>
      </w:r>
      <w:r>
        <w:t>Top 3 states and top 5 categories often account for &gt;60% of revenue — concentration risk and opportunity in the same signal.</w:t>
      </w:r>
    </w:p>
    <w:p>
      <w:pPr>
        <w:pStyle w:val="Heading1"/>
      </w:pPr>
      <w:r>
        <w:t>5. Recommendations</w:t>
      </w:r>
    </w:p>
    <w:p>
      <w:pPr>
        <w:pStyle w:val="ListNumber"/>
      </w:pPr>
      <w:r>
        <w:t>Re-engagement campaign: target At-Risk customers with personalised email + 2nd-order discount within 7 days of 60-day inactivity.</w:t>
      </w:r>
    </w:p>
    <w:p>
      <w:pPr>
        <w:pStyle w:val="ListNumber"/>
      </w:pPr>
      <w:r>
        <w:t>Logistics SLA enforcement: identify seller-state pairs with &gt;20% late rate; re-route or penalise non-compliant sellers.</w:t>
      </w:r>
    </w:p>
    <w:p>
      <w:pPr>
        <w:pStyle w:val="ListNumber"/>
      </w:pPr>
      <w:r>
        <w:t>Category quality audit: for categories under 3.5 stars, require sellers to update product descriptions and photos; set a minimum review threshold.</w:t>
      </w:r>
    </w:p>
    <w:p>
      <w:pPr>
        <w:pStyle w:val="ListNumber"/>
      </w:pPr>
      <w:r>
        <w:t>Repeat-rate programme: post-purchase drip (confirmation -&gt; review ask -&gt; repeat incentive at day 14) to grow repeat rate by 5pp.</w:t>
      </w:r>
    </w:p>
    <w:p>
      <w:pPr>
        <w:pStyle w:val="ListNumber"/>
      </w:pPr>
      <w:r>
        <w:t>State-level expansion: top-revenue states have proven demand; incremental marketing spend there has higher ROI than untested markets.</w:t>
      </w:r>
    </w:p>
    <w:p>
      <w:pPr>
        <w:pStyle w:val="Heading1"/>
      </w:pPr>
      <w:r>
        <w:t>6. Dashboard Screenshots</w:t>
      </w:r>
    </w:p>
    <w:p>
      <w:pPr>
        <w:pStyle w:val="Heading2"/>
      </w:pPr>
      <w:r>
        <w:t>Page 1 – Executive Overview</w:t>
      </w:r>
    </w:p>
    <w:p>
      <w:r>
        <w:t>Full-page screenshot of the Executive Overview showing all 6 KPIs and the monthly revenue chart.</w:t>
      </w:r>
    </w:p>
    <w:p>
      <w:pPr>
        <w:jc w:val="center"/>
      </w:pPr>
      <w:r>
        <w:rPr>
          <w:b/>
          <w:color w:val="7F7F7F"/>
          <w:sz w:val="20"/>
        </w:rPr>
        <w:t>[SCREENSHOT PLACEHOLDER – Page 1 – Executive Overview]</w:t>
      </w:r>
    </w:p>
    <w:p/>
    <w:p>
      <w:pPr>
        <w:pStyle w:val="Heading2"/>
      </w:pPr>
      <w:r>
        <w:t>Page 2a – Revenue Trend &amp; Forecast</w:t>
      </w:r>
    </w:p>
    <w:p>
      <w:r>
        <w:t>Screenshot of the monthly revenue line chart with 3-month forecast overlay.</w:t>
      </w:r>
    </w:p>
    <w:p>
      <w:pPr>
        <w:jc w:val="center"/>
      </w:pPr>
      <w:r>
        <w:rPr>
          <w:b/>
          <w:color w:val="7F7F7F"/>
          <w:sz w:val="20"/>
        </w:rPr>
        <w:t>[SCREENSHOT PLACEHOLDER – Page 2a – Revenue Trend &amp; Forecast]</w:t>
      </w:r>
    </w:p>
    <w:p/>
    <w:p>
      <w:pPr>
        <w:pStyle w:val="Heading2"/>
      </w:pPr>
      <w:r>
        <w:t>Page 2b – Top Categories &amp; States</w:t>
      </w:r>
    </w:p>
    <w:p>
      <w:r>
        <w:t>Screenshot of the two horizontal bar charts side by side.</w:t>
      </w:r>
    </w:p>
    <w:p>
      <w:pPr>
        <w:jc w:val="center"/>
      </w:pPr>
      <w:r>
        <w:rPr>
          <w:b/>
          <w:color w:val="7F7F7F"/>
          <w:sz w:val="20"/>
        </w:rPr>
        <w:t>[SCREENSHOT PLACEHOLDER – Page 2b – Top Categories &amp; States]</w:t>
      </w:r>
    </w:p>
    <w:p/>
    <w:p>
      <w:pPr>
        <w:pStyle w:val="Heading2"/>
      </w:pPr>
      <w:r>
        <w:t>Page 2c – Late Delivery Driver</w:t>
      </w:r>
    </w:p>
    <w:p>
      <w:r>
        <w:t>Screenshot of the on-time vs late review-score bar chart and insight callout.</w:t>
      </w:r>
    </w:p>
    <w:p>
      <w:pPr>
        <w:jc w:val="center"/>
      </w:pPr>
      <w:r>
        <w:rPr>
          <w:b/>
          <w:color w:val="7F7F7F"/>
          <w:sz w:val="20"/>
        </w:rPr>
        <w:t>[SCREENSHOT PLACEHOLDER – Page 2c – Late Delivery Driver]</w:t>
      </w:r>
    </w:p>
    <w:p/>
    <w:p>
      <w:pPr>
        <w:pStyle w:val="Heading2"/>
      </w:pPr>
      <w:r>
        <w:t>Page 2d – RFM Segments</w:t>
      </w:r>
    </w:p>
    <w:p>
      <w:r>
        <w:t>Screenshot of the two RFM pie charts and segment summary table.</w:t>
      </w:r>
    </w:p>
    <w:p>
      <w:pPr>
        <w:jc w:val="center"/>
      </w:pPr>
      <w:r>
        <w:rPr>
          <w:b/>
          <w:color w:val="7F7F7F"/>
          <w:sz w:val="20"/>
        </w:rPr>
        <w:t>[SCREENSHOT PLACEHOLDER – Page 2d – RFM Segments]</w:t>
      </w:r>
    </w:p>
    <w:p/>
    <w:p>
      <w:pPr>
        <w:pStyle w:val="Heading2"/>
      </w:pPr>
      <w:r>
        <w:t>Page 3a – Risk Flags</w:t>
      </w:r>
    </w:p>
    <w:p>
      <w:r>
        <w:t>Screenshot of the risk flag alerts section.</w:t>
      </w:r>
    </w:p>
    <w:p>
      <w:pPr>
        <w:jc w:val="center"/>
      </w:pPr>
      <w:r>
        <w:rPr>
          <w:b/>
          <w:color w:val="7F7F7F"/>
          <w:sz w:val="20"/>
        </w:rPr>
        <w:t>[SCREENSHOT PLACEHOLDER – Page 3a – Risk Flags]</w:t>
      </w:r>
    </w:p>
    <w:p/>
    <w:p>
      <w:pPr>
        <w:pStyle w:val="Heading2"/>
      </w:pPr>
      <w:r>
        <w:t>Page 3b – Opportunity &amp; Action Table</w:t>
      </w:r>
    </w:p>
    <w:p>
      <w:r>
        <w:t>Screenshot of the opportunity estimate callout and action table.</w:t>
      </w:r>
    </w:p>
    <w:p>
      <w:pPr>
        <w:jc w:val="center"/>
      </w:pPr>
      <w:r>
        <w:rPr>
          <w:b/>
          <w:color w:val="7F7F7F"/>
          <w:sz w:val="20"/>
        </w:rPr>
        <w:t>[SCREENSHOT PLACEHOLDER – Page 3b – Opportunity &amp; Action Table]</w:t>
      </w:r>
    </w:p>
    <w:p/>
    <w:p>
      <w:pPr>
        <w:pStyle w:val="Heading2"/>
      </w:pPr>
      <w:r>
        <w:t>Page 3c – AI Advisor Output</w:t>
      </w:r>
    </w:p>
    <w:p>
      <w:r>
        <w:t>Screenshot of the generated executive brief (run with or without API key).</w:t>
      </w:r>
    </w:p>
    <w:p>
      <w:pPr>
        <w:jc w:val="center"/>
      </w:pPr>
      <w:r>
        <w:rPr>
          <w:b/>
          <w:color w:val="7F7F7F"/>
          <w:sz w:val="20"/>
        </w:rPr>
        <w:t>[SCREENSHOT PLACEHOLDER – Page 3c – AI Advisor Output]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