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0dfe74deaa54bf7" /><Relationship Type="http://schemas.openxmlformats.org/package/2006/relationships/metadata/core-properties" Target="/docProps/core.xml" Id="R7ff39e9f63984eb7" /><Relationship Type="http://schemas.openxmlformats.org/officeDocument/2006/relationships/extended-properties" Target="/docProps/app.xml" Id="Rf43f8ad8515545ba" /><Relationship Type="http://schemas.openxmlformats.org/officeDocument/2006/relationships/custom-properties" Target="/docProps/custom.xml" Id="R3dc18ed634e645c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6"/>
        </w:rPr>
        <w:t xml:space="preserve">AI Procurement Cost-Savings Advisor</w:t>
      </w:r>
    </w:p>
    <w:p w14:paraId="00100002" w14:textId="00100003">
      <w:pPr>
        <w:spacing w:after="120"/>
        <w:jc w:val="center"/>
      </w:pPr>
      <w:r>
        <w:rPr>
          <w:color w:val="57606A"/>
          <w:sz w:val="26"/>
        </w:rPr>
        <w:t xml:space="preserve">Project Report — IBM AICTE Internship</w:t>
      </w:r>
    </w:p>
    <w:p w14:paraId="00100004" w14:textId="00100005">
      <w:pPr>
        <w:spacing w:after="360"/>
        <w:jc w:val="center"/>
      </w:pPr>
      <w:r>
        <w:rPr>
          <w:color w:val="3B82D4"/>
          <w:sz w:val="22"/>
        </w:rPr>
        <w:t xml:space="preserve">Dataset: https://www.kaggle.com/datasets/ayodejiibrahimlateef/supply-chain-datasets</w:t>
      </w:r>
    </w:p>
    <w:p w14:paraId="00100006" w14:textId="00100007">
      <w:pPr>
        <w:pStyle w:val="Heading1"/>
        <w:spacing w:after="120"/>
      </w:pPr>
      <w:r>
        <w:rPr>
          <w:b/>
          <w:sz w:val="36"/>
        </w:rPr>
        <w:t xml:space="preserve">1. Problem Statement</w:t>
      </w:r>
    </w:p>
    <w:p w14:paraId="00100008" w14:textId="00100009">
      <w:pPr>
        <w:spacing w:after="120"/>
      </w:pPr>
      <w:r>
        <w:rPr>
          <w:sz w:val="22"/>
        </w:rPr>
        <w:t xml:space="preserve">Procurement teams in large organisations manage hundreds of suppliers and thousands of purchase orders, yet most spend analysis is reactive — reviewed monthly or quarterly in static spreadsheets. This creates three systemic problems:</w:t>
      </w:r>
    </w:p>
    <w:p w14:paraId="0010000A" w14:textId="0010000B">
      <w:pPr>
        <w:numPr>
          <w:ilvl w:val="0"/>
          <w:numId w:val="1"/>
        </w:numPr>
        <w:spacing w:after="80"/>
      </w:pPr>
      <w:r>
        <w:rPr>
          <w:sz w:val="22"/>
        </w:rPr>
        <w:t xml:space="preserve">• Cost Leakage: Unit costs drift above benchmark rates without triggering alerts, eroding margins silently.</w:t>
      </w:r>
    </w:p>
    <w:p w14:paraId="0010000C" w14:textId="0010000D">
      <w:pPr>
        <w:numPr>
          <w:ilvl w:val="0"/>
          <w:numId w:val="1"/>
        </w:numPr>
        <w:spacing w:after="80"/>
      </w:pPr>
      <w:r>
        <w:rPr>
          <w:sz w:val="22"/>
        </w:rPr>
        <w:t xml:space="preserve">• Delivery Risk: Chronic late deliveries from certain suppliers disrupt production continuity and inflate expediting costs.</w:t>
      </w:r>
    </w:p>
    <w:p w14:paraId="0010000E" w14:textId="0010000F">
      <w:pPr>
        <w:numPr>
          <w:ilvl w:val="0"/>
          <w:numId w:val="1"/>
        </w:numPr>
        <w:spacing w:after="240"/>
      </w:pPr>
      <w:r>
        <w:rPr>
          <w:sz w:val="22"/>
        </w:rPr>
        <w:t xml:space="preserve">• Spend Fragmentation: The same SKU is sourced from multiple suppliers at varying unit costs, preventing volume-leverage discounts.</w:t>
      </w:r>
    </w:p>
    <w:p w14:paraId="00100010" w14:textId="00100011">
      <w:pPr>
        <w:spacing w:after="240"/>
      </w:pPr>
      <w:r>
        <w:rPr>
          <w:sz w:val="22"/>
        </w:rPr>
        <w:t xml:space="preserve">This project builds an AI Procurement Cost-Savings Advisor — an interactive Streamlit dashboard that transforms raw procurement, supplier, and product master data into prioritised, quantified, actionable recommendations in real time.</w:t>
      </w:r>
    </w:p>
    <w:p w14:paraId="00100012" w14:textId="00100013">
      <w:pPr>
        <w:pStyle w:val="Heading1"/>
        <w:spacing w:after="120"/>
      </w:pPr>
      <w:r>
        <w:rPr>
          <w:b/>
          <w:sz w:val="36"/>
        </w:rPr>
        <w:t xml:space="preserve">2. Approach &amp; Methodology</w:t>
      </w:r>
    </w:p>
    <w:p w14:paraId="00100014" w14:textId="00100015">
      <w:pPr>
        <w:pStyle w:val="Heading2"/>
        <w:spacing w:after="80"/>
      </w:pPr>
      <w:r>
        <w:rPr>
          <w:b/>
          <w:sz w:val="28"/>
        </w:rPr>
        <w:t xml:space="preserve">2.1 Data Pipeline</w:t>
      </w:r>
    </w:p>
    <w:p w14:paraId="00100016" w14:textId="00100017">
      <w:pPr>
        <w:spacing w:after="120"/>
      </w:pPr>
      <w:r>
        <w:rPr>
          <w:sz w:val="22"/>
        </w:rPr>
        <w:t xml:space="preserve">Three CSV files are loaded with pandas.read_csv and joined on their primary keys as defined in the data dictionary: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18" w14:textId="00100019">
            <w:r>
              <w:t xml:space="preserve">File</w:t>
            </w:r>
          </w:p>
        </w:tc>
        <w:tc>
          <w:p w14:paraId="0010001A" w14:textId="0010001B">
            <w:r>
              <w:t xml:space="preserve">Join Key</w:t>
            </w:r>
          </w:p>
        </w:tc>
        <w:tc>
          <w:p w14:paraId="0010001C" w14:textId="0010001D">
            <w:r>
              <w:t xml:space="preserve">Key Columns Used</w:t>
            </w:r>
          </w:p>
        </w:tc>
      </w:tr>
      <w:tr>
        <w:trPr/>
        <w:tc>
          <w:p w14:paraId="0010001E" w14:textId="0010001F">
            <w:r>
              <w:t xml:space="preserve">procurement_orders.csv</w:t>
            </w:r>
          </w:p>
        </w:tc>
        <w:tc>
          <w:p w14:paraId="00100020" w14:textId="00100021">
            <w:r>
              <w:t xml:space="preserve">Supplier_ID → supplier_master</w:t>
            </w:r>
          </w:p>
        </w:tc>
        <w:tc>
          <w:p w14:paraId="00100022" w14:textId="00100023">
            <w:r>
              <w:t xml:space="preserve">PO_ID, Supplier_ID, Raw_Material_ID, Order_Date, Order_Quantity, Unit_Cost, Delivery dates, Total_Cost</w:t>
            </w:r>
          </w:p>
        </w:tc>
      </w:tr>
      <w:tr>
        <w:trPr/>
        <w:tc>
          <w:p w14:paraId="00100024" w14:textId="00100025">
            <w:r>
              <w:t xml:space="preserve">supplier_master.csv</w:t>
            </w:r>
          </w:p>
        </w:tc>
        <w:tc>
          <w:p w14:paraId="00100026" w14:textId="00100027">
            <w:r>
              <w:t xml:space="preserve">Supplier_ID (PK)</w:t>
            </w:r>
          </w:p>
        </w:tc>
        <w:tc>
          <w:p w14:paraId="00100028" w14:textId="00100029">
            <w:r>
              <w:t xml:space="preserve">Supplier_Name, Country, On_Time_Delivery_Rate, Certification_Level</w:t>
            </w:r>
          </w:p>
        </w:tc>
      </w:tr>
      <w:tr>
        <w:trPr/>
        <w:tc>
          <w:p w14:paraId="0010002A" w14:textId="0010002B">
            <w:r>
              <w:t xml:space="preserve">product_master.csv</w:t>
            </w:r>
          </w:p>
        </w:tc>
        <w:tc>
          <w:p w14:paraId="0010002C" w14:textId="0010002D">
            <w:r>
              <w:t xml:space="preserve">Product_ID = Raw_Material_ID</w:t>
            </w:r>
          </w:p>
        </w:tc>
        <w:tc>
          <w:p w14:paraId="0010002E" w14:textId="0010002F">
            <w:r>
              <w:t xml:space="preserve">Category, Subcategory, Unit_Cost (standard), Standard_Price, Product_Name</w:t>
            </w:r>
          </w:p>
        </w:tc>
      </w:tr>
    </w:tbl>
    <w:p w14:paraId="00100030" w14:textId="00100031">
      <w:pPr>
        <w:spacing w:after="120"/>
      </w:pPr>
      <w:r>
        <w:rPr>
          <w:sz w:val="22"/>
        </w:rPr>
        <w:t xml:space="preserve">Dates are parsed, delivery delay is computed as Delivery_Date_Actual − Delivery_Date_Planned, and cost variance is computed as Actual Unit Cost − Standard Unit Cost from product_master. A sidebar data-quality note reports null counts and duplicate removals.</w:t>
      </w:r>
    </w:p>
    <w:p w14:paraId="00100032" w14:textId="00100033">
      <w:pPr>
        <w:pStyle w:val="Heading2"/>
        <w:spacing w:after="80"/>
      </w:pPr>
      <w:r>
        <w:rPr>
          <w:b/>
          <w:sz w:val="28"/>
        </w:rPr>
        <w:t xml:space="preserve">2.2 Architecture</w:t>
      </w:r>
    </w:p>
    <w:p w14:paraId="00100034" w14:textId="00100035">
      <w:pPr>
        <w:spacing w:after="120"/>
      </w:pPr>
      <w:r>
        <w:rPr>
          <w:sz w:val="22"/>
        </w:rPr>
        <w:t xml:space="preserve">All logic is contained in a single file, procurement_advisor.py (~400 lines), structured as follows:</w:t>
      </w:r>
    </w:p>
    <w:p w14:paraId="00100036" w14:textId="00100037">
      <w:pPr>
        <w:numPr>
          <w:ilvl w:val="0"/>
          <w:numId w:val="2"/>
        </w:numPr>
        <w:spacing w:after="80"/>
      </w:pPr>
      <w:r>
        <w:rPr>
          <w:sz w:val="22"/>
        </w:rPr>
        <w:t xml:space="preserve">• Data Layer: pandas-based loading, joins, and aggregations cached with @st.cache_data.</w:t>
      </w:r>
    </w:p>
    <w:p w14:paraId="00100038" w14:textId="00100039">
      <w:pPr>
        <w:numPr>
          <w:ilvl w:val="0"/>
          <w:numId w:val="2"/>
        </w:numPr>
        <w:spacing w:after="80"/>
      </w:pPr>
      <w:r>
        <w:rPr>
          <w:sz w:val="22"/>
        </w:rPr>
        <w:t xml:space="preserve">• Visualisation Layer: Plotly Express and Graph Objects — bar, line, pie/donut, box, and scatter charts.</w:t>
      </w:r>
    </w:p>
    <w:p w14:paraId="0010003A" w14:textId="0010003B">
      <w:pPr>
        <w:numPr>
          <w:ilvl w:val="0"/>
          <w:numId w:val="2"/>
        </w:numPr>
        <w:spacing w:after="240"/>
      </w:pPr>
      <w:r>
        <w:rPr>
          <w:sz w:val="22"/>
        </w:rPr>
        <w:t xml:space="preserve">• AI/GenAI Layer: OpenAI gpt-4o-mini API called with computed summary statistics only (no raw data sent). Automatic rule-based fallback when no API key is present — the app is fully functional without any API key.</w:t>
      </w:r>
    </w:p>
    <w:p w14:paraId="0010003C" w14:textId="0010003D">
      <w:pPr>
        <w:pStyle w:val="Heading1"/>
        <w:spacing w:after="120"/>
      </w:pPr>
      <w:r>
        <w:rPr>
          <w:b/>
          <w:sz w:val="36"/>
        </w:rPr>
        <w:t xml:space="preserve">3. Key Performance Indicators (KPIs)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E" w14:textId="0010003F">
            <w:r>
              <w:t xml:space="preserve">KPI</w:t>
            </w:r>
          </w:p>
        </w:tc>
        <w:tc>
          <w:p w14:paraId="00100040" w14:textId="00100041">
            <w:r>
              <w:t xml:space="preserve">Formula</w:t>
            </w:r>
          </w:p>
        </w:tc>
        <w:tc>
          <w:p w14:paraId="00100042" w14:textId="00100043">
            <w:r>
              <w:t xml:space="preserve">Benchmark / Target</w:t>
            </w:r>
          </w:p>
        </w:tc>
      </w:tr>
      <w:tr>
        <w:trPr/>
        <w:tc>
          <w:p w14:paraId="00100044" w14:textId="00100045">
            <w:r>
              <w:t xml:space="preserve">Total Spend ($)</w:t>
            </w:r>
          </w:p>
        </w:tc>
        <w:tc>
          <w:p w14:paraId="00100046" w14:textId="00100047">
            <w:r>
              <w:t xml:space="preserve">Σ Total_Cost (procurement_orders)</w:t>
            </w:r>
          </w:p>
        </w:tc>
        <w:tc>
          <w:p w14:paraId="00100048" w14:textId="00100049">
            <w:r>
              <w:t xml:space="preserve">Trend down QoQ</w:t>
            </w:r>
          </w:p>
        </w:tc>
      </w:tr>
      <w:tr>
        <w:trPr/>
        <w:tc>
          <w:p w14:paraId="0010004A" w14:textId="0010004B">
            <w:r>
              <w:t xml:space="preserve">Avg Delivery Delay (days)</w:t>
            </w:r>
          </w:p>
        </w:tc>
        <w:tc>
          <w:p w14:paraId="0010004C" w14:textId="0010004D">
            <w:r>
              <w:t xml:space="preserve">mean(Delivery_Date_Actual − Delivery_Date_Planned)</w:t>
            </w:r>
          </w:p>
        </w:tc>
        <w:tc>
          <w:p w14:paraId="0010004E" w14:textId="0010004F">
            <w:r>
              <w:t xml:space="preserve">Target ≤ 0 days</w:t>
            </w:r>
          </w:p>
        </w:tc>
      </w:tr>
      <w:tr>
        <w:trPr/>
        <w:tc>
          <w:p w14:paraId="00100050" w14:textId="00100051">
            <w:r>
              <w:t xml:space="preserve">On-Time Delivery (%)</w:t>
            </w:r>
          </w:p>
        </w:tc>
        <w:tc>
          <w:p w14:paraId="00100052" w14:textId="00100053">
            <w:r>
              <w:t xml:space="preserve">count(Delay ≤ 0) / total orders × 100</w:t>
            </w:r>
          </w:p>
        </w:tc>
        <w:tc>
          <w:p w14:paraId="00100054" w14:textId="00100055">
            <w:r>
              <w:t xml:space="preserve">Target ≥ 95%</w:t>
            </w:r>
          </w:p>
        </w:tc>
      </w:tr>
      <w:tr>
        <w:trPr/>
        <w:tc>
          <w:p w14:paraId="00100056" w14:textId="00100057">
            <w:r>
              <w:t xml:space="preserve">Active Suppliers</w:t>
            </w:r>
          </w:p>
        </w:tc>
        <w:tc>
          <w:p w14:paraId="00100058" w14:textId="00100059">
            <w:r>
              <w:t xml:space="preserve">Unique Supplier_ID count</w:t>
            </w:r>
          </w:p>
        </w:tc>
        <w:tc>
          <w:p w14:paraId="0010005A" w14:textId="0010005B">
            <w:r>
              <w:t xml:space="preserve">Consolidate toward fewer preferred</w:t>
            </w:r>
          </w:p>
        </w:tc>
      </w:tr>
      <w:tr>
        <w:trPr/>
        <w:tc>
          <w:p w14:paraId="0010005C" w14:textId="0010005D">
            <w:r>
              <w:t xml:space="preserve">Potential Savings ($)</w:t>
            </w:r>
          </w:p>
        </w:tc>
        <w:tc>
          <w:p w14:paraId="0010005E" w14:textId="0010005F">
            <w:r>
              <w:t xml:space="preserve">Σ (Unit_Cost − Std_Unit_Cost) × Qty where positive</w:t>
            </w:r>
          </w:p>
        </w:tc>
        <w:tc>
          <w:p w14:paraId="00100060" w14:textId="00100061">
            <w:r>
              <w:t xml:space="preserve">Maximise reduction</w:t>
            </w:r>
          </w:p>
        </w:tc>
      </w:tr>
      <w:tr>
        <w:trPr/>
        <w:tc>
          <w:p w14:paraId="00100062" w14:textId="00100063">
            <w:r>
              <w:t xml:space="preserve">Supplier Risk Score</w:t>
            </w:r>
          </w:p>
        </w:tc>
        <w:tc>
          <w:p w14:paraId="00100064" w14:textId="00100065">
            <w:r>
              <w:t xml:space="preserve">Delay score + On-Time score + Spend concentration score (0–6)</w:t>
            </w:r>
          </w:p>
        </w:tc>
        <w:tc>
          <w:p w14:paraId="00100066" w14:textId="00100067">
            <w:r>
              <w:t xml:space="preserve">High ≥ 4; Medium ≥ 2; Low &lt; 2</w:t>
            </w:r>
          </w:p>
        </w:tc>
      </w:tr>
    </w:tbl>
    <w:p w14:paraId="00100068" w14:textId="00100069">
      <w:pPr>
        <w:spacing w:after="240"/>
      </w:pPr>
      <w:r>
        <w:rPr/>
        <w:t xml:space="preserve"/>
      </w:r>
    </w:p>
    <w:p w14:paraId="0010006A" w14:textId="0010006B">
      <w:pPr>
        <w:pStyle w:val="Heading1"/>
        <w:spacing w:after="120"/>
      </w:pPr>
      <w:r>
        <w:rPr>
          <w:b/>
          <w:sz w:val="36"/>
        </w:rPr>
        <w:t xml:space="preserve">4. Dashboard Pages</w:t>
      </w:r>
    </w:p>
    <w:p w14:paraId="0010006C" w14:textId="0010006D">
      <w:pPr>
        <w:pStyle w:val="Heading2"/>
        <w:spacing w:after="80"/>
      </w:pPr>
      <w:r>
        <w:rPr>
          <w:b/>
          <w:sz w:val="28"/>
        </w:rPr>
        <w:t xml:space="preserve">4.1 Page 1 — Executive Overview</w:t>
      </w:r>
    </w:p>
    <w:p w14:paraId="0010006E" w14:textId="0010006F">
      <w:pPr>
        <w:spacing w:after="80"/>
      </w:pPr>
      <w:r>
        <w:rPr>
          <w:sz w:val="22"/>
        </w:rPr>
        <w:t xml:space="preserve">Fact: The Executive Overview surfaces five top-level KPI cards — Total Spend, Avg Delivery Delay, On-Time Delivery %, Active Suppliers, and Potential Savings — computed in real time from the filtered dataset.</w:t>
      </w:r>
    </w:p>
    <w:p w14:paraId="00100070" w14:textId="00100071">
      <w:pPr>
        <w:spacing w:after="80"/>
      </w:pPr>
      <w:r>
        <w:rPr>
          <w:sz w:val="22"/>
        </w:rPr>
        <w:t xml:space="preserve">Insight: A dual-axis line chart overlays monthly spend with average delay to reveal whether cost and latency move together (common when rush orders inflate both). A donut chart shows spend concentration by product category.</w:t>
      </w:r>
    </w:p>
    <w:p w14:paraId="00100072" w14:textId="00100073">
      <w:pPr>
        <w:spacing w:after="80"/>
      </w:pPr>
      <w:r>
        <w:rPr>
          <w:sz w:val="22"/>
        </w:rPr>
        <w:t xml:space="preserve">Risk/Opportunity: Auto-generated insight banners follow the Fact → Insight → Risk → Action structure and quantify the 3–5% SLA penalty recovery estimate.</w:t>
      </w:r>
    </w:p>
    <w:p w14:paraId="00100074" w14:textId="00100075">
      <w:pPr>
        <w:spacing w:after="200"/>
      </w:pPr>
      <w:r>
        <w:rPr>
          <w:sz w:val="22"/>
        </w:rPr>
        <w:t xml:space="preserve">Action: Use filters (supplier, category, date range) to drill into a specific business unit's KPIs before presenting to the CFO.</w:t>
      </w:r>
    </w:p>
    <w:p w14:paraId="00100076" w14:textId="00100077">
      <w:pPr>
        <w:pStyle w:val="Heading2"/>
        <w:spacing w:after="80"/>
      </w:pPr>
      <w:r>
        <w:rPr>
          <w:b/>
          <w:sz w:val="28"/>
        </w:rPr>
        <w:t xml:space="preserve">4.2 Page 2 — Vendor &amp; Spend Analysis</w:t>
      </w:r>
    </w:p>
    <w:p w14:paraId="00100078" w14:textId="00100079">
      <w:pPr>
        <w:spacing w:after="80"/>
      </w:pPr>
      <w:r>
        <w:rPr>
          <w:sz w:val="22"/>
        </w:rPr>
        <w:t xml:space="preserve">Fact: Six charts cover the full vendor performance picture — top 15 suppliers by spend, top 15 by average delay, monthly spend trend by category, unit-cost box plots by category, actual vs standard cost scatter with parity line, and a full supplier ranking table (spend, delay, on-time rate, order count).</w:t>
      </w:r>
    </w:p>
    <w:p w14:paraId="0010007A" w14:textId="0010007B">
      <w:pPr>
        <w:spacing w:after="80"/>
      </w:pPr>
      <w:r>
        <w:rPr>
          <w:sz w:val="22"/>
        </w:rPr>
        <w:t xml:space="preserve">Insight: The scatter plot visually separates over-priced orders (above the parity line) from under-priced ones, highlighting categories with systematic cost drift. Box plots expose price inconsistency within categories — high IQR signals poor price control.</w:t>
      </w:r>
    </w:p>
    <w:p w14:paraId="0010007C" w14:textId="0010007D">
      <w:pPr>
        <w:spacing w:after="80"/>
      </w:pPr>
      <w:r>
        <w:rPr>
          <w:sz w:val="22"/>
        </w:rPr>
        <w:t xml:space="preserve">Risk/Opportunity: Suppliers appearing in both the spend top-15 and the delay top-15 represent dual risk — high financial exposure combined with operational unreliability.</w:t>
      </w:r>
    </w:p>
    <w:p w14:paraId="0010007E" w14:textId="0010007F">
      <w:pPr>
        <w:spacing w:after="200"/>
      </w:pPr>
      <w:r>
        <w:rPr>
          <w:sz w:val="22"/>
        </w:rPr>
        <w:t xml:space="preserve">Action: Sort the ranking table by On-Time Rate ascending to immediately identify underperformers. Use the delay bar chart to pre-qualify suppliers for SLA renegotiation.</w:t>
      </w:r>
    </w:p>
    <w:p w14:paraId="00100080" w14:textId="00100081">
      <w:pPr>
        <w:pStyle w:val="Heading2"/>
        <w:spacing w:after="80"/>
      </w:pPr>
      <w:r>
        <w:rPr>
          <w:b/>
          <w:sz w:val="28"/>
        </w:rPr>
        <w:t xml:space="preserve">4.3 Page 3 — Risk, Savings &amp; AI Advisor</w:t>
      </w:r>
    </w:p>
    <w:p w14:paraId="00100082" w14:textId="00100083">
      <w:pPr>
        <w:spacing w:after="80"/>
      </w:pPr>
      <w:r>
        <w:rPr>
          <w:sz w:val="22"/>
        </w:rPr>
        <w:t xml:space="preserve">This page has three sections — Risk Assessment, Savings Opportunities, and AI Features.</w:t>
      </w:r>
    </w:p>
    <w:p w14:paraId="00100084" w14:textId="00100085">
      <w:pPr>
        <w:spacing w:after="80"/>
      </w:pPr>
      <w:r>
        <w:rPr>
          <w:sz w:val="22"/>
        </w:rPr>
        <w:t xml:space="preserve">Risk Assessment: Each supplier receives a risk score (0–6) across three dimensions — delivery delay (max +2), on-time rate (max +2), and spend concentration (max +2). Scores ≥4 = High Risk (red), ≥2 = Medium (yellow), &lt;2 = Low (green). A pie chart and a spend-concentration bar chart visualise the distribution.</w:t>
      </w:r>
    </w:p>
    <w:p w14:paraId="00100086" w14:textId="00100087">
      <w:pPr>
        <w:spacing w:after="80"/>
      </w:pPr>
      <w:r>
        <w:rPr>
          <w:sz w:val="22"/>
        </w:rPr>
        <w:t xml:space="preserve">Savings Opportunities: Two quantified saving streams are presented. Renegotiation savings are computed per SKU as the sum of (Actual Unit Cost − P25 cost for that SKU) × Quantity for all over-priced orders. Consolidation savings are computed per fragmented SKU (≥3 suppliers) as Actual multi-supplier spend − (lowest avg unit cost × total volume). A recommended actions table maps each finding to a specific supplier, issue, action, and estimated dollar impact.</w:t>
      </w:r>
    </w:p>
    <w:p w14:paraId="00100088" w14:textId="00100089">
      <w:pPr>
        <w:spacing w:after="240"/>
      </w:pPr>
      <w:r>
        <w:rPr>
          <w:sz w:val="22"/>
        </w:rPr>
        <w:t xml:space="preserve">AI Features: Three tabs provide AI-powered narratives. The Negotiation Brief tab generates a structured brief for a selected supplier. The CFO Memo tab produces a board-ready memo of the top 3 savings opportunities. The Ask Your Data tab accepts natural-language questions and responds using computed summary statistics. All three fall back to rule-based template text when no OpenAI API key is configured.</w:t>
      </w:r>
    </w:p>
    <w:p w14:paraId="0010008A" w14:textId="0010008B">
      <w:pPr>
        <w:pStyle w:val="Heading1"/>
        <w:spacing w:after="120"/>
      </w:pPr>
      <w:r>
        <w:rPr>
          <w:b/>
          <w:sz w:val="36"/>
        </w:rPr>
        <w:t xml:space="preserve">5. Data Insights</w:t>
      </w:r>
    </w:p>
    <w:p w14:paraId="0010008C" w14:textId="0010008D">
      <w:pPr>
        <w:spacing w:after="120"/>
      </w:pPr>
      <w:r>
        <w:rPr>
          <w:sz w:val="22"/>
        </w:rPr>
        <w:t xml:space="preserve">The following insights are derived from the 2,000-row procurement orders dataset joined with 100 suppliers and 200 products:</w:t>
      </w:r>
    </w:p>
    <w:p w14:paraId="0010008E" w14:textId="0010008F">
      <w:pPr>
        <w:numPr>
          <w:ilvl w:val="0"/>
          <w:numId w:val="3"/>
        </w:numPr>
        <w:spacing w:after="120"/>
      </w:pPr>
      <w:r>
        <w:rPr>
          <w:sz w:val="22"/>
        </w:rPr>
        <w:t xml:space="preserve">Insight 1 — High Late Delivery Rate: 61.7% of procurement orders arrived after the planned delivery date (avg +1.58 days). Fact: 1,234 of 2,000 orders were late. Risk: Production delays and emergency sourcing costs. Action: Mandate monthly SLA reviews and introduce 1–2% penalty rebates for delays &gt;3 days.</w:t>
      </w:r>
    </w:p>
    <w:p w14:paraId="00100090" w14:textId="00100091">
      <w:pPr>
        <w:numPr>
          <w:ilvl w:val="0"/>
          <w:numId w:val="3"/>
        </w:numPr>
        <w:spacing w:after="120"/>
      </w:pPr>
      <w:r>
        <w:rPr>
          <w:sz w:val="22"/>
        </w:rPr>
        <w:t xml:space="preserve">Insight 2 — Unit Cost Variance: Mean actual unit cost ($41.60) shows significant variance (std $22.0, range $3–$80) within categories. Fact: Many orders are placed above the 25th-percentile cost for the same SKU. Opportunity: Renegotiating top-variance items to P25 benchmarks unlocks measurable savings. Action: Rank SKUs by renegotiation saving and address the top 10 in the next supplier review cycle.</w:t>
      </w:r>
    </w:p>
    <w:p w14:paraId="00100092" w14:textId="00100093">
      <w:pPr>
        <w:numPr>
          <w:ilvl w:val="0"/>
          <w:numId w:val="3"/>
        </w:numPr>
        <w:spacing w:after="120"/>
      </w:pPr>
      <w:r>
        <w:rPr>
          <w:sz w:val="22"/>
        </w:rPr>
        <w:t xml:space="preserve">Insight 3 — Spend Fragmentation: Multiple SKUs are sourced from 3 or more suppliers at differing unit costs. Fact: Consolidating volume to the lowest-cost qualified supplier per fragmented SKU yields consolidation savings. Opportunity: Vendor consolidation reduces administrative overhead and unlocks volume rebates. Action: Identify consolidation candidates in the savings table and initiate preferred-supplier agreements.</w:t>
      </w:r>
    </w:p>
    <w:p w14:paraId="00100094" w14:textId="00100095">
      <w:pPr>
        <w:numPr>
          <w:ilvl w:val="0"/>
          <w:numId w:val="3"/>
        </w:numPr>
        <w:spacing w:after="240"/>
      </w:pPr>
      <w:r>
        <w:rPr>
          <w:sz w:val="22"/>
        </w:rPr>
        <w:t xml:space="preserve">Insight 4 — Supplier Certification Gap: 21 of 100 suppliers (21%) have no recorded Certification_Level. Fact: Uncertified suppliers may present quality and compliance risks. Risk: Supply chain audits may flag uncertified spend. Action: Prioritise certification onboarding for high-spend uncertified suppliers.</w:t>
      </w:r>
    </w:p>
    <w:p w14:paraId="00100096" w14:textId="00100097">
      <w:pPr>
        <w:pStyle w:val="Heading1"/>
        <w:spacing w:after="120"/>
      </w:pPr>
      <w:r>
        <w:rPr>
          <w:b/>
          <w:sz w:val="36"/>
        </w:rPr>
        <w:t xml:space="preserve">6. Recommendations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98" w14:textId="00100099">
            <w:r>
              <w:t xml:space="preserve">Priority</w:t>
            </w:r>
          </w:p>
        </w:tc>
        <w:tc>
          <w:p w14:paraId="0010009A" w14:textId="0010009B">
            <w:r>
              <w:t xml:space="preserve">Recommendation</w:t>
            </w:r>
          </w:p>
        </w:tc>
        <w:tc>
          <w:p w14:paraId="0010009C" w14:textId="0010009D">
            <w:r>
              <w:t xml:space="preserve">Estimated Impact</w:t>
            </w:r>
          </w:p>
        </w:tc>
        <w:tc>
          <w:p w14:paraId="0010009E" w14:textId="0010009F">
            <w:r>
              <w:t xml:space="preserve">Owner</w:t>
            </w:r>
          </w:p>
        </w:tc>
      </w:tr>
      <w:tr>
        <w:trPr/>
        <w:tc>
          <w:p w14:paraId="001000A0" w14:textId="001000A1">
            <w:r>
              <w:t xml:space="preserve">1 — Immediate</w:t>
            </w:r>
          </w:p>
        </w:tc>
        <w:tc>
          <w:p w14:paraId="001000A2" w14:textId="001000A3">
            <w:r>
              <w:t xml:space="preserve">Renegotiate top-10 SKUs priced above P25 benchmark to P25 unit cost</w:t>
            </w:r>
          </w:p>
        </w:tc>
        <w:tc>
          <w:p w14:paraId="001000A4" w14:textId="001000A5">
            <w:r>
              <w:t xml:space="preserve">See renegotiation savings total on Page 3</w:t>
            </w:r>
          </w:p>
        </w:tc>
        <w:tc>
          <w:p w14:paraId="001000A6" w14:textId="001000A7">
            <w:r>
              <w:t xml:space="preserve">Category Managers</w:t>
            </w:r>
          </w:p>
        </w:tc>
      </w:tr>
      <w:tr>
        <w:trPr/>
        <w:tc>
          <w:p w14:paraId="001000A8" w14:textId="001000A9">
            <w:r>
              <w:t xml:space="preserve">2 — This Quarter</w:t>
            </w:r>
          </w:p>
        </w:tc>
        <w:tc>
          <w:p w14:paraId="001000AA" w14:textId="001000AB">
            <w:r>
              <w:t xml:space="preserve">Consolidate fragmented SKUs (≥3 suppliers) to lowest-cost qualified supplier</w:t>
            </w:r>
          </w:p>
        </w:tc>
        <w:tc>
          <w:p w14:paraId="001000AC" w14:textId="001000AD">
            <w:r>
              <w:t xml:space="preserve">See consolidation savings metric</w:t>
            </w:r>
          </w:p>
        </w:tc>
        <w:tc>
          <w:p w14:paraId="001000AE" w14:textId="001000AF">
            <w:r>
              <w:t xml:space="preserve">Procurement Director</w:t>
            </w:r>
          </w:p>
        </w:tc>
      </w:tr>
      <w:tr>
        <w:trPr/>
        <w:tc>
          <w:p w14:paraId="001000B0" w14:textId="001000B1">
            <w:r>
              <w:t xml:space="preserve">3 — This Quarter</w:t>
            </w:r>
          </w:p>
        </w:tc>
        <w:tc>
          <w:p w14:paraId="001000B2" w14:textId="001000B3">
            <w:r>
              <w:t xml:space="preserve">Introduce SLA penalty clauses for High-Risk suppliers (Avg Delay &gt; 3 days)</w:t>
            </w:r>
          </w:p>
        </w:tc>
        <w:tc>
          <w:p w14:paraId="001000B4" w14:textId="001000B5">
            <w:r>
              <w:t xml:space="preserve">2–3% of affected supplier spend recovered</w:t>
            </w:r>
          </w:p>
        </w:tc>
        <w:tc>
          <w:p w14:paraId="001000B6" w14:textId="001000B7">
            <w:r>
              <w:t xml:space="preserve">Legal + Procurement</w:t>
            </w:r>
          </w:p>
        </w:tc>
      </w:tr>
      <w:tr>
        <w:trPr/>
        <w:tc>
          <w:p w14:paraId="001000B8" w14:textId="001000B9">
            <w:r>
              <w:t xml:space="preserve">4 — Next Quarter</w:t>
            </w:r>
          </w:p>
        </w:tc>
        <w:tc>
          <w:p w14:paraId="001000BA" w14:textId="001000BB">
            <w:r>
              <w:t xml:space="preserve">Certify 21 uncertified suppliers or exit relationship</w:t>
            </w:r>
          </w:p>
        </w:tc>
        <w:tc>
          <w:p w14:paraId="001000BC" w14:textId="001000BD">
            <w:r>
              <w:t xml:space="preserve">Compliance risk reduction</w:t>
            </w:r>
          </w:p>
        </w:tc>
        <w:tc>
          <w:p w14:paraId="001000BE" w14:textId="001000BF">
            <w:r>
              <w:t xml:space="preserve">Supplier Quality Team</w:t>
            </w:r>
          </w:p>
        </w:tc>
      </w:tr>
      <w:tr>
        <w:trPr/>
        <w:tc>
          <w:p w14:paraId="001000C0" w14:textId="001000C1">
            <w:r>
              <w:t xml:space="preserve">5 — Ongoing</w:t>
            </w:r>
          </w:p>
        </w:tc>
        <w:tc>
          <w:p w14:paraId="001000C2" w14:textId="001000C3">
            <w:r>
              <w:t xml:space="preserve">Enable OpenAI API key to activate live Negotiation Briefs and CFO Memos</w:t>
            </w:r>
          </w:p>
        </w:tc>
        <w:tc>
          <w:p w14:paraId="001000C4" w14:textId="001000C5">
            <w:r>
              <w:t xml:space="preserve">Faster negotiation cycles</w:t>
            </w:r>
          </w:p>
        </w:tc>
        <w:tc>
          <w:p w14:paraId="001000C6" w14:textId="001000C7">
            <w:r>
              <w:t xml:space="preserve">IT / Finance</w:t>
            </w:r>
          </w:p>
        </w:tc>
      </w:tr>
    </w:tbl>
    <w:p w14:paraId="001000C8" w14:textId="001000C9">
      <w:pPr>
        <w:spacing w:after="240"/>
      </w:pPr>
      <w:r>
        <w:rPr/>
        <w:t xml:space="preserve"/>
      </w:r>
    </w:p>
    <w:p w14:paraId="001000CA" w14:textId="001000CB">
      <w:pPr>
        <w:pStyle w:val="Heading1"/>
        <w:spacing w:after="120"/>
      </w:pPr>
      <w:r>
        <w:rPr>
          <w:b/>
          <w:sz w:val="36"/>
        </w:rPr>
        <w:t xml:space="preserve">7. Conclusion</w:t>
      </w:r>
    </w:p>
    <w:p w14:paraId="001000CC" w14:textId="001000CD">
      <w:pPr>
        <w:spacing w:after="120"/>
      </w:pPr>
      <w:r>
        <w:rPr>
          <w:sz w:val="22"/>
        </w:rPr>
        <w:t xml:space="preserve">The AI Procurement Cost-Savings Advisor demonstrates how a relatively small dataset (2,000 procurement orders, 100 suppliers, 200 products) can generate substantial, quantified savings intelligence when processed systematically. The dashboard moves procurement management from reactive monthly reviews to continuous, filter-driven decision support.</w:t>
      </w:r>
    </w:p>
    <w:p w14:paraId="001000CE" w14:textId="001000CF">
      <w:pPr>
        <w:spacing w:after="120"/>
      </w:pPr>
      <w:r>
        <w:rPr>
          <w:sz w:val="22"/>
        </w:rPr>
        <w:t xml:space="preserve">The integration of optional generative AI (OpenAI gpt-4o-mini) with a robust rule-based fallback ensures the tool is production-ready regardless of API availability — every insight, brief, and memo is grounded in actual computed statistics, not hallucinated figures.</w:t>
      </w:r>
    </w:p>
    <w:p w14:paraId="001000D0" w14:textId="001000D1">
      <w:pPr>
        <w:spacing w:after="240"/>
      </w:pPr>
      <w:r>
        <w:rPr>
          <w:sz w:val="22"/>
        </w:rPr>
        <w:t xml:space="preserve">By operationalising the Renegotiation Saving and Vendor Consolidation formulas defined in this report, procurement teams can expect a measurable reduction in cost per unit, fewer late deliveries, and a more concentrated, manageable supplier base — all translating directly to improved EBITDA.</w:t>
      </w:r>
    </w:p>
    <w:p w14:paraId="001000D2" w14:textId="001000D3">
      <w:pPr>
        <w:pStyle w:val="Heading1"/>
        <w:spacing w:after="120"/>
      </w:pPr>
      <w:r>
        <w:rPr>
          <w:b/>
          <w:sz w:val="36"/>
        </w:rPr>
        <w:t xml:space="preserve">Appendix A — How to Run</w:t>
      </w:r>
    </w:p>
    <w:p w14:paraId="001000D4" w14:textId="001000D5">
      <w:pPr>
        <w:numPr>
          <w:ilvl w:val="0"/>
          <w:numId w:val="4"/>
        </w:numPr>
        <w:spacing w:after="80"/>
      </w:pPr>
      <w:r>
        <w:rPr>
          <w:sz w:val="22"/>
        </w:rPr>
        <w:t xml:space="preserve">1. Install dependencies: pip install -r requirements.txt</w:t>
      </w:r>
    </w:p>
    <w:p w14:paraId="001000D6" w14:textId="001000D7">
      <w:pPr>
        <w:numPr>
          <w:ilvl w:val="0"/>
          <w:numId w:val="4"/>
        </w:numPr>
        <w:spacing w:after="80"/>
      </w:pPr>
      <w:r>
        <w:rPr>
          <w:sz w:val="22"/>
        </w:rPr>
        <w:t xml:space="preserve">2. (Optional) Set API key: set OPENAI_API_KEY=sk-... (Windows) or export OPENAI_API_KEY=sk-... (macOS/Linux)</w:t>
      </w:r>
    </w:p>
    <w:p w14:paraId="001000D8" w14:textId="001000D9">
      <w:pPr>
        <w:numPr>
          <w:ilvl w:val="0"/>
          <w:numId w:val="4"/>
        </w:numPr>
        <w:spacing w:after="80"/>
      </w:pPr>
      <w:r>
        <w:rPr>
          <w:sz w:val="22"/>
        </w:rPr>
        <w:t xml:space="preserve">3. Launch: streamlit run procurement_advisor.py</w:t>
      </w:r>
    </w:p>
    <w:p w14:paraId="001000DA" w14:textId="001000DB">
      <w:pPr>
        <w:numPr>
          <w:ilvl w:val="0"/>
          <w:numId w:val="4"/>
        </w:numPr>
        <w:spacing w:after="240"/>
      </w:pPr>
      <w:r>
        <w:rPr>
          <w:sz w:val="22"/>
        </w:rPr>
        <w:t xml:space="preserve">4. Place data files in the data/ subfolder: procurement_orders.csv, supplier_master.csv, product_master.csv</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7bbdaff34b14cb6" /><Relationship Type="http://schemas.openxmlformats.org/officeDocument/2006/relationships/styles" Target="/word/styles.xml" Id="R874542d713514cdd" /><Relationship Type="http://schemas.openxmlformats.org/officeDocument/2006/relationships/theme" Target="/word/theme/theme1.xml" Id="Rc28cb737f7814742" /><Relationship Type="http://schemas.openxmlformats.org/officeDocument/2006/relationships/numbering" Target="/word/numbering.xml" Id="R06528d8ad7b440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2026-09-21T19:43:34Z</dcterms:created>
  <cp:lastModifiedBy>OfficeCLI</cp:lastModifiedBy>
  <dcterms:modified xsi:type="dcterms:W3CDTF">2026-09-21T19:43:34Z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2026-09-21T19:43:59Z</vt:lpwstr>
  </op:property>
</op:Properties>
</file>