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986" w:firstLine="1904"/>
        <w:jc w:val="left"/>
      </w:pPr>
      <w:r>
        <w:drawing>
          <wp:inline xmlns:a="http://schemas.openxmlformats.org/drawingml/2006/main" xmlns:pic="http://schemas.openxmlformats.org/drawingml/2006/picture">
            <wp:extent cx="3556000" cy="1798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983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3 May 2021</w:t>
      </w:r>
      <w:r>
        <w:rPr>
          <w:w w:val="101.81818008422852"/>
          <w:rFonts w:ascii="Verdana" w:hAnsi="Verdana" w:eastAsia="Verdana"/>
          <w:b w:val="0"/>
          <w:i w:val="0"/>
          <w:color w:val="000000"/>
          <w:sz w:val="11"/>
        </w:rPr>
        <w:t xml:space="preserve">1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EMA/PRAC/199751/2021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Pharmacovigilance Risk Assessment Committee (PRAC) </w:t>
      </w:r>
    </w:p>
    <w:p>
      <w:pPr>
        <w:autoSpaceDN w:val="0"/>
        <w:autoSpaceDE w:val="0"/>
        <w:widowControl/>
        <w:spacing w:line="240" w:lineRule="auto" w:before="712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3399"/>
          <w:sz w:val="32"/>
        </w:rPr>
        <w:t xml:space="preserve">PRAC recommendations on signals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Adopted at the 6-9 April 2021 PRAC meeting </w:t>
      </w:r>
    </w:p>
    <w:p>
      <w:pPr>
        <w:autoSpaceDN w:val="0"/>
        <w:autoSpaceDE w:val="0"/>
        <w:widowControl/>
        <w:spacing w:line="238" w:lineRule="auto" w:before="702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This document provides an overview of the recommendations adopted by the Pharmacovigilance Risk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Assessment Committee (PRAC) on the signals discussed during the meeting of 6-9 April 2021 </w:t>
      </w:r>
    </w:p>
    <w:p>
      <w:pPr>
        <w:autoSpaceDN w:val="0"/>
        <w:autoSpaceDE w:val="0"/>
        <w:widowControl/>
        <w:spacing w:line="257" w:lineRule="auto" w:before="4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(including the signal European Pharmacovigilance Issues Tracking Tool [EPITT]</w:t>
      </w:r>
      <w:r>
        <w:rPr>
          <w:w w:val="98.4615399287297"/>
          <w:rFonts w:ascii="Verdana" w:hAnsi="Verdana" w:eastAsia="Verdana"/>
          <w:b w:val="0"/>
          <w:i w:val="0"/>
          <w:color w:val="000000"/>
          <w:sz w:val="13"/>
        </w:rPr>
        <w:t>2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reference numbers). 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PRAC recommendations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to provide supplementary information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are directly actionable by the concerned </w:t>
      </w:r>
    </w:p>
    <w:p>
      <w:pPr>
        <w:autoSpaceDN w:val="0"/>
        <w:autoSpaceDE w:val="0"/>
        <w:widowControl/>
        <w:spacing w:line="238" w:lineRule="auto" w:before="76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marketing authorisation holders (MAHs). PRAC recommendations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for regulatory action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(e.g.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amendment of the product information) are submitted to the Committee for Medicinal Products for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Human Use (CHMP) for endorsement when the signal concerns Centrally Authorised Products (CAPs),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and to the Co-ordination Group for Mutual Recognition and Decentralised Procedures – Human (CMDh)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for information in the case of Nationally Authorised Products (NAPs). Thereafter, MAHs are expected to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take action according to the PRAC recommendations. 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When appropriate, the PRAC may also recommend the conduct of additional analyses by the Agency or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Member States. </w:t>
      </w:r>
    </w:p>
    <w:p>
      <w:pPr>
        <w:autoSpaceDN w:val="0"/>
        <w:autoSpaceDE w:val="0"/>
        <w:widowControl/>
        <w:spacing w:line="240" w:lineRule="auto" w:before="202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MAHs are reminded that in line with Article 16(3) of Regulation No (EU) 726/2004 and Article 23(3) of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Directive 2001/83/EC, they shall ensure that their product information is kept up to date with the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current scientific knowledge including the conclusions of the assessment and recommendations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published on the European Medicines Agency (EMA) website (currently acting as the EU medicines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webportal). 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For CAPs, at the time of publication, PRAC recommendations for update of product information have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been agreed by the CHMP at their plenary meeting (19-22 April 2021) and corresponding variations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will be assessed by the CHMP. 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For nationally authorised medicinal products, it is the responsibility of the National Competent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Authorities (NCAs) of the Member States to oversee that PRAC recommendations on signals are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adhered to. 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Variation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s for CAPs</w:t>
          </w:r>
        </w:hyperlink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are handled according to established EMA procedures. MAHs are referred to the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available </w:t>
      </w:r>
      <w:r>
        <w:rPr>
          <w:w w:val="97.77777989705405"/>
          <w:rFonts w:ascii="Verdana" w:hAnsi="Verdana" w:eastAsia="Verdana"/>
          <w:b w:val="0"/>
          <w:i w:val="0"/>
          <w:color w:val="0000FF"/>
          <w:sz w:val="18"/>
          <w:u w:val="single"/>
        </w:rPr>
        <w:hyperlink r:id="rId10" w:history="1">
          <w:r>
            <w:rPr>
              <w:rStyle w:val="Hyperlink"/>
            </w:rPr>
            <w:t>guidance</w:t>
          </w:r>
        </w:hyperlink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Variations for NAPs (including via mutual recognition and decentralised procedures)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are handled at national level in accordance with the provisions of the Member States. </w:t>
      </w:r>
    </w:p>
    <w:p>
      <w:pPr>
        <w:autoSpaceDN w:val="0"/>
        <w:autoSpaceDE w:val="0"/>
        <w:widowControl/>
        <w:spacing w:line="252" w:lineRule="auto" w:before="348" w:after="0"/>
        <w:ind w:left="0" w:right="1344" w:firstLine="0"/>
        <w:jc w:val="left"/>
      </w:pPr>
      <w:r>
        <w:rPr>
          <w:w w:val="96.00000381469727"/>
          <w:rFonts w:ascii="Verdana" w:hAnsi="Verdana" w:eastAsia="Verdana"/>
          <w:b w:val="0"/>
          <w:i w:val="0"/>
          <w:color w:val="000000"/>
          <w:sz w:val="10"/>
        </w:rPr>
        <w:t>1</w:t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 Expected publication date. The actual publication date can be checked on the webpage dedicated to </w:t>
      </w:r>
      <w:r>
        <w:rPr>
          <w:w w:val="102.85714013235909"/>
          <w:rFonts w:ascii="Verdana" w:hAnsi="Verdana" w:eastAsia="Verdana"/>
          <w:b w:val="0"/>
          <w:i w:val="0"/>
          <w:color w:val="0000FF"/>
          <w:sz w:val="14"/>
          <w:u w:val="single"/>
        </w:rPr>
        <w:hyperlink r:id="rId11" w:history="1">
          <w:r>
            <w:rPr>
              <w:rStyle w:val="Hyperlink"/>
            </w:rPr>
            <w:t>PRAC</w:t>
          </w:r>
        </w:hyperlink>
      </w:r>
      <w:r>
        <w:rPr>
          <w:spacing w:val="-20.0"/>
          <w:w w:val="102.85714013235909"/>
          <w:rFonts w:ascii="Verdana" w:hAnsi="Verdana" w:eastAsia="Verdana"/>
          <w:b w:val="0"/>
          <w:i w:val="0"/>
          <w:color w:val="0000FF"/>
          <w:sz w:val="14"/>
        </w:rPr>
        <w:t xml:space="preserve"> </w:t>
      </w:r>
      <w:r>
        <w:rPr>
          <w:w w:val="102.85714013235909"/>
          <w:rFonts w:ascii="Verdana" w:hAnsi="Verdana" w:eastAsia="Verdana"/>
          <w:b w:val="0"/>
          <w:i w:val="0"/>
          <w:color w:val="0000FF"/>
          <w:sz w:val="14"/>
          <w:u w:val="single"/>
        </w:rPr>
        <w:hyperlink r:id="rId11" w:history="1">
          <w:r>
            <w:rPr>
              <w:rStyle w:val="Hyperlink"/>
            </w:rPr>
            <w:t>recommendations on safety signals</w:t>
          </w:r>
        </w:hyperlink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. </w:t>
      </w:r>
    </w:p>
    <w:p>
      <w:pPr>
        <w:autoSpaceDN w:val="0"/>
        <w:autoSpaceDE w:val="0"/>
        <w:widowControl/>
        <w:spacing w:line="262" w:lineRule="auto" w:before="2" w:after="2"/>
        <w:ind w:left="0" w:right="0" w:firstLine="0"/>
        <w:jc w:val="left"/>
      </w:pPr>
      <w:r>
        <w:rPr>
          <w:w w:val="96.00000381469727"/>
          <w:rFonts w:ascii="Verdana" w:hAnsi="Verdana" w:eastAsia="Verdana"/>
          <w:b w:val="0"/>
          <w:i w:val="0"/>
          <w:color w:val="000000"/>
          <w:sz w:val="10"/>
        </w:rPr>
        <w:hyperlink r:id="rId11" w:history="1">
          <w:r>
            <w:rPr>
              <w:rStyle w:val="Hyperlink"/>
            </w:rPr>
            <w:t>2</w:t>
          </w:r>
        </w:hyperlink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 The relevant EPITT reference number should be used in any communication related to a signal.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63"/>
        <w:gridCol w:w="3163"/>
        <w:gridCol w:w="3163"/>
      </w:tblGrid>
      <w:tr>
        <w:trPr>
          <w:trHeight w:hRule="exact" w:val="374"/>
        </w:trPr>
        <w:tc>
          <w:tcPr>
            <w:tcW w:type="dxa" w:w="6582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left"/>
            </w:pPr>
            <w:r>
              <w:rPr>
                <w:w w:val="98.4615399287297"/>
                <w:rFonts w:ascii="Verdana" w:hAnsi="Verdana" w:eastAsia="Verdana"/>
                <w:b/>
                <w:i w:val="0"/>
                <w:color w:val="003399"/>
                <w:sz w:val="13"/>
              </w:rPr>
              <w:t>Official address</w:t>
            </w: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  Domenico Scarlattilaan 6  </w:t>
            </w:r>
            <w:r>
              <w:rPr>
                <w:w w:val="98.4615399287297"/>
                <w:rFonts w:ascii="Verdana" w:hAnsi="Verdana" w:eastAsia="Verdana"/>
                <w:b/>
                <w:i w:val="0"/>
                <w:color w:val="003399"/>
                <w:sz w:val="13"/>
              </w:rPr>
              <w:t>●</w:t>
            </w: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  1083 HS Amsterdam  </w:t>
            </w:r>
            <w:r>
              <w:rPr>
                <w:w w:val="98.4615399287297"/>
                <w:rFonts w:ascii="Verdana" w:hAnsi="Verdana" w:eastAsia="Verdana"/>
                <w:b/>
                <w:i w:val="0"/>
                <w:color w:val="003399"/>
                <w:sz w:val="13"/>
              </w:rPr>
              <w:t>●</w:t>
            </w: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  The Netherlands </w:t>
            </w:r>
          </w:p>
        </w:tc>
        <w:tc>
          <w:tcPr>
            <w:tcW w:type="dxa" w:w="2142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4" w:after="0"/>
              <w:ind w:left="170" w:right="0" w:firstLine="0"/>
              <w:jc w:val="left"/>
            </w:pPr>
            <w:r>
              <w:rPr>
                <w:w w:val="101.81818008422852"/>
                <w:rFonts w:ascii="Verdana" w:hAnsi="Verdana" w:eastAsia="Verdana"/>
                <w:b w:val="0"/>
                <w:i w:val="0"/>
                <w:color w:val="6C6E70"/>
                <w:sz w:val="11"/>
              </w:rPr>
              <w:t xml:space="preserve">An agency of the European Union </w:t>
            </w:r>
          </w:p>
        </w:tc>
        <w:tc>
          <w:tcPr>
            <w:tcW w:type="dxa" w:w="684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9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6080" cy="2743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2"/>
        </w:trPr>
        <w:tc>
          <w:tcPr>
            <w:tcW w:type="dxa" w:w="6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left"/>
            </w:pPr>
            <w:r>
              <w:rPr>
                <w:w w:val="98.4615399287297"/>
                <w:rFonts w:ascii="Verdana" w:hAnsi="Verdana" w:eastAsia="Verdana"/>
                <w:b/>
                <w:i w:val="0"/>
                <w:color w:val="003399"/>
                <w:sz w:val="13"/>
              </w:rPr>
              <w:t>Address for visits and deliveries</w:t>
            </w: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  Refer to </w:t>
            </w:r>
            <w:r>
              <w:rPr>
                <w:w w:val="102.85714013235909"/>
                <w:rFonts w:ascii="Verdana" w:hAnsi="Verdana" w:eastAsia="Verdana"/>
                <w:b w:val="0"/>
                <w:i w:val="0"/>
                <w:color w:val="929292"/>
                <w:sz w:val="14"/>
              </w:rPr>
              <w:t xml:space="preserve">www.ema.europa.eu/how-to-find-us </w:t>
            </w:r>
          </w:p>
        </w:tc>
        <w:tc>
          <w:tcPr>
            <w:tcW w:type="dxa" w:w="3163"/>
            <w:vMerge/>
            <w:tcBorders>
              <w:top w:sz="6.399999999999636" w:val="single" w:color="#000000"/>
            </w:tcBorders>
          </w:tcPr>
          <w:p/>
        </w:tc>
        <w:tc>
          <w:tcPr>
            <w:tcW w:type="dxa" w:w="3163"/>
            <w:vMerge/>
            <w:tcBorders>
              <w:top w:sz="6.399999999999636" w:val="single" w:color="#000000"/>
            </w:tcBorders>
          </w:tcPr>
          <w:p/>
        </w:tc>
      </w:tr>
      <w:tr>
        <w:trPr>
          <w:trHeight w:hRule="exact" w:val="268"/>
        </w:trPr>
        <w:tc>
          <w:tcPr>
            <w:tcW w:type="dxa" w:w="6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left"/>
            </w:pPr>
            <w:r>
              <w:rPr>
                <w:w w:val="98.4615399287297"/>
                <w:rFonts w:ascii="Verdana" w:hAnsi="Verdana" w:eastAsia="Verdana"/>
                <w:b/>
                <w:i w:val="0"/>
                <w:color w:val="003399"/>
                <w:sz w:val="13"/>
              </w:rPr>
              <w:t xml:space="preserve">Send us a question  </w:t>
            </w: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Go to </w:t>
            </w:r>
            <w:r>
              <w:rPr>
                <w:w w:val="102.85714013235909"/>
                <w:rFonts w:ascii="Verdana" w:hAnsi="Verdana" w:eastAsia="Verdana"/>
                <w:b w:val="0"/>
                <w:i w:val="0"/>
                <w:color w:val="929292"/>
                <w:sz w:val="14"/>
              </w:rPr>
              <w:t xml:space="preserve">www.ema.europa.eu/contact </w:t>
            </w:r>
            <w:r>
              <w:rPr>
                <w:w w:val="98.4615399287297"/>
                <w:rFonts w:ascii="Verdana" w:hAnsi="Verdana" w:eastAsia="Verdana"/>
                <w:b/>
                <w:i w:val="0"/>
                <w:color w:val="003399"/>
                <w:sz w:val="13"/>
              </w:rPr>
              <w:t>Telephone</w:t>
            </w: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 +31 (0)88 781 6000</w:t>
            </w:r>
          </w:p>
        </w:tc>
        <w:tc>
          <w:tcPr>
            <w:tcW w:type="dxa" w:w="3163"/>
            <w:vMerge/>
            <w:tcBorders>
              <w:top w:sz="6.399999999999636" w:val="single" w:color="#000000"/>
            </w:tcBorders>
          </w:tcPr>
          <w:p/>
        </w:tc>
        <w:tc>
          <w:tcPr>
            <w:tcW w:type="dxa" w:w="3163"/>
            <w:vMerge/>
            <w:tcBorders>
              <w:top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8" w:lineRule="auto" w:before="68" w:after="0"/>
        <w:ind w:left="0" w:right="0" w:firstLine="0"/>
        <w:jc w:val="center"/>
      </w:pPr>
      <w:r>
        <w:rPr>
          <w:w w:val="102.85714013235909"/>
          <w:rFonts w:ascii="Verdana" w:hAnsi="Verdana" w:eastAsia="Verdana"/>
          <w:b w:val="0"/>
          <w:i w:val="0"/>
          <w:color w:val="6C6E70"/>
          <w:sz w:val="14"/>
        </w:rPr>
        <w:t xml:space="preserve">© European Medicines Agency, 2021. Reproduction is authorised provided the source is acknowledged. </w:t>
      </w:r>
    </w:p>
    <w:p>
      <w:pPr>
        <w:sectPr>
          <w:pgSz w:w="11904" w:h="16832"/>
          <w:pgMar w:top="144" w:right="1166" w:bottom="424" w:left="1248" w:header="720" w:footer="720" w:gutter="0"/>
          <w:cols w:space="720" w:num="1" w:equalWidth="0"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The timeline recommended by PRAC for submission of variations following signal assessment is </w:t>
      </w:r>
    </w:p>
    <w:p>
      <w:pPr>
        <w:autoSpaceDN w:val="0"/>
        <w:autoSpaceDE w:val="0"/>
        <w:widowControl/>
        <w:spacing w:line="238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applicable to both innovator and generic medicinal products, unless otherwise specified. </w:t>
      </w:r>
    </w:p>
    <w:p>
      <w:pPr>
        <w:autoSpaceDN w:val="0"/>
        <w:autoSpaceDE w:val="0"/>
        <w:widowControl/>
        <w:spacing w:line="240" w:lineRule="auto" w:before="22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For procedural aspects related to the handling of PRA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 xml:space="preserve">C recommendations on signals (e.g. submission </w:t>
          </w:r>
        </w:hyperlink>
      </w:r>
    </w:p>
    <w:p>
      <w:pPr>
        <w:autoSpaceDN w:val="0"/>
        <w:autoSpaceDE w:val="0"/>
        <w:widowControl/>
        <w:spacing w:line="238" w:lineRule="auto" w:before="58" w:after="1238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requirements, contact points, etc.) please refer to the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color w:val="0000FF"/>
          <w:sz w:val="18"/>
          <w:u w:val="single"/>
        </w:rPr>
        <w:hyperlink r:id="rId13" w:history="1">
          <w:r>
            <w:rPr>
              <w:rStyle w:val="Hyperlink"/>
            </w:rPr>
            <w:t>Questions and Answers on signal management</w:t>
          </w:r>
        </w:hyperlink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>.</w:t>
          </w:r>
        </w:hyperlink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9"/>
        <w:gridCol w:w="4739"/>
      </w:tblGrid>
      <w:tr>
        <w:trPr>
          <w:trHeight w:hRule="exact" w:val="336"/>
        </w:trPr>
        <w:tc>
          <w:tcPr>
            <w:tcW w:type="dxa" w:w="5640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PRAC recommendations on signals </w:t>
            </w:r>
          </w:p>
        </w:tc>
        <w:tc>
          <w:tcPr>
            <w:tcW w:type="dxa" w:w="3828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10" w:firstLine="0"/>
              <w:jc w:val="righ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000000"/>
                <w:sz w:val="14"/>
              </w:rPr>
              <w:t xml:space="preserve">Page 2/9 </w:t>
            </w:r>
          </w:p>
        </w:tc>
      </w:tr>
      <w:tr>
        <w:trPr>
          <w:trHeight w:hRule="exact" w:val="1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EMA/PRAC/199751/2021 </w:t>
            </w:r>
          </w:p>
        </w:tc>
        <w:tc>
          <w:tcPr>
            <w:tcW w:type="dxa" w:w="4739"/>
            <w:vMerge/>
            <w:tcBorders>
              <w:top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2"/>
          <w:pgMar w:top="952" w:right="1178" w:bottom="424" w:left="1248" w:header="720" w:footer="720" w:gutter="0"/>
          <w:cols w:space="720" w:num="1" w:equalWidth="0">
            <w:col w:w="9478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28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7"/>
        </w:rPr>
        <w:t xml:space="preserve">1. </w:t>
      </w:r>
      <w:r>
        <w:rPr>
          <w:rFonts w:ascii="Verdana" w:hAnsi="Verdana" w:eastAsia="Verdana"/>
          <w:b/>
          <w:i w:val="0"/>
          <w:color w:val="000000"/>
          <w:sz w:val="27"/>
        </w:rPr>
        <w:t xml:space="preserve">Recommendations for update of the product information </w:t>
      </w:r>
    </w:p>
    <w:p>
      <w:pPr>
        <w:autoSpaceDN w:val="0"/>
        <w:autoSpaceDE w:val="0"/>
        <w:widowControl/>
        <w:spacing w:line="242" w:lineRule="auto" w:before="596" w:after="496"/>
        <w:ind w:left="128" w:right="0" w:firstLine="0"/>
        <w:jc w:val="left"/>
      </w:pPr>
      <w:r>
        <w:rPr>
          <w:w w:val="101.81818008422852"/>
          <w:rFonts w:ascii="Verdana" w:hAnsi="Verdana" w:eastAsia="Verdana"/>
          <w:b/>
          <w:i/>
          <w:color w:val="000000"/>
          <w:sz w:val="22"/>
        </w:rPr>
        <w:t xml:space="preserve">1.1. </w:t>
      </w:r>
      <w:r>
        <w:rPr>
          <w:w w:val="101.81818008422852"/>
          <w:rFonts w:ascii="Verdana" w:hAnsi="Verdana" w:eastAsia="Verdana"/>
          <w:b/>
          <w:i/>
          <w:color w:val="000000"/>
          <w:sz w:val="22"/>
        </w:rPr>
        <w:t>Azathioprine – Erythema nodosum</w:t>
      </w:r>
      <w:r>
        <w:rPr>
          <w:w w:val="102.85714013235909"/>
          <w:rFonts w:ascii="Verdana" w:hAnsi="Verdana" w:eastAsia="Verdana"/>
          <w:b/>
          <w:i/>
          <w:color w:val="000000"/>
          <w:sz w:val="14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4834"/>
        <w:gridCol w:w="4834"/>
      </w:tblGrid>
      <w:tr>
        <w:trPr>
          <w:trHeight w:hRule="exact" w:val="288"/>
        </w:trPr>
        <w:tc>
          <w:tcPr>
            <w:tcW w:type="dxa" w:w="3088"/>
            <w:tcBorders>
              <w:start w:sz="6.399999999999977" w:val="single" w:color="#000000"/>
              <w:top w:sz="6.399999999999864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Authorisation procedure </w:t>
            </w:r>
          </w:p>
        </w:tc>
        <w:tc>
          <w:tcPr>
            <w:tcW w:type="dxa" w:w="6544"/>
            <w:tcBorders>
              <w:start w:sz="6.399999999999864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Non-centralised </w:t>
            </w:r>
          </w:p>
        </w:tc>
      </w:tr>
      <w:tr>
        <w:trPr>
          <w:trHeight w:hRule="exact" w:val="304"/>
        </w:trPr>
        <w:tc>
          <w:tcPr>
            <w:tcW w:type="dxa" w:w="3088"/>
            <w:tcBorders>
              <w:start w:sz="6.399999999999977" w:val="single" w:color="#000000"/>
              <w:top w:sz="6.399999999999864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EPITT No </w:t>
            </w:r>
          </w:p>
        </w:tc>
        <w:tc>
          <w:tcPr>
            <w:tcW w:type="dxa" w:w="6544"/>
            <w:tcBorders>
              <w:start w:sz="6.399999999999864" w:val="single" w:color="#000000"/>
              <w:top w:sz="6.399999999999864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19623 </w:t>
            </w:r>
          </w:p>
        </w:tc>
      </w:tr>
      <w:tr>
        <w:trPr>
          <w:trHeight w:hRule="exact" w:val="288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PRAC rapporteur(s) </w:t>
            </w:r>
          </w:p>
        </w:tc>
        <w:tc>
          <w:tcPr>
            <w:tcW w:type="dxa" w:w="6544"/>
            <w:tcBorders>
              <w:start w:sz="6.399999999999864" w:val="single" w:color="#000000"/>
              <w:top w:sz="6.400000000000091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Hans Christian Siersted (DK) </w:t>
            </w:r>
          </w:p>
        </w:tc>
      </w:tr>
      <w:tr>
        <w:trPr>
          <w:trHeight w:hRule="exact" w:val="288"/>
        </w:trPr>
        <w:tc>
          <w:tcPr>
            <w:tcW w:type="dxa" w:w="3088"/>
            <w:tcBorders>
              <w:start w:sz="6.399999999999977" w:val="single" w:color="#000000"/>
              <w:top w:sz="6.399999999999864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Date of adoption </w:t>
            </w:r>
          </w:p>
        </w:tc>
        <w:tc>
          <w:tcPr>
            <w:tcW w:type="dxa" w:w="6544"/>
            <w:tcBorders>
              <w:start w:sz="6.399999999999864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9 April 2021 </w:t>
            </w:r>
          </w:p>
        </w:tc>
      </w:tr>
    </w:tbl>
    <w:p>
      <w:pPr>
        <w:autoSpaceDN w:val="0"/>
        <w:autoSpaceDE w:val="0"/>
        <w:widowControl/>
        <w:spacing w:line="240" w:lineRule="auto" w:before="542" w:after="0"/>
        <w:ind w:left="128" w:right="0" w:firstLine="0"/>
        <w:jc w:val="left"/>
      </w:pPr>
      <w:r>
        <w:rPr>
          <w:w w:val="101.81818008422852"/>
          <w:rFonts w:ascii="Verdana" w:hAnsi="Verdana" w:eastAsia="Verdana"/>
          <w:b/>
          <w:i w:val="0"/>
          <w:color w:val="000000"/>
          <w:sz w:val="22"/>
        </w:rPr>
        <w:t xml:space="preserve">Recommendation </w:t>
      </w:r>
      <w:r>
        <w:rPr>
          <w:w w:val="97.77777989705405"/>
          <w:rFonts w:ascii="Verdana" w:hAnsi="Verdana" w:eastAsia="Verdana"/>
          <w:b w:val="0"/>
          <w:i/>
          <w:color w:val="000000"/>
          <w:sz w:val="18"/>
        </w:rPr>
        <w:t>[see also section 2 for mercaptopurine-containing products]</w:t>
      </w:r>
    </w:p>
    <w:p>
      <w:pPr>
        <w:autoSpaceDN w:val="0"/>
        <w:autoSpaceDE w:val="0"/>
        <w:widowControl/>
        <w:spacing w:line="238" w:lineRule="auto" w:before="29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The PRAC has considered the available evidence in EudraVigilance, the literature, and the data </w:t>
      </w:r>
    </w:p>
    <w:p>
      <w:pPr>
        <w:autoSpaceDN w:val="0"/>
        <w:autoSpaceDE w:val="0"/>
        <w:widowControl/>
        <w:spacing w:line="240" w:lineRule="auto" w:before="7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submitted by the Novartis, Aspen and Teva. The PRAC agrees that a causal association between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azathioprine and erythema nodosum cannot be excluded as a new aspect of azathioprine </w:t>
      </w:r>
    </w:p>
    <w:p>
      <w:pPr>
        <w:autoSpaceDN w:val="0"/>
        <w:autoSpaceDE w:val="0"/>
        <w:widowControl/>
        <w:spacing w:line="240" w:lineRule="auto" w:before="7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hypersensitivity reaction. The PRAC recommends that the MAHs of azathioprine-containing medicinal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products should submit a variation within 2 months from the publication of the PRAC recommendation,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to amend the product information as described below (new text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underlined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): </w:t>
      </w:r>
    </w:p>
    <w:p>
      <w:pPr>
        <w:autoSpaceDN w:val="0"/>
        <w:autoSpaceDE w:val="0"/>
        <w:widowControl/>
        <w:spacing w:line="238" w:lineRule="auto" w:before="22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Summary of product characteristics </w:t>
      </w:r>
    </w:p>
    <w:p>
      <w:pPr>
        <w:autoSpaceDN w:val="0"/>
        <w:autoSpaceDE w:val="0"/>
        <w:widowControl/>
        <w:spacing w:line="240" w:lineRule="auto" w:before="20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4.8. Undesirable effects </w:t>
      </w:r>
    </w:p>
    <w:p>
      <w:pPr>
        <w:autoSpaceDN w:val="0"/>
        <w:autoSpaceDE w:val="0"/>
        <w:widowControl/>
        <w:spacing w:line="240" w:lineRule="auto" w:before="202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Immune system disorders </w:t>
      </w:r>
    </w:p>
    <w:p>
      <w:pPr>
        <w:autoSpaceDN w:val="0"/>
        <w:autoSpaceDE w:val="0"/>
        <w:widowControl/>
        <w:spacing w:line="238" w:lineRule="auto" w:before="21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Several different clinical syndromes, which appear to be idiosyncratic manifestations of</w:t>
      </w:r>
    </w:p>
    <w:p>
      <w:pPr>
        <w:autoSpaceDN w:val="0"/>
        <w:autoSpaceDE w:val="0"/>
        <w:widowControl/>
        <w:spacing w:line="238" w:lineRule="auto" w:before="6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hypersensitivity, have been described occasionally following administration of azathioprine tablets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and injection. Clinical features include general malaise, dizziness, nausea, vomiting, diarrhoea, fever,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rigors, exanthema, rash,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erythema nodosum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, vasculitis, myalgia, arthralgia, hypotension, renal </w:t>
      </w:r>
    </w:p>
    <w:p>
      <w:pPr>
        <w:autoSpaceDN w:val="0"/>
        <w:autoSpaceDE w:val="0"/>
        <w:widowControl/>
        <w:spacing w:line="238" w:lineRule="auto" w:before="6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dysfunction, hepatic dysfunction and cholestasis (section 4.8 - Hepatobiliary disorders). </w:t>
      </w:r>
    </w:p>
    <w:p>
      <w:pPr>
        <w:autoSpaceDN w:val="0"/>
        <w:autoSpaceDE w:val="0"/>
        <w:widowControl/>
        <w:spacing w:line="238" w:lineRule="auto" w:before="22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[…] </w:t>
      </w:r>
    </w:p>
    <w:p>
      <w:pPr>
        <w:autoSpaceDN w:val="0"/>
        <w:autoSpaceDE w:val="0"/>
        <w:widowControl/>
        <w:spacing w:line="240" w:lineRule="auto" w:before="20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Package leaflet </w:t>
      </w:r>
    </w:p>
    <w:p>
      <w:pPr>
        <w:autoSpaceDN w:val="0"/>
        <w:autoSpaceDE w:val="0"/>
        <w:widowControl/>
        <w:spacing w:line="240" w:lineRule="auto" w:before="202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4. Possible side effects </w:t>
      </w:r>
    </w:p>
    <w:p>
      <w:pPr>
        <w:autoSpaceDN w:val="0"/>
        <w:autoSpaceDE w:val="0"/>
        <w:widowControl/>
        <w:spacing w:line="240" w:lineRule="auto" w:before="202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[…] </w:t>
      </w:r>
    </w:p>
    <w:p>
      <w:pPr>
        <w:autoSpaceDN w:val="0"/>
        <w:autoSpaceDE w:val="0"/>
        <w:widowControl/>
        <w:spacing w:line="240" w:lineRule="auto" w:before="21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• allergic reactions, (these are uncommon side effects which may affect up to 1 in 100 people) the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signs may include: </w:t>
      </w:r>
    </w:p>
    <w:p>
      <w:pPr>
        <w:autoSpaceDN w:val="0"/>
        <w:autoSpaceDE w:val="0"/>
        <w:widowControl/>
        <w:spacing w:line="240" w:lineRule="auto" w:before="202" w:after="108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[…]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8.0000000000001" w:type="dxa"/>
      </w:tblPr>
      <w:tblGrid>
        <w:gridCol w:w="4834"/>
        <w:gridCol w:w="4834"/>
      </w:tblGrid>
      <w:tr>
        <w:trPr>
          <w:trHeight w:hRule="exact" w:val="332"/>
        </w:trPr>
        <w:tc>
          <w:tcPr>
            <w:tcW w:type="dxa" w:w="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122" w:firstLine="0"/>
              <w:jc w:val="right"/>
            </w:pPr>
            <w:r>
              <w:rPr>
                <w:w w:val="97.77777989705405"/>
                <w:rFonts w:ascii="CourierNewPSMT" w:hAnsi="CourierNewPSMT" w:eastAsia="CourierNewPSMT"/>
                <w:b w:val="0"/>
                <w:i w:val="0"/>
                <w:color w:val="000000"/>
                <w:sz w:val="18"/>
              </w:rPr>
              <w:t xml:space="preserve">o </w:t>
            </w:r>
          </w:p>
        </w:tc>
        <w:tc>
          <w:tcPr>
            <w:tcW w:type="dxa" w:w="8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24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swelling of the eyelids, face or lips </w:t>
            </w:r>
          </w:p>
        </w:tc>
      </w:tr>
      <w:tr>
        <w:trPr>
          <w:trHeight w:hRule="exact" w:val="516"/>
        </w:trPr>
        <w:tc>
          <w:tcPr>
            <w:tcW w:type="dxa" w:w="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122" w:firstLine="0"/>
              <w:jc w:val="right"/>
            </w:pPr>
            <w:r>
              <w:rPr>
                <w:w w:val="97.77777989705405"/>
                <w:rFonts w:ascii="CourierNewPSMT" w:hAnsi="CourierNewPSMT" w:eastAsia="CourierNewPSMT"/>
                <w:b w:val="0"/>
                <w:i w:val="0"/>
                <w:color w:val="000000"/>
                <w:sz w:val="18"/>
              </w:rPr>
              <w:t xml:space="preserve">o </w:t>
            </w:r>
          </w:p>
        </w:tc>
        <w:tc>
          <w:tcPr>
            <w:tcW w:type="dxa" w:w="8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257" w:lineRule="auto" w:before="194" w:after="0"/>
              <w:ind w:left="0" w:right="0" w:firstLine="0"/>
              <w:jc w:val="left"/>
            </w:pPr>
            <w:r>
              <w:rPr>
                <w:w w:val="97.77777989705405"/>
                <w:rFonts w:ascii="CourierNewPSMT" w:hAnsi="CourierNewPSMT" w:eastAsia="CourierNewPSMT"/>
                <w:b w:val="0"/>
                <w:i w:val="0"/>
                <w:color w:val="000000"/>
                <w:sz w:val="18"/>
              </w:rPr>
              <w:t xml:space="preserve">o </w:t>
            </w:r>
            <w:r>
              <w:tab/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>redness of the skin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  <w:u w:val="single"/>
              </w:rPr>
              <w:t>, skin nodules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or a skin rash (including blisters, itching or peeling skin) </w:t>
            </w:r>
          </w:p>
        </w:tc>
      </w:tr>
    </w:tbl>
    <w:p>
      <w:pPr>
        <w:autoSpaceDN w:val="0"/>
        <w:autoSpaceDE w:val="0"/>
        <w:widowControl/>
        <w:spacing w:line="238" w:lineRule="auto" w:before="9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[…] </w:t>
      </w:r>
    </w:p>
    <w:p>
      <w:pPr>
        <w:autoSpaceDN w:val="0"/>
        <w:autoSpaceDE w:val="0"/>
        <w:widowControl/>
        <w:spacing w:line="252" w:lineRule="auto" w:before="1036" w:after="66"/>
        <w:ind w:left="128" w:right="82" w:firstLine="0"/>
        <w:jc w:val="left"/>
      </w:pPr>
      <w:r>
        <w:rPr>
          <w:w w:val="96.00000381469727"/>
          <w:rFonts w:ascii="Verdana" w:hAnsi="Verdana" w:eastAsia="Verdana"/>
          <w:b w:val="0"/>
          <w:i w:val="0"/>
          <w:color w:val="000000"/>
          <w:sz w:val="10"/>
        </w:rPr>
        <w:t>3</w:t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 Translations in all official EU languages of the new product information adopted by PRAC are also available to MAHs </w:t>
      </w:r>
      <w:r>
        <w:rPr>
          <w:spacing w:val="-11.428571428571427"/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on the </w:t>
      </w:r>
      <w:r>
        <w:rPr>
          <w:w w:val="102.85714013235909"/>
          <w:rFonts w:ascii="Verdana" w:hAnsi="Verdana" w:eastAsia="Verdana"/>
          <w:b w:val="0"/>
          <w:i w:val="0"/>
          <w:color w:val="0000FF"/>
          <w:sz w:val="14"/>
          <w:u w:val="single"/>
        </w:rPr>
        <w:hyperlink r:id="rId11" w:history="1">
          <w:r>
            <w:rPr>
              <w:rStyle w:val="Hyperlink"/>
            </w:rPr>
            <w:t>EMA website</w:t>
          </w:r>
        </w:hyperlink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34"/>
        <w:gridCol w:w="4834"/>
      </w:tblGrid>
      <w:tr>
        <w:trPr>
          <w:trHeight w:hRule="exact" w:val="336"/>
        </w:trPr>
        <w:tc>
          <w:tcPr>
            <w:tcW w:type="dxa" w:w="5640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PRAC recommendations on signals </w:t>
            </w:r>
          </w:p>
        </w:tc>
        <w:tc>
          <w:tcPr>
            <w:tcW w:type="dxa" w:w="3858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0" w:firstLine="0"/>
              <w:jc w:val="righ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000000"/>
                <w:sz w:val="14"/>
              </w:rPr>
              <w:t xml:space="preserve">Page 3/9 </w:t>
            </w:r>
          </w:p>
        </w:tc>
      </w:tr>
      <w:tr>
        <w:trPr>
          <w:trHeight w:hRule="exact" w:val="1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EMA/PRAC/199751/2021 </w:t>
            </w:r>
          </w:p>
        </w:tc>
        <w:tc>
          <w:tcPr>
            <w:tcW w:type="dxa" w:w="4834"/>
            <w:vMerge/>
            <w:tcBorders>
              <w:top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2"/>
          <w:pgMar w:top="776" w:right="1116" w:bottom="424" w:left="1120" w:header="720" w:footer="720" w:gutter="0"/>
          <w:cols w:space="720" w:num="1" w:equalWidth="0">
            <w:col w:w="9668" w:space="0"/>
            <w:col w:w="9478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45" w:lineRule="auto" w:before="0" w:after="226"/>
        <w:ind w:left="128" w:right="56" w:firstLine="0"/>
        <w:jc w:val="left"/>
      </w:pPr>
      <w:r>
        <w:rPr>
          <w:w w:val="101.81818008422852"/>
          <w:rFonts w:ascii="Verdana" w:hAnsi="Verdana" w:eastAsia="Verdana"/>
          <w:b/>
          <w:i/>
          <w:color w:val="000000"/>
          <w:sz w:val="22"/>
        </w:rPr>
        <w:t xml:space="preserve">1.2. </w:t>
      </w:r>
      <w:r>
        <w:rPr>
          <w:w w:val="101.81818008422852"/>
          <w:rFonts w:ascii="Verdana" w:hAnsi="Verdana" w:eastAsia="Verdana"/>
          <w:b/>
          <w:i/>
          <w:color w:val="000000"/>
          <w:sz w:val="22"/>
        </w:rPr>
        <w:t xml:space="preserve">COVID-19 vaccine (ChAdOx1-S [recombinant]) - </w:t>
      </w:r>
      <w:r>
        <w:rPr>
          <w:spacing w:val="-3.6363636363636367"/>
          <w:w w:val="101.81818008422852"/>
          <w:rFonts w:ascii="Verdana" w:hAnsi="Verdana" w:eastAsia="Verdana"/>
          <w:b/>
          <w:i/>
          <w:color w:val="000000"/>
          <w:sz w:val="22"/>
        </w:rPr>
        <w:t xml:space="preserve">Vaxzevria (previously </w:t>
      </w:r>
      <w:r>
        <w:rPr>
          <w:w w:val="101.81818008422852"/>
          <w:rFonts w:ascii="Verdana" w:hAnsi="Verdana" w:eastAsia="Verdana"/>
          <w:b/>
          <w:i/>
          <w:color w:val="000000"/>
          <w:sz w:val="22"/>
        </w:rPr>
        <w:t>COVID-19 Vaccine AstraZeneca)– Embolic and thrombotic events</w:t>
      </w:r>
      <w:r>
        <w:rPr>
          <w:w w:val="102.85714013235909"/>
          <w:rFonts w:ascii="Verdana" w:hAnsi="Verdana" w:eastAsia="Verdana"/>
          <w:b/>
          <w:i/>
          <w:color w:val="000000"/>
          <w:sz w:val="14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4834"/>
        <w:gridCol w:w="4834"/>
      </w:tblGrid>
      <w:tr>
        <w:trPr>
          <w:trHeight w:hRule="exact" w:val="288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6.3999999999998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Authorisation procedure </w:t>
            </w:r>
          </w:p>
        </w:tc>
        <w:tc>
          <w:tcPr>
            <w:tcW w:type="dxa" w:w="6544"/>
            <w:tcBorders>
              <w:start w:sz="6.399999999999864" w:val="single" w:color="#000000"/>
              <w:top w:sz="6.399999999999977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Centralised </w:t>
            </w:r>
          </w:p>
        </w:tc>
      </w:tr>
      <w:tr>
        <w:trPr>
          <w:trHeight w:hRule="exact" w:val="288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EPITT No </w:t>
            </w:r>
          </w:p>
        </w:tc>
        <w:tc>
          <w:tcPr>
            <w:tcW w:type="dxa" w:w="6544"/>
            <w:tcBorders>
              <w:start w:sz="6.399999999999864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19683 </w:t>
            </w:r>
          </w:p>
        </w:tc>
      </w:tr>
      <w:tr>
        <w:trPr>
          <w:trHeight w:hRule="exact" w:val="30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PRAC rapporteur(s) </w:t>
            </w:r>
          </w:p>
        </w:tc>
        <w:tc>
          <w:tcPr>
            <w:tcW w:type="dxa" w:w="6544"/>
            <w:tcBorders>
              <w:start w:sz="6.399999999999864" w:val="single" w:color="#000000"/>
              <w:top w:sz="6.400000000000091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Jean-Michel Dogné (BE) </w:t>
            </w:r>
          </w:p>
        </w:tc>
      </w:tr>
      <w:tr>
        <w:trPr>
          <w:trHeight w:hRule="exact" w:val="288"/>
        </w:trPr>
        <w:tc>
          <w:tcPr>
            <w:tcW w:type="dxa" w:w="3088"/>
            <w:tcBorders>
              <w:start w:sz="6.399999999999977" w:val="single" w:color="#000000"/>
              <w:top w:sz="6.399999999999864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Date of adoption </w:t>
            </w:r>
          </w:p>
        </w:tc>
        <w:tc>
          <w:tcPr>
            <w:tcW w:type="dxa" w:w="6544"/>
            <w:tcBorders>
              <w:start w:sz="6.399999999999864" w:val="single" w:color="#000000"/>
              <w:top w:sz="6.399999999999864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7 April 2021 </w:t>
            </w:r>
          </w:p>
        </w:tc>
      </w:tr>
    </w:tbl>
    <w:p>
      <w:pPr>
        <w:autoSpaceDN w:val="0"/>
        <w:autoSpaceDE w:val="0"/>
        <w:widowControl/>
        <w:spacing w:line="240" w:lineRule="auto" w:before="542" w:after="0"/>
        <w:ind w:left="128" w:right="0" w:firstLine="0"/>
        <w:jc w:val="left"/>
      </w:pPr>
      <w:r>
        <w:rPr>
          <w:w w:val="101.81818008422852"/>
          <w:rFonts w:ascii="Verdana" w:hAnsi="Verdana" w:eastAsia="Verdana"/>
          <w:b/>
          <w:i w:val="0"/>
          <w:color w:val="000000"/>
          <w:sz w:val="22"/>
        </w:rPr>
        <w:t xml:space="preserve">Recommendation </w:t>
      </w:r>
      <w:r>
        <w:rPr>
          <w:w w:val="97.77777989705405"/>
          <w:rFonts w:ascii="Verdana" w:hAnsi="Verdana" w:eastAsia="Verdana"/>
          <w:b w:val="0"/>
          <w:i/>
          <w:color w:val="000000"/>
          <w:sz w:val="18"/>
        </w:rPr>
        <w:t>[see also section 3]</w:t>
      </w:r>
    </w:p>
    <w:p>
      <w:pPr>
        <w:autoSpaceDN w:val="0"/>
        <w:autoSpaceDE w:val="0"/>
        <w:widowControl/>
        <w:spacing w:line="238" w:lineRule="auto" w:before="290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The review of additional data analysis from EudraVigilance with individual case review (conclusions and </w:t>
      </w:r>
    </w:p>
    <w:p>
      <w:pPr>
        <w:autoSpaceDN w:val="0"/>
        <w:autoSpaceDE w:val="0"/>
        <w:widowControl/>
        <w:spacing w:line="240" w:lineRule="auto" w:before="7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recommendations are based on the EV search with cut-off date: 22 March 2021) and O/E analysis,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input from the AHEG and available literature pointed to signals of Embolic and thromboembolic events,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Cerebral venous sinus thrombosis, Splanchnic vein thrombosis and Arterial thrombosis, with or without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thrombocytopenia, mainly occurring in women below 60 years and with a time-to-onset within 2 weeks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following vaccination. </w:t>
      </w:r>
    </w:p>
    <w:p>
      <w:pPr>
        <w:autoSpaceDN w:val="0"/>
        <w:autoSpaceDE w:val="0"/>
        <w:widowControl/>
        <w:spacing w:line="240" w:lineRule="auto" w:before="21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Following input from experts, it is considered that an atypical heparin induced thrombocytopenia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(aHIT) like disorder is the most plausible hypothesis for the events of thrombosis in combination with </w:t>
      </w:r>
    </w:p>
    <w:p>
      <w:pPr>
        <w:autoSpaceDN w:val="0"/>
        <w:autoSpaceDE w:val="0"/>
        <w:widowControl/>
        <w:spacing w:line="240" w:lineRule="auto" w:before="7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thrombocytopenia, given the similarities observed in both the serological profile and clinical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presentation of affected patients. It is considered likely that the syndrome, which resembles aHIT,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concerns a severe autoantibody against PF4 which exhibits a high binding affinity. It was hypothesised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that the antibody itself may change the structure of PF4, similar to what has been shown for aHIT. It </w:t>
      </w:r>
    </w:p>
    <w:p>
      <w:pPr>
        <w:autoSpaceDN w:val="0"/>
        <w:autoSpaceDE w:val="0"/>
        <w:widowControl/>
        <w:spacing w:line="240" w:lineRule="auto" w:before="7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was noted that high titres of anti-PF4 antibodies were observed in all patients whose biomaterial was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analysed, which contributes to this hypothesis. 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PRAC is of the view that a causal relationship between the vaccination with Vaxzevria and the adverse </w:t>
      </w:r>
    </w:p>
    <w:p>
      <w:pPr>
        <w:autoSpaceDN w:val="0"/>
        <w:autoSpaceDE w:val="0"/>
        <w:widowControl/>
        <w:spacing w:line="240" w:lineRule="auto" w:before="58" w:after="0"/>
        <w:ind w:left="13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events is at least a reasonable possibility. </w:t>
      </w:r>
    </w:p>
    <w:p>
      <w:pPr>
        <w:autoSpaceDN w:val="0"/>
        <w:autoSpaceDE w:val="0"/>
        <w:widowControl/>
        <w:spacing w:line="240" w:lineRule="auto" w:before="202" w:after="0"/>
        <w:ind w:left="13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So far, the reported cases occurred after administration of the first dose of Vaxzevria. Experience of </w:t>
      </w:r>
    </w:p>
    <w:p>
      <w:pPr>
        <w:autoSpaceDN w:val="0"/>
        <w:autoSpaceDE w:val="0"/>
        <w:widowControl/>
        <w:spacing w:line="240" w:lineRule="auto" w:before="58" w:after="0"/>
        <w:ind w:left="13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exposure to the second dose is still limited. 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Furthermore, a number of studies will be put in place to identify the exact pathofysiological mechanism </w:t>
      </w:r>
    </w:p>
    <w:p>
      <w:pPr>
        <w:autoSpaceDN w:val="0"/>
        <w:autoSpaceDE w:val="0"/>
        <w:widowControl/>
        <w:spacing w:line="240" w:lineRule="auto" w:before="58" w:after="0"/>
        <w:ind w:left="13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for the occurrence of these thrombotic events and define the precise magnitude of the risk. </w:t>
      </w:r>
    </w:p>
    <w:p>
      <w:pPr>
        <w:autoSpaceDN w:val="0"/>
        <w:autoSpaceDE w:val="0"/>
        <w:widowControl/>
        <w:spacing w:line="238" w:lineRule="auto" w:before="22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The PRAC recommends that the MAH for Vaxzevria (AstraZeneca AB) should submit a variation by 07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April 2021 EOB to amend the product information as described below (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new text underlined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/text to be </w:t>
      </w:r>
    </w:p>
    <w:p>
      <w:pPr>
        <w:autoSpaceDN w:val="0"/>
        <w:autoSpaceDE w:val="0"/>
        <w:widowControl/>
        <w:spacing w:line="238" w:lineRule="auto" w:before="6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removed with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strikethrough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): </w:t>
      </w:r>
    </w:p>
    <w:p>
      <w:pPr>
        <w:autoSpaceDN w:val="0"/>
        <w:autoSpaceDE w:val="0"/>
        <w:widowControl/>
        <w:spacing w:line="312" w:lineRule="auto" w:before="156" w:after="0"/>
        <w:ind w:left="128" w:right="70" w:firstLine="0"/>
        <w:jc w:val="left"/>
      </w:pPr>
      <w:r>
        <w:rPr>
          <w:w w:val="97.77777989705405"/>
          <w:rFonts w:ascii="Verdana" w:hAnsi="Verdana" w:eastAsia="Verdana"/>
          <w:b/>
          <w:i/>
          <w:color w:val="000000"/>
          <w:sz w:val="18"/>
        </w:rPr>
        <w:t xml:space="preserve">Summary of Product Characteristics: </w:t>
      </w:r>
      <w:r>
        <w:br/>
      </w: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Section 4.4 Special warnings and precautions for use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Thrombocytopenia and coagulation disorders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 combination of thrombosis and thrombocytopenia, in some cases accompanied by bleeding, </w:t>
      </w:r>
      <w:r>
        <w:rPr>
          <w:spacing w:val="-8.88888888888889"/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has been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observed very rarely following vaccination with Vaxzevria. This includes severe cases presenting as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venous thrombosis, including unusual sites such as cerebral venous sinus thrombosis,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splanchnic vein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thrombosis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 xml:space="preserve"> mesenteric vein thrombosis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, as well as arterial thrombosis, concomitant with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thrombocytopenia.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Some cases had a fatal outcome.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The majority of these cases occurred within the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first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seven to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fourteen days following vaccination and occurred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mostly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in women under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55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60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years of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ag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e, however this may reflect the increased use of the vaccine in this population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.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Some cases had a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fatal outcome.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62" w:lineRule="auto" w:before="476" w:after="66"/>
        <w:ind w:left="128" w:right="0" w:firstLine="0"/>
        <w:jc w:val="left"/>
      </w:pPr>
      <w:r>
        <w:rPr>
          <w:w w:val="96.00000381469727"/>
          <w:rFonts w:ascii="Verdana" w:hAnsi="Verdana" w:eastAsia="Verdana"/>
          <w:b w:val="0"/>
          <w:i w:val="0"/>
          <w:color w:val="000000"/>
          <w:sz w:val="10"/>
        </w:rPr>
        <w:t>4</w:t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 Translations in all EU languages have already been included in the</w:t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 </w:t>
      </w:r>
      <w:r>
        <w:rPr>
          <w:w w:val="102.85714013235909"/>
          <w:rFonts w:ascii="Verdana" w:hAnsi="Verdana" w:eastAsia="Verdana"/>
          <w:b w:val="0"/>
          <w:i w:val="0"/>
          <w:color w:val="0000FF"/>
          <w:sz w:val="14"/>
          <w:u w:val="single"/>
        </w:rPr>
        <w:hyperlink r:id="rId14" w:history="1">
          <w:r>
            <w:rPr>
              <w:rStyle w:val="Hyperlink"/>
            </w:rPr>
            <w:t>Vaxzevria product information</w:t>
          </w:r>
        </w:hyperlink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34"/>
        <w:gridCol w:w="4834"/>
      </w:tblGrid>
      <w:tr>
        <w:trPr>
          <w:trHeight w:hRule="exact" w:val="336"/>
        </w:trPr>
        <w:tc>
          <w:tcPr>
            <w:tcW w:type="dxa" w:w="5640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PRAC recommendations on signals </w:t>
            </w:r>
          </w:p>
        </w:tc>
        <w:tc>
          <w:tcPr>
            <w:tcW w:type="dxa" w:w="3858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0" w:firstLine="0"/>
              <w:jc w:val="righ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000000"/>
                <w:sz w:val="14"/>
              </w:rPr>
              <w:t xml:space="preserve">Page 4/9 </w:t>
            </w:r>
          </w:p>
        </w:tc>
      </w:tr>
      <w:tr>
        <w:trPr>
          <w:trHeight w:hRule="exact" w:val="1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EMA/PRAC/199751/2021 </w:t>
            </w:r>
          </w:p>
        </w:tc>
        <w:tc>
          <w:tcPr>
            <w:tcW w:type="dxa" w:w="4834"/>
            <w:vMerge/>
            <w:tcBorders>
              <w:top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2"/>
          <w:pgMar w:top="704" w:right="1116" w:bottom="424" w:left="1120" w:header="720" w:footer="720" w:gutter="0"/>
          <w:cols w:space="720" w:num="1" w:equalWidth="0">
            <w:col w:w="9668" w:space="0"/>
            <w:col w:w="9668" w:space="0"/>
            <w:col w:w="9478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28" w:right="168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Healthcare professionals should be alert to the signs and symptoms of thromboembolism and or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thrombocytopenia. Those vaccinated should be instructed to seek immediate medical attention </w:t>
      </w:r>
      <w:r>
        <w:rPr>
          <w:spacing w:val="-10.0"/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if they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develop symptoms such as shortness of breath, chest pain, leg swelling, persistent abdominal pain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following vaccination. Additionally, anyone with neurological symptoms including severe or persistent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headaches or blurred vision after vaccination, or who experiences skin bruising (petechia) </w:t>
      </w:r>
      <w:r>
        <w:rPr>
          <w:spacing w:val="-7.272727272727273"/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beyond the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site of vaccination after a few days, should seek prompt medical attention. </w:t>
      </w:r>
    </w:p>
    <w:p>
      <w:pPr>
        <w:autoSpaceDN w:val="0"/>
        <w:autoSpaceDE w:val="0"/>
        <w:widowControl/>
        <w:spacing w:line="372" w:lineRule="auto" w:before="442" w:after="554"/>
        <w:ind w:left="128" w:right="6266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Section 4.8 </w:t>
      </w:r>
      <w:r>
        <w:rPr>
          <w:spacing w:val="-4.0"/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Undesirable effects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Table 1 - Adverse drug reactions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202"/>
        <w:gridCol w:w="3202"/>
        <w:gridCol w:w="3202"/>
      </w:tblGrid>
      <w:tr>
        <w:trPr>
          <w:trHeight w:hRule="exact" w:val="544"/>
        </w:trPr>
        <w:tc>
          <w:tcPr>
            <w:tcW w:type="dxa" w:w="3152"/>
            <w:tcBorders>
              <w:start w:sz="6.399999999999977" w:val="single" w:color="#FFFFFF"/>
              <w:top w:sz="6.400000000000091" w:val="single" w:color="#FFFFFF"/>
              <w:end w:sz="6.400000000000091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MedDRA SOC </w:t>
            </w:r>
          </w:p>
        </w:tc>
        <w:tc>
          <w:tcPr>
            <w:tcW w:type="dxa" w:w="1680"/>
            <w:tcBorders>
              <w:start w:sz="6.400000000000091" w:val="single" w:color="#FFFFFF"/>
              <w:top w:sz="6.400000000000091" w:val="single" w:color="#FFFFFF"/>
              <w:end w:sz="6.399999999999636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Frequency </w:t>
            </w:r>
          </w:p>
        </w:tc>
        <w:tc>
          <w:tcPr>
            <w:tcW w:type="dxa" w:w="4688"/>
            <w:tcBorders>
              <w:start w:sz="6.399999999999636" w:val="single" w:color="#FFFFFF"/>
              <w:top w:sz="6.400000000000091" w:val="single" w:color="#FFFFFF"/>
              <w:end w:sz="6.399999999999636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Adverse Reactions </w:t>
            </w:r>
          </w:p>
        </w:tc>
      </w:tr>
      <w:tr>
        <w:trPr>
          <w:trHeight w:hRule="exact" w:val="544"/>
        </w:trPr>
        <w:tc>
          <w:tcPr>
            <w:tcW w:type="dxa" w:w="3152"/>
            <w:tcBorders>
              <w:start w:sz="6.399999999999977" w:val="single" w:color="#FFFFFF"/>
              <w:top w:sz="6.400000000000091" w:val="single" w:color="#FFFFFF"/>
              <w:end w:sz="6.400000000000091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2" w:right="402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  <w:u w:val="single"/>
              </w:rPr>
              <w:t>Blood and lymphatic system</w:t>
            </w:r>
            <w:r>
              <w:rPr>
                <w:spacing w:val="-20.0"/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  <w:u w:val="single"/>
              </w:rPr>
              <w:t>disorders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1680"/>
            <w:tcBorders>
              <w:start w:sz="6.400000000000091" w:val="single" w:color="#FFFFFF"/>
              <w:top w:sz="6.400000000000091" w:val="single" w:color="#FFFFFF"/>
              <w:end w:sz="6.399999999999636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  <w:u w:val="single"/>
              </w:rPr>
              <w:t>Common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4688"/>
            <w:tcBorders>
              <w:start w:sz="6.399999999999636" w:val="single" w:color="#FFFFFF"/>
              <w:top w:sz="6.400000000000091" w:val="single" w:color="#FFFFFF"/>
              <w:end w:sz="6.399999999999636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  <w:u w:val="single"/>
              </w:rPr>
              <w:t>Thrombocytopenia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</w:t>
            </w:r>
          </w:p>
        </w:tc>
      </w:tr>
      <w:tr>
        <w:trPr>
          <w:trHeight w:hRule="exact" w:val="704"/>
        </w:trPr>
        <w:tc>
          <w:tcPr>
            <w:tcW w:type="dxa" w:w="3152"/>
            <w:tcBorders>
              <w:start w:sz="6.399999999999977" w:val="single" w:color="#FFFFFF"/>
              <w:top w:sz="6.400000000000091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  <w:u w:val="single"/>
              </w:rPr>
              <w:t>Vascular disorders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1680"/>
            <w:tcBorders>
              <w:start w:sz="6.400000000000091" w:val="single" w:color="#FFFFFF"/>
              <w:top w:sz="6.400000000000091" w:val="single" w:color="#FFFFFF"/>
              <w:end w:sz="6.399999999999636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  <w:u w:val="single"/>
              </w:rPr>
              <w:t>Very rare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</w:t>
            </w:r>
          </w:p>
        </w:tc>
        <w:tc>
          <w:tcPr>
            <w:tcW w:type="dxa" w:w="4688"/>
            <w:tcBorders>
              <w:start w:sz="6.399999999999636" w:val="single" w:color="#FFFFFF"/>
              <w:top w:sz="6.400000000000091" w:val="single" w:color="#FFFFFF"/>
              <w:end w:sz="6.399999999999636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  <w:u w:val="single"/>
              </w:rPr>
              <w:t>Thrombosis in combination with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8" w:lineRule="auto" w:before="12" w:after="0"/>
              <w:ind w:left="81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  <w:u w:val="single"/>
              </w:rPr>
              <w:t>thrombocytopenia*</w:t>
            </w: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307" w:lineRule="auto" w:before="224" w:after="0"/>
        <w:ind w:left="128" w:right="136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And at the end of the table the following statement should be added: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*Severe and very rare cases of thrombosis in combination with thrombocytopenia have been reported</w:t>
      </w:r>
      <w:r>
        <w:rPr>
          <w:spacing w:val="-20.0"/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post-marketing. These included venous thrombosis such as cerebral venous sinus thrombosis,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splanchnic vein thrombosis, as well as arterial thrombosis (see section 4.4).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302" w:lineRule="auto" w:before="444" w:after="0"/>
        <w:ind w:left="128" w:right="168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Package leaflet </w:t>
      </w:r>
      <w:r>
        <w:br/>
      </w: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Section 2 What you need to know before you are given Vaxzevria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Talk to your doctor, pharmacist or nurse before you are vaccinated: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…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…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Blood disorders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Very rare blood clots, often in unusual locations (e.g. brain, bowel, liver, spleen), in combination with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low level of blood platelets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A combination of blood clots and low level of platelets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, in some cases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together with bleeding, has been observed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very rarely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following vaccination with Vaxzevria. This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included some severe cases with blood clots in different or unusual locations and excessive </w:t>
      </w:r>
      <w:r>
        <w:rPr>
          <w:spacing w:val="-6.666666666666666"/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clotting or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bleeding throughout the body. The majority of these cases occurred within the first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seven to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fourteen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days following vaccination and occurred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mostly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in women under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55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60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years of age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, however more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strike/>
          <w:color w:val="000000"/>
          <w:sz w:val="18"/>
        </w:rPr>
        <w:t>women under 55 received the vaccine than other people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. Some cases had a fatal outcome. </w:t>
      </w:r>
    </w:p>
    <w:p>
      <w:pPr>
        <w:autoSpaceDN w:val="0"/>
        <w:autoSpaceDE w:val="0"/>
        <w:widowControl/>
        <w:spacing w:line="245" w:lineRule="auto" w:before="220" w:after="0"/>
        <w:ind w:left="128" w:right="60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Seek immediate medical attention if you develop shortness of breath, chest pain, leg </w:t>
      </w:r>
      <w:r>
        <w:rPr>
          <w:spacing w:val="-6.153846153846154"/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swelling, or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persistent abdominal pain following vaccination. </w:t>
      </w:r>
    </w:p>
    <w:p>
      <w:pPr>
        <w:autoSpaceDN w:val="0"/>
        <w:autoSpaceDE w:val="0"/>
        <w:widowControl/>
        <w:spacing w:line="247" w:lineRule="auto" w:before="218" w:after="0"/>
        <w:ind w:left="128" w:right="60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Also, seek immediate medical attention if you experience after a few days severe or persistent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headaches or blurred vision after vaccination, or experience skin bruising or pinpoint </w:t>
      </w:r>
      <w:r>
        <w:rPr>
          <w:spacing w:val="-6.666666666666666"/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round spots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beyond the site of vaccination which appears after a few days. </w:t>
      </w:r>
    </w:p>
    <w:p>
      <w:pPr>
        <w:autoSpaceDN w:val="0"/>
        <w:autoSpaceDE w:val="0"/>
        <w:widowControl/>
        <w:spacing w:line="324" w:lineRule="auto" w:before="442" w:after="300"/>
        <w:ind w:left="128" w:right="216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Section 4 Possible side effects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Common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- low level of blood platelets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Very rare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br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- blood clots often in unusual locations (e.g. brain, bowel, liver, spleen) in combination with low level</w:t>
      </w:r>
      <w:r>
        <w:rPr>
          <w:spacing w:val="-20.0"/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of blood platelets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03"/>
        <w:gridCol w:w="4803"/>
      </w:tblGrid>
      <w:tr>
        <w:trPr>
          <w:trHeight w:hRule="exact" w:val="336"/>
        </w:trPr>
        <w:tc>
          <w:tcPr>
            <w:tcW w:type="dxa" w:w="5640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PRAC recommendations on signals </w:t>
            </w:r>
          </w:p>
        </w:tc>
        <w:tc>
          <w:tcPr>
            <w:tcW w:type="dxa" w:w="3828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10" w:firstLine="0"/>
              <w:jc w:val="righ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000000"/>
                <w:sz w:val="14"/>
              </w:rPr>
              <w:t xml:space="preserve">Page 5/9 </w:t>
            </w:r>
          </w:p>
        </w:tc>
      </w:tr>
      <w:tr>
        <w:trPr>
          <w:trHeight w:hRule="exact" w:val="1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EMA/PRAC/199751/2021 </w:t>
            </w:r>
          </w:p>
        </w:tc>
        <w:tc>
          <w:tcPr>
            <w:tcW w:type="dxa" w:w="4803"/>
            <w:vMerge/>
            <w:tcBorders>
              <w:top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2"/>
          <w:pgMar w:top="712" w:right="1178" w:bottom="424" w:left="1120" w:header="720" w:footer="720" w:gutter="0"/>
          <w:cols w:space="720" w:num="1" w:equalWidth="0">
            <w:col w:w="9606" w:space="0"/>
            <w:col w:w="9668" w:space="0"/>
            <w:col w:w="9668" w:space="0"/>
            <w:col w:w="9478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45" w:lineRule="auto" w:before="0" w:after="498"/>
        <w:ind w:left="128" w:right="232" w:firstLine="0"/>
        <w:jc w:val="left"/>
      </w:pPr>
      <w:r>
        <w:rPr>
          <w:w w:val="101.81818008422852"/>
          <w:rFonts w:ascii="Verdana" w:hAnsi="Verdana" w:eastAsia="Verdana"/>
          <w:b/>
          <w:i/>
          <w:color w:val="000000"/>
          <w:sz w:val="22"/>
        </w:rPr>
        <w:t xml:space="preserve">1.3. </w:t>
      </w:r>
      <w:r>
        <w:rPr>
          <w:w w:val="101.81818008422852"/>
          <w:rFonts w:ascii="Verdana" w:hAnsi="Verdana" w:eastAsia="Verdana"/>
          <w:b/>
          <w:i/>
          <w:color w:val="000000"/>
          <w:sz w:val="22"/>
        </w:rPr>
        <w:t xml:space="preserve">COVID-19 vaccine (Ad26.COV2-S [recombinant]) - </w:t>
      </w:r>
      <w:r>
        <w:rPr>
          <w:spacing w:val="-4.705882352941177"/>
          <w:w w:val="101.81818008422852"/>
          <w:rFonts w:ascii="Verdana" w:hAnsi="Verdana" w:eastAsia="Verdana"/>
          <w:b/>
          <w:i/>
          <w:color w:val="000000"/>
          <w:sz w:val="22"/>
        </w:rPr>
        <w:t xml:space="preserve">COVID-19 Vaccine </w:t>
      </w:r>
      <w:r>
        <w:rPr>
          <w:w w:val="101.81818008422852"/>
          <w:rFonts w:ascii="Verdana" w:hAnsi="Verdana" w:eastAsia="Verdana"/>
          <w:b/>
          <w:i/>
          <w:color w:val="000000"/>
          <w:sz w:val="22"/>
        </w:rPr>
        <w:t>Janssen - Embolic and thrombotic events</w:t>
      </w:r>
      <w:r>
        <w:rPr>
          <w:w w:val="102.85714013235909"/>
          <w:rFonts w:ascii="Verdana" w:hAnsi="Verdana" w:eastAsia="Verdana"/>
          <w:b/>
          <w:i/>
          <w:color w:val="000000"/>
          <w:sz w:val="14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4834"/>
        <w:gridCol w:w="4834"/>
      </w:tblGrid>
      <w:tr>
        <w:trPr>
          <w:trHeight w:hRule="exact" w:val="288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Authorisation procedure </w:t>
            </w:r>
          </w:p>
        </w:tc>
        <w:tc>
          <w:tcPr>
            <w:tcW w:type="dxa" w:w="6544"/>
            <w:tcBorders>
              <w:start w:sz="6.399999999999864" w:val="single" w:color="#000000"/>
              <w:top w:sz="6.399999999999977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Centralised </w:t>
            </w:r>
          </w:p>
        </w:tc>
      </w:tr>
      <w:tr>
        <w:trPr>
          <w:trHeight w:hRule="exact" w:val="288"/>
        </w:trPr>
        <w:tc>
          <w:tcPr>
            <w:tcW w:type="dxa" w:w="3088"/>
            <w:tcBorders>
              <w:start w:sz="6.399999999999977" w:val="single" w:color="#000000"/>
              <w:top w:sz="6.399999999999864" w:val="single" w:color="#000000"/>
              <w:end w:sz="6.3999999999998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EPITT No </w:t>
            </w:r>
          </w:p>
        </w:tc>
        <w:tc>
          <w:tcPr>
            <w:tcW w:type="dxa" w:w="6544"/>
            <w:tcBorders>
              <w:start w:sz="6.399999999999864" w:val="single" w:color="#000000"/>
              <w:top w:sz="6.399999999999864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19689 </w:t>
            </w:r>
          </w:p>
        </w:tc>
      </w:tr>
      <w:tr>
        <w:trPr>
          <w:trHeight w:hRule="exact" w:val="30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PRAC rapporteur(s) </w:t>
            </w:r>
          </w:p>
        </w:tc>
        <w:tc>
          <w:tcPr>
            <w:tcW w:type="dxa" w:w="6544"/>
            <w:tcBorders>
              <w:start w:sz="6.399999999999864" w:val="single" w:color="#000000"/>
              <w:top w:sz="6.400000000000091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Ulla Wändel Liminga (SE) </w:t>
            </w:r>
          </w:p>
        </w:tc>
      </w:tr>
      <w:tr>
        <w:trPr>
          <w:trHeight w:hRule="exact" w:val="288"/>
        </w:trPr>
        <w:tc>
          <w:tcPr>
            <w:tcW w:type="dxa" w:w="3088"/>
            <w:tcBorders>
              <w:start w:sz="6.399999999999977" w:val="single" w:color="#000000"/>
              <w:top w:sz="6.399999999999864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Date of adoption </w:t>
            </w:r>
          </w:p>
        </w:tc>
        <w:tc>
          <w:tcPr>
            <w:tcW w:type="dxa" w:w="6544"/>
            <w:tcBorders>
              <w:start w:sz="6.399999999999864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20 April 2021 </w:t>
            </w:r>
          </w:p>
        </w:tc>
      </w:tr>
    </w:tbl>
    <w:p>
      <w:pPr>
        <w:autoSpaceDN w:val="0"/>
        <w:autoSpaceDE w:val="0"/>
        <w:widowControl/>
        <w:spacing w:line="242" w:lineRule="auto" w:before="558" w:after="0"/>
        <w:ind w:left="128" w:right="0" w:firstLine="0"/>
        <w:jc w:val="left"/>
      </w:pPr>
      <w:r>
        <w:rPr>
          <w:w w:val="101.81818008422852"/>
          <w:rFonts w:ascii="Verdana" w:hAnsi="Verdana" w:eastAsia="Verdana"/>
          <w:b/>
          <w:i w:val="0"/>
          <w:color w:val="000000"/>
          <w:sz w:val="22"/>
        </w:rPr>
        <w:t xml:space="preserve">Recommendation </w:t>
      </w:r>
      <w:r>
        <w:rPr>
          <w:w w:val="97.77777989705405"/>
          <w:rFonts w:ascii="Verdana" w:hAnsi="Verdana" w:eastAsia="Verdana"/>
          <w:b w:val="0"/>
          <w:i/>
          <w:color w:val="000000"/>
          <w:sz w:val="18"/>
        </w:rPr>
        <w:t>[see also section 3]</w:t>
      </w:r>
    </w:p>
    <w:p>
      <w:pPr>
        <w:autoSpaceDN w:val="0"/>
        <w:autoSpaceDE w:val="0"/>
        <w:widowControl/>
        <w:spacing w:line="238" w:lineRule="auto" w:before="28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The PRAC has reviewed the available evidence on the occurrence of thromboembolic events following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the administration of COVID-19 Vaccine Janssen, including data ascertained from spontaneous case </w:t>
      </w:r>
    </w:p>
    <w:p>
      <w:pPr>
        <w:autoSpaceDN w:val="0"/>
        <w:autoSpaceDE w:val="0"/>
        <w:widowControl/>
        <w:spacing w:line="240" w:lineRule="auto" w:before="7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reports identified in EudraVigilance, clinical trials and additional data from the MAH. The evaluation of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the data revealed eight reports of interest, which included severe cases of venous thrombosis at </w:t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unusual sites such as cerebral venous sinus thrombosis, splanchnic vein thrombosis, as well as arterial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thrombosis concomitant with thrombocytopenia. Fatal outcome has been reported. These cases </w:t>
      </w:r>
    </w:p>
    <w:p>
      <w:pPr>
        <w:autoSpaceDN w:val="0"/>
        <w:autoSpaceDE w:val="0"/>
        <w:widowControl/>
        <w:spacing w:line="240" w:lineRule="auto" w:before="7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occurred within the first three weeks following vaccination, and mostly in women under 60 years of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age. </w:t>
      </w:r>
    </w:p>
    <w:p>
      <w:pPr>
        <w:autoSpaceDN w:val="0"/>
        <w:autoSpaceDE w:val="0"/>
        <w:widowControl/>
        <w:spacing w:line="240" w:lineRule="auto" w:before="202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PRAC is of the view that there is sufficient evidence to conclude, with a reasonable possibility, that </w:t>
      </w:r>
    </w:p>
    <w:p>
      <w:pPr>
        <w:autoSpaceDN w:val="0"/>
        <w:autoSpaceDE w:val="0"/>
        <w:widowControl/>
        <w:spacing w:line="240" w:lineRule="auto" w:before="7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/>
          <w:color w:val="000000"/>
          <w:sz w:val="18"/>
        </w:rPr>
        <w:t>thrombosis in combination with thrombocytopenia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can be considered as a very rare adverse drug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reaction of the Covid-19 Vaccine Janssen. </w:t>
      </w:r>
    </w:p>
    <w:p>
      <w:pPr>
        <w:autoSpaceDN w:val="0"/>
        <w:autoSpaceDE w:val="0"/>
        <w:widowControl/>
        <w:spacing w:line="240" w:lineRule="auto" w:before="21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Regarding additional risk minimisation measures, a DHPC is warranted to inform health care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professionals. </w:t>
      </w:r>
    </w:p>
    <w:p>
      <w:pPr>
        <w:autoSpaceDN w:val="0"/>
        <w:autoSpaceDE w:val="0"/>
        <w:widowControl/>
        <w:spacing w:line="238" w:lineRule="auto" w:before="20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The PRAC recommends that the MAH for Covid-19 Vaccine Janssen (Janssen-Cilag International NV) </w:t>
      </w:r>
    </w:p>
    <w:p>
      <w:pPr>
        <w:autoSpaceDN w:val="0"/>
        <w:autoSpaceDE w:val="0"/>
        <w:widowControl/>
        <w:spacing w:line="257" w:lineRule="auto" w:before="60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should submit a variation by 21</w:t>
      </w:r>
      <w:r>
        <w:rPr>
          <w:w w:val="98.4615399287297"/>
          <w:rFonts w:ascii="Verdana" w:hAnsi="Verdana" w:eastAsia="Verdana"/>
          <w:b w:val="0"/>
          <w:i w:val="0"/>
          <w:color w:val="000000"/>
          <w:sz w:val="13"/>
        </w:rPr>
        <w:t>st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April 2021 (8am CET) to amend the product information as described </w:t>
      </w:r>
    </w:p>
    <w:p>
      <w:pPr>
        <w:autoSpaceDN w:val="0"/>
        <w:autoSpaceDE w:val="0"/>
        <w:widowControl/>
        <w:spacing w:line="240" w:lineRule="auto" w:before="5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below (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new text underlined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/text to be removed with strikethrough): </w:t>
      </w:r>
    </w:p>
    <w:p>
      <w:pPr>
        <w:autoSpaceDN w:val="0"/>
        <w:autoSpaceDE w:val="0"/>
        <w:widowControl/>
        <w:spacing w:line="238" w:lineRule="auto" w:before="20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Summary of Product Characteristics (SmPC) </w:t>
      </w:r>
    </w:p>
    <w:p>
      <w:pPr>
        <w:autoSpaceDN w:val="0"/>
        <w:autoSpaceDE w:val="0"/>
        <w:widowControl/>
        <w:spacing w:line="240" w:lineRule="auto" w:before="204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Section 4.4 </w:t>
      </w:r>
    </w:p>
    <w:p>
      <w:pPr>
        <w:autoSpaceDN w:val="0"/>
        <w:autoSpaceDE w:val="0"/>
        <w:widowControl/>
        <w:spacing w:line="238" w:lineRule="auto" w:before="218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Thrombocytopenia and coagulation disorders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A combination of thrombosis and thrombocytopenia, in some cases accompanied by bleeding, has been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observed very rarely following vaccination with COVID-19 Vaccine Janssen. This includes severe cases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of venous thrombosis at unusual sites such as cerebral venous sinus thrombosis, splanchnic vein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thrombosis, as well as arterial thrombosis concomitant with thrombocytopenia. Fatal outcome has been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reported. These cases occurred within the first three weeks following vaccination, and mostly in women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under 60 years of age.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22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Healthcare professionals should be alert to the signs and symptoms of thromboembolism and/or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thrombocytopenia. Those vaccinated should be instructed to seek immediate medical attention if they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develop symptoms such as shortness of breath, chest pain, leg swelling, or persistent abdominal pain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following vaccination. Additionally, anyone with neurological symptoms including severe or persistent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headaches or blurred vision after vaccination, or who experiences skin bruising (petechia) beyond the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12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site of vaccination after a few days, should seek prompt medical attention.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52" w:lineRule="auto" w:before="572" w:after="66"/>
        <w:ind w:left="128" w:right="194" w:firstLine="0"/>
        <w:jc w:val="left"/>
      </w:pPr>
      <w:r>
        <w:rPr>
          <w:w w:val="96.00000381469727"/>
          <w:rFonts w:ascii="Verdana" w:hAnsi="Verdana" w:eastAsia="Verdana"/>
          <w:b w:val="0"/>
          <w:i w:val="0"/>
          <w:color w:val="000000"/>
          <w:sz w:val="10"/>
        </w:rPr>
        <w:t>5</w:t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 Signal discussed at the Extraordinary PRAC meeting of 20 April 2021. Translations in all EU languages have </w:t>
      </w:r>
      <w:r>
        <w:rPr>
          <w:spacing w:val="-6.153846153846154"/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already been </w:t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>included in the</w:t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 </w:t>
      </w:r>
      <w:r>
        <w:rPr>
          <w:w w:val="102.85714013235909"/>
          <w:rFonts w:ascii="Verdana" w:hAnsi="Verdana" w:eastAsia="Verdana"/>
          <w:b w:val="0"/>
          <w:i w:val="0"/>
          <w:color w:val="0000FF"/>
          <w:sz w:val="14"/>
          <w:u w:val="single"/>
        </w:rPr>
        <w:hyperlink r:id="rId15" w:history="1">
          <w:r>
            <w:rPr>
              <w:rStyle w:val="Hyperlink"/>
            </w:rPr>
            <w:t>COVID-19 Vaccine Janssen product information</w:t>
          </w:r>
        </w:hyperlink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34"/>
        <w:gridCol w:w="4834"/>
      </w:tblGrid>
      <w:tr>
        <w:trPr>
          <w:trHeight w:hRule="exact" w:val="336"/>
        </w:trPr>
        <w:tc>
          <w:tcPr>
            <w:tcW w:type="dxa" w:w="5640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PRAC recommendations on signals </w:t>
            </w:r>
          </w:p>
        </w:tc>
        <w:tc>
          <w:tcPr>
            <w:tcW w:type="dxa" w:w="3858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0" w:firstLine="0"/>
              <w:jc w:val="righ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000000"/>
                <w:sz w:val="14"/>
              </w:rPr>
              <w:t xml:space="preserve">Page 6/9 </w:t>
            </w:r>
          </w:p>
        </w:tc>
      </w:tr>
      <w:tr>
        <w:trPr>
          <w:trHeight w:hRule="exact" w:val="1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EMA/PRAC/199751/2021 </w:t>
            </w:r>
          </w:p>
        </w:tc>
        <w:tc>
          <w:tcPr>
            <w:tcW w:type="dxa" w:w="4834"/>
            <w:vMerge/>
            <w:tcBorders>
              <w:top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2"/>
          <w:pgMar w:top="704" w:right="1116" w:bottom="424" w:left="1120" w:header="720" w:footer="720" w:gutter="0"/>
          <w:cols w:space="720" w:num="1" w:equalWidth="0">
            <w:col w:w="9668" w:space="0"/>
            <w:col w:w="9606" w:space="0"/>
            <w:col w:w="9668" w:space="0"/>
            <w:col w:w="9668" w:space="0"/>
            <w:col w:w="9478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Thrombosis in combination with thrombocytopenia requires specialised clinical management.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Healthcare professionals should consult applicable guidance and/or consult specialists (e.g.,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haematologists, specialists in coagulation) to diagnose and treat this condition.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Risk of bleeding with intramuscular administration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40" w:lineRule="auto" w:before="49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Section 4.8 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In the Table 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SOC: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Vascular disorders: Thrombosis in combination with thrombocytopenia*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* *Severe and very rare cases of thrombosis in combination with thrombocytopenia have been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0" w:right="0" w:firstLine="0"/>
        <w:jc w:val="center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reported post-marketing. These included venous thrombosis such as cerebral venous sinus thrombosis,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splanchnic vein thrombosis, as well as arterial thrombosis (see section 4.4).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>Frequency: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 xml:space="preserve"> Very rare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40" w:lineRule="auto" w:before="49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Package leaflet 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Section 2 </w:t>
      </w:r>
    </w:p>
    <w:p>
      <w:pPr>
        <w:autoSpaceDN w:val="0"/>
        <w:autoSpaceDE w:val="0"/>
        <w:widowControl/>
        <w:spacing w:line="240" w:lineRule="auto" w:before="20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[…] 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As with any vaccine, vaccination with COVID-19 Vaccine Janssen may not fully protect all those who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receive it. It is not known how long you will be protected. </w:t>
      </w:r>
    </w:p>
    <w:p>
      <w:pPr>
        <w:autoSpaceDN w:val="0"/>
        <w:autoSpaceDE w:val="0"/>
        <w:widowControl/>
        <w:spacing w:line="238" w:lineRule="auto" w:before="202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Blood disorders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A combination of blood clots and low levels of ‘platelets’ (cells that help blood to clot) in the blood has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been observed very rarely following vaccination with COVID-19 Vaccine Janssen. This includes severe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cases with blood clots, including in unusual locations such as the brain, liver, bowel and spleen, in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some cases in combination with bleeding. These cases occurred within the first three weeks following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vaccination and occurred mostly in women below 60 years of age. Fatal outcome has been reported.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Seek immediate medical attention if you experience severe or persistent headaches or blurred vision,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unexplained skin bruising beyond the site of vaccination which appear a few days after vaccination,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develop shortness of breath, chest pain, leg swelling, or persistent abdominal pain. Inform your health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care provider that you have recently received COVID-19 Vaccine Janssen.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 xml:space="preserve">Section 4 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Very Rare (may affect up to 1 in 10,000 people) - blood clots often in unusual locations (e.g. brain,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liver, bowel, spleen) in combination with low level of blood platelets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/>
          <w:i w:val="0"/>
          <w:color w:val="000000"/>
          <w:sz w:val="18"/>
        </w:rPr>
        <w:t>Section 6</w:t>
      </w:r>
    </w:p>
    <w:p>
      <w:pPr>
        <w:autoSpaceDN w:val="0"/>
        <w:autoSpaceDE w:val="0"/>
        <w:widowControl/>
        <w:spacing w:line="240" w:lineRule="auto" w:before="220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The following information is intended for healthcare professionals only: </w:t>
      </w:r>
    </w:p>
    <w:p>
      <w:pPr>
        <w:autoSpaceDN w:val="0"/>
        <w:autoSpaceDE w:val="0"/>
        <w:widowControl/>
        <w:spacing w:line="240" w:lineRule="auto" w:before="202" w:after="0"/>
        <w:ind w:left="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[…] </w:t>
      </w:r>
    </w:p>
    <w:p>
      <w:pPr>
        <w:autoSpaceDN w:val="0"/>
        <w:tabs>
          <w:tab w:pos="720" w:val="left"/>
        </w:tabs>
        <w:autoSpaceDE w:val="0"/>
        <w:widowControl/>
        <w:spacing w:line="238" w:lineRule="auto" w:before="218" w:after="0"/>
        <w:ind w:left="368" w:right="0" w:firstLine="0"/>
        <w:jc w:val="left"/>
      </w:pPr>
      <w:r>
        <w:rPr>
          <w:w w:val="97.77777989705405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Healthcare professionals should be alert to the signs and symptoms of thromboembolism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58" w:after="0"/>
        <w:ind w:left="72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and/or thrombocytopenia. Those vaccinated should be instructed to seek immediate medical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72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attention if they develop symptoms such as shortness of breath, chest pain, leg swelling, or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72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persistent abdominal pain following vaccination. Additionally, anyone with neurological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44"/>
        <w:ind w:left="720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symptoms including severe or persistent headaches or blurred vision after vaccination, or who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9"/>
        <w:gridCol w:w="4739"/>
      </w:tblGrid>
      <w:tr>
        <w:trPr>
          <w:trHeight w:hRule="exact" w:val="336"/>
        </w:trPr>
        <w:tc>
          <w:tcPr>
            <w:tcW w:type="dxa" w:w="5640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PRAC recommendations on signals </w:t>
            </w:r>
          </w:p>
        </w:tc>
        <w:tc>
          <w:tcPr>
            <w:tcW w:type="dxa" w:w="3828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10" w:firstLine="0"/>
              <w:jc w:val="righ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000000"/>
                <w:sz w:val="14"/>
              </w:rPr>
              <w:t xml:space="preserve">Page 7/9 </w:t>
            </w:r>
          </w:p>
        </w:tc>
      </w:tr>
      <w:tr>
        <w:trPr>
          <w:trHeight w:hRule="exact" w:val="1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EMA/PRAC/199751/2021 </w:t>
            </w:r>
          </w:p>
        </w:tc>
        <w:tc>
          <w:tcPr>
            <w:tcW w:type="dxa" w:w="4739"/>
            <w:vMerge/>
            <w:tcBorders>
              <w:top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2"/>
          <w:pgMar w:top="952" w:right="1178" w:bottom="424" w:left="1248" w:header="720" w:footer="720" w:gutter="0"/>
          <w:cols w:space="720" w:num="1" w:equalWidth="0">
            <w:col w:w="9478" w:space="0"/>
            <w:col w:w="9668" w:space="0"/>
            <w:col w:w="9606" w:space="0"/>
            <w:col w:w="9668" w:space="0"/>
            <w:col w:w="9668" w:space="0"/>
            <w:col w:w="9478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84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experiences skin bruising (petechia) beyond the site of vaccination after a few days, should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84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seek prompt medical attention. Thrombosis in combination with thrombocytopenia requires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84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specialised clinical management. Healthcare professionals should consult applicable guidance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76" w:after="0"/>
        <w:ind w:left="84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and/or consult specialists (e.g., haematologists, specialists in coagulation) to diagnose and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38" w:lineRule="auto" w:before="60" w:after="0"/>
        <w:ind w:left="848" w:right="0" w:firstLine="0"/>
        <w:jc w:val="left"/>
      </w:pP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  <w:u w:val="single"/>
        </w:rPr>
        <w:t>treat this condition.</w:t>
      </w:r>
      <w:r>
        <w:rPr>
          <w:w w:val="97.77777989705405"/>
          <w:rFonts w:ascii="Verdana" w:hAnsi="Verdana" w:eastAsia="Verdana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45" w:lineRule="auto" w:before="682" w:after="230"/>
        <w:ind w:left="128" w:right="1096" w:firstLine="0"/>
        <w:jc w:val="left"/>
      </w:pPr>
      <w:r>
        <w:rPr>
          <w:rFonts w:ascii="Verdana" w:hAnsi="Verdana" w:eastAsia="Verdana"/>
          <w:b/>
          <w:i w:val="0"/>
          <w:color w:val="000000"/>
          <w:sz w:val="27"/>
        </w:rPr>
        <w:t xml:space="preserve">2. </w:t>
      </w:r>
      <w:r>
        <w:rPr>
          <w:rFonts w:ascii="Verdana" w:hAnsi="Verdana" w:eastAsia="Verdana"/>
          <w:b/>
          <w:i w:val="0"/>
          <w:color w:val="000000"/>
          <w:sz w:val="27"/>
        </w:rPr>
        <w:t xml:space="preserve">Recommendations for submission </w:t>
      </w:r>
      <w:r>
        <w:rPr>
          <w:spacing w:val="-4.705882352941177"/>
          <w:rFonts w:ascii="Verdana" w:hAnsi="Verdana" w:eastAsia="Verdana"/>
          <w:b/>
          <w:i w:val="0"/>
          <w:color w:val="000000"/>
          <w:sz w:val="27"/>
        </w:rPr>
        <w:t xml:space="preserve">of supplementary </w:t>
      </w:r>
      <w:r>
        <w:rPr>
          <w:rFonts w:ascii="Verdana" w:hAnsi="Verdana" w:eastAsia="Verdana"/>
          <w:b/>
          <w:i w:val="0"/>
          <w:color w:val="000000"/>
          <w:sz w:val="27"/>
        </w:rPr>
        <w:t xml:space="preserve">information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934"/>
        <w:gridCol w:w="1934"/>
        <w:gridCol w:w="1934"/>
        <w:gridCol w:w="1934"/>
        <w:gridCol w:w="1934"/>
      </w:tblGrid>
      <w:tr>
        <w:trPr>
          <w:trHeight w:hRule="exact" w:val="314"/>
        </w:trPr>
        <w:tc>
          <w:tcPr>
            <w:tcW w:type="dxa" w:w="1238"/>
            <w:vMerge w:val="restart"/>
            <w:tcBorders/>
            <w:shd w:fill="0033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INN </w:t>
            </w:r>
          </w:p>
        </w:tc>
        <w:tc>
          <w:tcPr>
            <w:tcW w:type="dxa" w:w="2824"/>
            <w:vMerge w:val="restart"/>
            <w:tcBorders/>
            <w:shd w:fill="0033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8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Signal (EPITT No) </w:t>
            </w:r>
          </w:p>
        </w:tc>
        <w:tc>
          <w:tcPr>
            <w:tcW w:type="dxa" w:w="1426"/>
            <w:tcBorders/>
            <w:shd w:fill="0033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74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PRAC </w:t>
            </w:r>
          </w:p>
        </w:tc>
        <w:tc>
          <w:tcPr>
            <w:tcW w:type="dxa" w:w="2102"/>
            <w:vMerge w:val="restart"/>
            <w:tcBorders/>
            <w:shd w:fill="0033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Action for MAH </w:t>
            </w:r>
          </w:p>
        </w:tc>
        <w:tc>
          <w:tcPr>
            <w:tcW w:type="dxa" w:w="2042"/>
            <w:vMerge w:val="restart"/>
            <w:tcBorders/>
            <w:shd w:fill="0033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42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MAH </w:t>
            </w:r>
          </w:p>
        </w:tc>
      </w:tr>
      <w:tr>
        <w:trPr>
          <w:trHeight w:hRule="exact" w:val="438"/>
        </w:trPr>
        <w:tc>
          <w:tcPr>
            <w:tcW w:type="dxa" w:w="1934"/>
            <w:vMerge/>
            <w:tcBorders/>
          </w:tcPr>
          <w:p/>
        </w:tc>
        <w:tc>
          <w:tcPr>
            <w:tcW w:type="dxa" w:w="1934"/>
            <w:vMerge/>
            <w:tcBorders/>
          </w:tcPr>
          <w:p/>
        </w:tc>
        <w:tc>
          <w:tcPr>
            <w:tcW w:type="dxa" w:w="1426"/>
            <w:tcBorders/>
            <w:shd w:fill="0033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7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FFFFFF"/>
                <w:sz w:val="16"/>
              </w:rPr>
              <w:t>Rapporteur</w:t>
            </w:r>
          </w:p>
        </w:tc>
        <w:tc>
          <w:tcPr>
            <w:tcW w:type="dxa" w:w="1934"/>
            <w:vMerge/>
            <w:tcBorders/>
          </w:tcPr>
          <w:p/>
        </w:tc>
        <w:tc>
          <w:tcPr>
            <w:tcW w:type="dxa" w:w="19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934"/>
        <w:gridCol w:w="1934"/>
        <w:gridCol w:w="1934"/>
        <w:gridCol w:w="1934"/>
        <w:gridCol w:w="1934"/>
      </w:tblGrid>
      <w:tr>
        <w:trPr>
          <w:trHeight w:hRule="exact" w:val="1840"/>
        </w:trPr>
        <w:tc>
          <w:tcPr>
            <w:tcW w:type="dxa" w:w="1808"/>
            <w:tcBorders>
              <w:start w:sz="6.399999999999977" w:val="single" w:color="#FFFFFF"/>
              <w:top w:sz="6.399999999999636" w:val="single" w:color="#FFFFFF"/>
              <w:end w:sz="6.399999999999864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COVID-19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vaccine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(Ad26.COV2-S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[recombinant]) -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COVID-19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Vaccine Janssen </w:t>
            </w:r>
          </w:p>
        </w:tc>
        <w:tc>
          <w:tcPr>
            <w:tcW w:type="dxa" w:w="2416"/>
            <w:tcBorders>
              <w:start w:sz="6.399999999999864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Embolic and thrombotic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events (19689) </w:t>
            </w:r>
          </w:p>
        </w:tc>
        <w:tc>
          <w:tcPr>
            <w:tcW w:type="dxa" w:w="128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Ulla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Wändel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Liminga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(SE) </w:t>
            </w:r>
          </w:p>
        </w:tc>
        <w:tc>
          <w:tcPr>
            <w:tcW w:type="dxa" w:w="240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Provide responses to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list of questions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(submission by 15 April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2021) </w:t>
            </w:r>
          </w:p>
        </w:tc>
        <w:tc>
          <w:tcPr>
            <w:tcW w:type="dxa" w:w="1728"/>
            <w:tcBorders>
              <w:start w:sz="6.400000000000091" w:val="single" w:color="#FFFFFF"/>
              <w:top w:sz="6.399999999999636" w:val="single" w:color="#FFFFFF"/>
              <w:end w:sz="6.399999999999636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Janssen-Cilag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International NV </w:t>
            </w:r>
          </w:p>
        </w:tc>
      </w:tr>
      <w:tr>
        <w:trPr>
          <w:trHeight w:hRule="exact" w:val="2672"/>
        </w:trPr>
        <w:tc>
          <w:tcPr>
            <w:tcW w:type="dxa" w:w="1808"/>
            <w:tcBorders>
              <w:start w:sz="6.399999999999977" w:val="single" w:color="#FFFFFF"/>
              <w:top w:sz="6.399999999999636" w:val="single" w:color="#FFFFFF"/>
              <w:end w:sz="6.399999999999864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COVID-19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vaccine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(ChAdOx1-S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[recombinant]) -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Vaxzevria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(previously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COVID-19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Vaccine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AstraZeneca) </w:t>
            </w:r>
          </w:p>
        </w:tc>
        <w:tc>
          <w:tcPr>
            <w:tcW w:type="dxa" w:w="2416"/>
            <w:tcBorders>
              <w:start w:sz="6.399999999999864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Capillary leak syndrome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(19672) </w:t>
            </w:r>
          </w:p>
        </w:tc>
        <w:tc>
          <w:tcPr>
            <w:tcW w:type="dxa" w:w="128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Jean-Michel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Dogné (BE) </w:t>
            </w:r>
          </w:p>
        </w:tc>
        <w:tc>
          <w:tcPr>
            <w:tcW w:type="dxa" w:w="240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Supplementary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information requested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(submission by 7 May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2021) </w:t>
            </w:r>
          </w:p>
        </w:tc>
        <w:tc>
          <w:tcPr>
            <w:tcW w:type="dxa" w:w="1728"/>
            <w:tcBorders>
              <w:start w:sz="6.400000000000091" w:val="single" w:color="#FFFFFF"/>
              <w:top w:sz="6.399999999999636" w:val="single" w:color="#FFFFFF"/>
              <w:end w:sz="6.399999999999636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AstraZeneca AB </w:t>
            </w:r>
          </w:p>
        </w:tc>
      </w:tr>
      <w:tr>
        <w:trPr>
          <w:trHeight w:hRule="exact" w:val="1840"/>
        </w:trPr>
        <w:tc>
          <w:tcPr>
            <w:tcW w:type="dxa" w:w="1808"/>
            <w:tcBorders>
              <w:start w:sz="6.399999999999977" w:val="single" w:color="#FFFFFF"/>
              <w:top w:sz="6.400000000000091" w:val="single" w:color="#FFFFFF"/>
              <w:end w:sz="6.399999999999864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Mercaptopurine </w:t>
            </w:r>
          </w:p>
        </w:tc>
        <w:tc>
          <w:tcPr>
            <w:tcW w:type="dxa" w:w="2416"/>
            <w:tcBorders>
              <w:start w:sz="6.399999999999864" w:val="single" w:color="#FFFFFF"/>
              <w:top w:sz="6.400000000000091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Erythema nodosum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(19623) </w:t>
            </w:r>
          </w:p>
        </w:tc>
        <w:tc>
          <w:tcPr>
            <w:tcW w:type="dxa" w:w="1280"/>
            <w:tcBorders>
              <w:start w:sz="6.400000000000091" w:val="single" w:color="#FFFFFF"/>
              <w:top w:sz="6.400000000000091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Annika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Folin (SE) </w:t>
            </w:r>
          </w:p>
        </w:tc>
        <w:tc>
          <w:tcPr>
            <w:tcW w:type="dxa" w:w="2400"/>
            <w:tcBorders>
              <w:start w:sz="6.400000000000091" w:val="single" w:color="#FFFFFF"/>
              <w:top w:sz="6.400000000000091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Provide cumulative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review in the next PSUR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(submission by 30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November 2021) </w:t>
            </w:r>
          </w:p>
        </w:tc>
        <w:tc>
          <w:tcPr>
            <w:tcW w:type="dxa" w:w="1728"/>
            <w:tcBorders>
              <w:start w:sz="6.400000000000091" w:val="single" w:color="#FFFFFF"/>
              <w:top w:sz="6.400000000000091" w:val="single" w:color="#FFFFFF"/>
              <w:end w:sz="6.399999999999636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MAHs for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>mercaptopurine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-containing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products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(eligible to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submit PSURs) </w:t>
            </w:r>
          </w:p>
        </w:tc>
      </w:tr>
      <w:tr>
        <w:trPr>
          <w:trHeight w:hRule="exact" w:val="1280"/>
        </w:trPr>
        <w:tc>
          <w:tcPr>
            <w:tcW w:type="dxa" w:w="1808"/>
            <w:tcBorders>
              <w:start w:sz="6.399999999999977" w:val="single" w:color="#FFFFFF"/>
              <w:top w:sz="6.399999999999636" w:val="single" w:color="#FFFFFF"/>
              <w:end w:sz="6.399999999999864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Pembrolizumab </w:t>
            </w:r>
          </w:p>
        </w:tc>
        <w:tc>
          <w:tcPr>
            <w:tcW w:type="dxa" w:w="2416"/>
            <w:tcBorders>
              <w:start w:sz="6.399999999999864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Paraneoplastic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neurological syndrome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(19671) </w:t>
            </w:r>
          </w:p>
        </w:tc>
        <w:tc>
          <w:tcPr>
            <w:tcW w:type="dxa" w:w="128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Menno van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der Elst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(NL) </w:t>
            </w:r>
          </w:p>
        </w:tc>
        <w:tc>
          <w:tcPr>
            <w:tcW w:type="dxa" w:w="240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Provide cumulative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review in the next PSUR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(submission by 12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November 2021) </w:t>
            </w:r>
          </w:p>
        </w:tc>
        <w:tc>
          <w:tcPr>
            <w:tcW w:type="dxa" w:w="1728"/>
            <w:tcBorders>
              <w:start w:sz="6.400000000000091" w:val="single" w:color="#FFFFFF"/>
              <w:top w:sz="6.399999999999636" w:val="single" w:color="#FFFFFF"/>
              <w:end w:sz="6.399999999999636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Merck Sharp &amp;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Dohme B.V. </w:t>
            </w:r>
          </w:p>
        </w:tc>
      </w:tr>
      <w:tr>
        <w:trPr>
          <w:trHeight w:hRule="exact" w:val="1264"/>
        </w:trPr>
        <w:tc>
          <w:tcPr>
            <w:tcW w:type="dxa" w:w="1808"/>
            <w:tcBorders>
              <w:start w:sz="6.399999999999977" w:val="single" w:color="#FFFFFF"/>
              <w:top w:sz="6.399999999999636" w:val="single" w:color="#FFFFFF"/>
              <w:end w:sz="6.399999999999864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Piperacillin;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piperacillin,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tazobactam </w:t>
            </w:r>
          </w:p>
        </w:tc>
        <w:tc>
          <w:tcPr>
            <w:tcW w:type="dxa" w:w="2416"/>
            <w:tcBorders>
              <w:start w:sz="6.399999999999864" w:val="single" w:color="#FFFFFF"/>
              <w:top w:sz="6.399999999999636" w:val="single" w:color="#FFFFFF"/>
              <w:end w:sz="6.400000000000091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Hemophagocytic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lymphohistiocytosis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(HLH) (19676) </w:t>
            </w:r>
          </w:p>
        </w:tc>
        <w:tc>
          <w:tcPr>
            <w:tcW w:type="dxa" w:w="128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Marek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Juračka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(SK) </w:t>
            </w:r>
          </w:p>
        </w:tc>
        <w:tc>
          <w:tcPr>
            <w:tcW w:type="dxa" w:w="240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Supplementary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information requested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(submission by 1 July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2021) </w:t>
            </w:r>
          </w:p>
        </w:tc>
        <w:tc>
          <w:tcPr>
            <w:tcW w:type="dxa" w:w="1728"/>
            <w:tcBorders>
              <w:start w:sz="6.400000000000091" w:val="single" w:color="#FFFFFF"/>
              <w:top w:sz="6.399999999999636" w:val="single" w:color="#FFFFFF"/>
              <w:end w:sz="6.399999999999636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Novartis, Pfizer,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Fresenius Kabi,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Mylan, Teva </w:t>
            </w:r>
          </w:p>
        </w:tc>
      </w:tr>
    </w:tbl>
    <w:p>
      <w:pPr>
        <w:autoSpaceDN w:val="0"/>
        <w:autoSpaceDE w:val="0"/>
        <w:widowControl/>
        <w:spacing w:line="14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34"/>
        <w:gridCol w:w="4834"/>
      </w:tblGrid>
      <w:tr>
        <w:trPr>
          <w:trHeight w:hRule="exact" w:val="336"/>
        </w:trPr>
        <w:tc>
          <w:tcPr>
            <w:tcW w:type="dxa" w:w="5640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PRAC recommendations on signals </w:t>
            </w:r>
          </w:p>
        </w:tc>
        <w:tc>
          <w:tcPr>
            <w:tcW w:type="dxa" w:w="3858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0" w:firstLine="0"/>
              <w:jc w:val="righ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000000"/>
                <w:sz w:val="14"/>
              </w:rPr>
              <w:t xml:space="preserve">Page 8/9 </w:t>
            </w:r>
          </w:p>
        </w:tc>
      </w:tr>
      <w:tr>
        <w:trPr>
          <w:trHeight w:hRule="exact" w:val="1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EMA/PRAC/199751/2021 </w:t>
            </w:r>
          </w:p>
        </w:tc>
        <w:tc>
          <w:tcPr>
            <w:tcW w:type="dxa" w:w="4834"/>
            <w:vMerge/>
            <w:tcBorders>
              <w:top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2"/>
          <w:pgMar w:top="744" w:right="1116" w:bottom="424" w:left="1120" w:header="720" w:footer="720" w:gutter="0"/>
          <w:cols w:space="720" w:num="1" w:equalWidth="0">
            <w:col w:w="9668" w:space="0"/>
            <w:col w:w="9478" w:space="0"/>
            <w:col w:w="9668" w:space="0"/>
            <w:col w:w="9606" w:space="0"/>
            <w:col w:w="9668" w:space="0"/>
            <w:col w:w="9668" w:space="0"/>
            <w:col w:w="9478" w:space="0"/>
            <w:col w:w="94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0" w:lineRule="auto" w:before="0" w:after="214"/>
        <w:ind w:left="128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7"/>
        </w:rPr>
        <w:t xml:space="preserve">3. </w:t>
      </w:r>
      <w:r>
        <w:rPr>
          <w:rFonts w:ascii="Verdana" w:hAnsi="Verdana" w:eastAsia="Verdana"/>
          <w:b/>
          <w:i w:val="0"/>
          <w:color w:val="000000"/>
          <w:sz w:val="27"/>
        </w:rPr>
        <w:t xml:space="preserve">Other recommendations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934"/>
        <w:gridCol w:w="1934"/>
        <w:gridCol w:w="1934"/>
        <w:gridCol w:w="1934"/>
        <w:gridCol w:w="1934"/>
      </w:tblGrid>
      <w:tr>
        <w:trPr>
          <w:trHeight w:hRule="exact" w:val="314"/>
        </w:trPr>
        <w:tc>
          <w:tcPr>
            <w:tcW w:type="dxa" w:w="1238"/>
            <w:vMerge w:val="restart"/>
            <w:tcBorders/>
            <w:shd w:fill="0033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INN </w:t>
            </w:r>
          </w:p>
        </w:tc>
        <w:tc>
          <w:tcPr>
            <w:tcW w:type="dxa" w:w="2752"/>
            <w:vMerge w:val="restart"/>
            <w:tcBorders/>
            <w:shd w:fill="0033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8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Signal (EPITT No) </w:t>
            </w:r>
          </w:p>
        </w:tc>
        <w:tc>
          <w:tcPr>
            <w:tcW w:type="dxa" w:w="1426"/>
            <w:tcBorders/>
            <w:shd w:fill="0033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0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PRAC </w:t>
            </w:r>
          </w:p>
        </w:tc>
        <w:tc>
          <w:tcPr>
            <w:tcW w:type="dxa" w:w="2174"/>
            <w:vMerge w:val="restart"/>
            <w:tcBorders/>
            <w:shd w:fill="0033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84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Action for MAH </w:t>
            </w:r>
          </w:p>
        </w:tc>
        <w:tc>
          <w:tcPr>
            <w:tcW w:type="dxa" w:w="2042"/>
            <w:vMerge w:val="restart"/>
            <w:tcBorders/>
            <w:shd w:fill="00339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42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/>
                <w:i w:val="0"/>
                <w:color w:val="FFFFFF"/>
                <w:sz w:val="18"/>
              </w:rPr>
              <w:t xml:space="preserve">MAH </w:t>
            </w:r>
          </w:p>
        </w:tc>
      </w:tr>
      <w:tr>
        <w:trPr>
          <w:trHeight w:hRule="exact" w:val="438"/>
        </w:trPr>
        <w:tc>
          <w:tcPr>
            <w:tcW w:type="dxa" w:w="1934"/>
            <w:vMerge/>
            <w:tcBorders/>
          </w:tcPr>
          <w:p/>
        </w:tc>
        <w:tc>
          <w:tcPr>
            <w:tcW w:type="dxa" w:w="1934"/>
            <w:vMerge/>
            <w:tcBorders/>
          </w:tcPr>
          <w:p/>
        </w:tc>
        <w:tc>
          <w:tcPr>
            <w:tcW w:type="dxa" w:w="1426"/>
            <w:tcBorders/>
            <w:shd w:fill="0033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FFFFFF"/>
                <w:sz w:val="16"/>
              </w:rPr>
              <w:t>Rapporteur</w:t>
            </w:r>
          </w:p>
        </w:tc>
        <w:tc>
          <w:tcPr>
            <w:tcW w:type="dxa" w:w="1934"/>
            <w:vMerge/>
            <w:tcBorders/>
          </w:tcPr>
          <w:p/>
        </w:tc>
        <w:tc>
          <w:tcPr>
            <w:tcW w:type="dxa" w:w="19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934"/>
        <w:gridCol w:w="1934"/>
        <w:gridCol w:w="1934"/>
        <w:gridCol w:w="1934"/>
        <w:gridCol w:w="1934"/>
      </w:tblGrid>
      <w:tr>
        <w:trPr>
          <w:trHeight w:hRule="exact" w:val="2688"/>
        </w:trPr>
        <w:tc>
          <w:tcPr>
            <w:tcW w:type="dxa" w:w="1808"/>
            <w:tcBorders>
              <w:start w:sz="6.399999999999977" w:val="single" w:color="#FFFFFF"/>
              <w:top w:sz="6.400000000000091" w:val="single" w:color="#FFFFFF"/>
              <w:end w:sz="6.399999999999864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Ciprofloxacin;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delafloxacin;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norfloxacin;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levofloxacin;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lomefloxacin;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moxifloxacin;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pefloxacin;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ofloxacin;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rufloxacin </w:t>
            </w:r>
          </w:p>
        </w:tc>
        <w:tc>
          <w:tcPr>
            <w:tcW w:type="dxa" w:w="2416"/>
            <w:tcBorders>
              <w:start w:sz="6.399999999999864" w:val="single" w:color="#FFFFFF"/>
              <w:top w:sz="6.400000000000091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Acquired thrombotic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thrombocytopenia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purpura (19669) </w:t>
            </w:r>
          </w:p>
        </w:tc>
        <w:tc>
          <w:tcPr>
            <w:tcW w:type="dxa" w:w="1280"/>
            <w:tcBorders>
              <w:start w:sz="6.400000000000091" w:val="single" w:color="#FFFFFF"/>
              <w:top w:sz="6.400000000000091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Pernille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Harg (NO) </w:t>
            </w:r>
          </w:p>
        </w:tc>
        <w:tc>
          <w:tcPr>
            <w:tcW w:type="dxa" w:w="2400"/>
            <w:tcBorders>
              <w:start w:sz="6.400000000000091" w:val="single" w:color="#FFFFFF"/>
              <w:top w:sz="6.400000000000091" w:val="single" w:color="#FFFFFF"/>
              <w:end w:sz="6.400000000000091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No action at this stage </w:t>
            </w:r>
          </w:p>
        </w:tc>
        <w:tc>
          <w:tcPr>
            <w:tcW w:type="dxa" w:w="1728"/>
            <w:tcBorders>
              <w:start w:sz="6.400000000000091" w:val="single" w:color="#FFFFFF"/>
              <w:top w:sz="6.400000000000091" w:val="single" w:color="#FFFFFF"/>
              <w:end w:sz="6.399999999999636" w:val="single" w:color="#FFFFFF"/>
              <w:bottom w:sz="6.39999999999963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Not applicable </w:t>
            </w:r>
          </w:p>
        </w:tc>
      </w:tr>
      <w:tr>
        <w:trPr>
          <w:trHeight w:hRule="exact" w:val="2672"/>
        </w:trPr>
        <w:tc>
          <w:tcPr>
            <w:tcW w:type="dxa" w:w="1808"/>
            <w:tcBorders>
              <w:start w:sz="6.399999999999977" w:val="single" w:color="#FFFFFF"/>
              <w:top w:sz="6.399999999999636" w:val="single" w:color="#FFFFFF"/>
              <w:end w:sz="6.399999999999864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COVID-19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vaccine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(ChAdOx1-S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[recombinant]) -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Vaxzevria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(previously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COVID-19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Vaccine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AstraZeneca) </w:t>
            </w:r>
          </w:p>
        </w:tc>
        <w:tc>
          <w:tcPr>
            <w:tcW w:type="dxa" w:w="2416"/>
            <w:tcBorders>
              <w:start w:sz="6.399999999999864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Embolic and thrombotic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events (19683) </w:t>
            </w:r>
          </w:p>
        </w:tc>
        <w:tc>
          <w:tcPr>
            <w:tcW w:type="dxa" w:w="128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Jean-Michel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Dogné (BE) </w:t>
            </w:r>
          </w:p>
        </w:tc>
        <w:tc>
          <w:tcPr>
            <w:tcW w:type="dxa" w:w="2400"/>
            <w:tcBorders>
              <w:start w:sz="6.400000000000091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∙ See section 1.2 </w:t>
            </w:r>
          </w:p>
          <w:p>
            <w:pPr>
              <w:autoSpaceDN w:val="0"/>
              <w:autoSpaceDE w:val="0"/>
              <w:widowControl/>
              <w:spacing w:line="238" w:lineRule="auto" w:before="204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∙ Update the risk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management plan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(RMP) </w:t>
            </w:r>
          </w:p>
          <w:p>
            <w:pPr>
              <w:autoSpaceDN w:val="0"/>
              <w:autoSpaceDE w:val="0"/>
              <w:widowControl/>
              <w:spacing w:line="238" w:lineRule="auto" w:before="22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∙ Address list of issues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(submission in the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Monthly Summary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Safety Reports) </w:t>
            </w:r>
          </w:p>
        </w:tc>
        <w:tc>
          <w:tcPr>
            <w:tcW w:type="dxa" w:w="1728"/>
            <w:tcBorders>
              <w:start w:sz="6.400000000000091" w:val="single" w:color="#FFFFFF"/>
              <w:top w:sz="6.399999999999636" w:val="single" w:color="#FFFFFF"/>
              <w:end w:sz="6.399999999999636" w:val="single" w:color="#FFFFFF"/>
              <w:bottom w:sz="6.400000000000091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AstraZeneca AB </w:t>
            </w:r>
          </w:p>
        </w:tc>
      </w:tr>
      <w:tr>
        <w:trPr>
          <w:trHeight w:hRule="exact" w:val="3792"/>
        </w:trPr>
        <w:tc>
          <w:tcPr>
            <w:tcW w:type="dxa" w:w="1808"/>
            <w:tcBorders>
              <w:start w:sz="6.399999999999977" w:val="single" w:color="#FFFFFF"/>
              <w:top w:sz="6.400000000000091" w:val="single" w:color="#FFFFFF"/>
              <w:end w:sz="6.399999999999864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COVID-19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vaccine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(Ad26.COV2-S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[recombinant]) -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COVID-19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Vaccine Janssen </w:t>
            </w:r>
          </w:p>
        </w:tc>
        <w:tc>
          <w:tcPr>
            <w:tcW w:type="dxa" w:w="2416"/>
            <w:tcBorders>
              <w:start w:sz="6.399999999999864" w:val="single" w:color="#FFFFFF"/>
              <w:top w:sz="6.400000000000091" w:val="single" w:color="#FFFFFF"/>
              <w:end w:sz="6.400000000000091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Embolic and thrombotic </w:t>
            </w:r>
          </w:p>
          <w:p>
            <w:pPr>
              <w:autoSpaceDN w:val="0"/>
              <w:autoSpaceDE w:val="0"/>
              <w:widowControl/>
              <w:spacing w:line="257" w:lineRule="auto" w:before="4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>events (19689)</w:t>
            </w:r>
            <w:r>
              <w:rPr>
                <w:w w:val="98.4615399287297"/>
                <w:rFonts w:ascii="Verdana" w:hAnsi="Verdana" w:eastAsia="Verdana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1280"/>
            <w:tcBorders>
              <w:start w:sz="6.400000000000091" w:val="single" w:color="#FFFFFF"/>
              <w:top w:sz="6.400000000000091" w:val="single" w:color="#FFFFFF"/>
              <w:end w:sz="6.400000000000091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Ulla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Wändel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Liminga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(SE) </w:t>
            </w:r>
          </w:p>
        </w:tc>
        <w:tc>
          <w:tcPr>
            <w:tcW w:type="dxa" w:w="2400"/>
            <w:tcBorders>
              <w:start w:sz="6.400000000000091" w:val="single" w:color="#FFFFFF"/>
              <w:top w:sz="6.400000000000091" w:val="single" w:color="#FFFFFF"/>
              <w:end w:sz="6.400000000000091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∙ See section 1.3 </w:t>
            </w:r>
          </w:p>
          <w:p>
            <w:pPr>
              <w:autoSpaceDN w:val="0"/>
              <w:autoSpaceDE w:val="0"/>
              <w:widowControl/>
              <w:spacing w:line="238" w:lineRule="auto" w:before="22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∙ Distribute a direct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healthcare professional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communication (DHPC)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according to the text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and communication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plan agreed with the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CHMP </w:t>
            </w:r>
          </w:p>
          <w:p>
            <w:pPr>
              <w:autoSpaceDN w:val="0"/>
              <w:autoSpaceDE w:val="0"/>
              <w:widowControl/>
              <w:spacing w:line="238" w:lineRule="auto" w:before="22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∙ Provide responses to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list of questions 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(submission by 22 April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2021) </w:t>
            </w:r>
          </w:p>
        </w:tc>
        <w:tc>
          <w:tcPr>
            <w:tcW w:type="dxa" w:w="1728"/>
            <w:tcBorders>
              <w:start w:sz="6.400000000000091" w:val="single" w:color="#FFFFFF"/>
              <w:top w:sz="6.400000000000091" w:val="single" w:color="#FFFFFF"/>
              <w:end w:sz="6.399999999999636" w:val="single" w:color="#FFFFFF"/>
              <w:bottom w:sz="6.400000000000546" w:val="single" w:color="#FFFFFF"/>
            </w:tcBorders>
            <w:shd w:fill="e0e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Janssen-Cilag </w:t>
            </w:r>
          </w:p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97.77777989705405"/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International NV </w:t>
            </w:r>
          </w:p>
        </w:tc>
      </w:tr>
    </w:tbl>
    <w:p>
      <w:pPr>
        <w:autoSpaceDN w:val="0"/>
        <w:autoSpaceDE w:val="0"/>
        <w:widowControl/>
        <w:spacing w:line="262" w:lineRule="auto" w:before="3264" w:after="66"/>
        <w:ind w:left="128" w:right="0" w:firstLine="0"/>
        <w:jc w:val="left"/>
      </w:pPr>
      <w:r>
        <w:rPr>
          <w:w w:val="96.00000381469727"/>
          <w:rFonts w:ascii="Verdana" w:hAnsi="Verdana" w:eastAsia="Verdana"/>
          <w:b w:val="0"/>
          <w:i w:val="0"/>
          <w:color w:val="000000"/>
          <w:sz w:val="10"/>
        </w:rPr>
        <w:t>6</w:t>
      </w:r>
      <w:r>
        <w:rPr>
          <w:w w:val="102.85714013235909"/>
          <w:rFonts w:ascii="Verdana" w:hAnsi="Verdana" w:eastAsia="Verdana"/>
          <w:b w:val="0"/>
          <w:i w:val="0"/>
          <w:color w:val="000000"/>
          <w:sz w:val="14"/>
        </w:rPr>
        <w:t xml:space="preserve"> Signal discussed at the Extraordinary PRAC meeting of 20 April 2021.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34"/>
        <w:gridCol w:w="4834"/>
      </w:tblGrid>
      <w:tr>
        <w:trPr>
          <w:trHeight w:hRule="exact" w:val="336"/>
        </w:trPr>
        <w:tc>
          <w:tcPr>
            <w:tcW w:type="dxa" w:w="5640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PRAC recommendations on signals </w:t>
            </w:r>
          </w:p>
        </w:tc>
        <w:tc>
          <w:tcPr>
            <w:tcW w:type="dxa" w:w="3858"/>
            <w:vMerge w:val="restart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0" w:firstLine="0"/>
              <w:jc w:val="righ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000000"/>
                <w:sz w:val="14"/>
              </w:rPr>
              <w:t xml:space="preserve">Page 9/9 </w:t>
            </w:r>
          </w:p>
        </w:tc>
      </w:tr>
      <w:tr>
        <w:trPr>
          <w:trHeight w:hRule="exact" w:val="1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w w:val="102.85714013235909"/>
                <w:rFonts w:ascii="Verdana" w:hAnsi="Verdana" w:eastAsia="Verdana"/>
                <w:b w:val="0"/>
                <w:i w:val="0"/>
                <w:color w:val="6C6E70"/>
                <w:sz w:val="14"/>
              </w:rPr>
              <w:t xml:space="preserve">EMA/PRAC/199751/2021 </w:t>
            </w:r>
          </w:p>
        </w:tc>
        <w:tc>
          <w:tcPr>
            <w:tcW w:type="dxa" w:w="4834"/>
            <w:vMerge/>
            <w:tcBorders>
              <w:top w:sz="6.39999999999963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4" w:h="16832"/>
      <w:pgMar w:top="744" w:right="1116" w:bottom="424" w:left="1120" w:header="720" w:footer="720" w:gutter="0"/>
      <w:cols w:space="720" w:num="1" w:equalWidth="0">
        <w:col w:w="9668" w:space="0"/>
        <w:col w:w="9668" w:space="0"/>
        <w:col w:w="9478" w:space="0"/>
        <w:col w:w="9668" w:space="0"/>
        <w:col w:w="9606" w:space="0"/>
        <w:col w:w="9668" w:space="0"/>
        <w:col w:w="9668" w:space="0"/>
        <w:col w:w="9478" w:space="0"/>
        <w:col w:w="94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ema.europa.eu/en/human-regulatory/post-authorisation/human-post-authorisation-qa-introduction" TargetMode="External"/><Relationship Id="rId11" Type="http://schemas.openxmlformats.org/officeDocument/2006/relationships/hyperlink" Target="https://www.ema.europa.eu/en/human-regulatory/post-authorisation/pharmacovigilance/signal-management/prac-recommendations-safety-signals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ema.europa.eu/documents/other/questions-answers-signal-management_en.pdf" TargetMode="External"/><Relationship Id="rId14" Type="http://schemas.openxmlformats.org/officeDocument/2006/relationships/hyperlink" Target="https://www.ema.europa.eu/en/medicines/human/EPAR/vaxzevria-previously-covid-19-vaccine-astrazeneca#product-information-section" TargetMode="External"/><Relationship Id="rId15" Type="http://schemas.openxmlformats.org/officeDocument/2006/relationships/hyperlink" Target="https://www.ema.europa.eu/en/medicines/human/EPAR/covid-19-vaccine-janssen#product-information-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