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Correlations for Quantitative Measurse, Pearson's Product Moment Correlation (r) and Statistical Significance (p)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&amp; Hours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.626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 &amp; Hours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.009 **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 &amp; Effort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2024-04-20T02:32:27Z</dcterms:modified>
  <cp:category/>
</cp:coreProperties>
</file>