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E78A9" w14:textId="77777777" w:rsidR="00A544C5" w:rsidRDefault="00000000" w:rsidP="00AC61CF">
      <w:pPr>
        <w:pStyle w:val="Sinespaciado"/>
      </w:pPr>
      <w:r>
        <w:t xml:space="preserve"> </w:t>
      </w:r>
    </w:p>
    <w:p w14:paraId="09F79EF3" w14:textId="77777777" w:rsidR="00A544C5" w:rsidRDefault="00000000">
      <w:pPr>
        <w:spacing w:after="18"/>
      </w:pPr>
      <w:r>
        <w:rPr>
          <w:rFonts w:ascii="Arial" w:eastAsia="Arial" w:hAnsi="Arial" w:cs="Arial"/>
        </w:rPr>
        <w:t xml:space="preserve"> </w:t>
      </w:r>
    </w:p>
    <w:p w14:paraId="7B99828D" w14:textId="77777777" w:rsidR="00A544C5" w:rsidRDefault="00000000">
      <w:pPr>
        <w:spacing w:after="18"/>
      </w:pPr>
      <w:r>
        <w:rPr>
          <w:rFonts w:ascii="Arial" w:eastAsia="Arial" w:hAnsi="Arial" w:cs="Arial"/>
        </w:rPr>
        <w:t xml:space="preserve"> </w:t>
      </w:r>
    </w:p>
    <w:p w14:paraId="4B3256DB" w14:textId="77777777" w:rsidR="00A544C5" w:rsidRDefault="00000000">
      <w:pPr>
        <w:spacing w:after="18"/>
      </w:pPr>
      <w:r>
        <w:rPr>
          <w:rFonts w:ascii="Arial" w:eastAsia="Arial" w:hAnsi="Arial" w:cs="Arial"/>
        </w:rPr>
        <w:t xml:space="preserve"> </w:t>
      </w:r>
    </w:p>
    <w:p w14:paraId="653ADE4E" w14:textId="77777777" w:rsidR="00A544C5" w:rsidRDefault="00000000">
      <w:pPr>
        <w:spacing w:after="0"/>
        <w:ind w:right="2443"/>
      </w:pPr>
      <w:r>
        <w:rPr>
          <w:rFonts w:ascii="Arial" w:eastAsia="Arial" w:hAnsi="Arial" w:cs="Arial"/>
        </w:rPr>
        <w:t xml:space="preserve"> </w:t>
      </w:r>
    </w:p>
    <w:p w14:paraId="1E6F52DE" w14:textId="77777777" w:rsidR="00A544C5" w:rsidRDefault="00000000">
      <w:pPr>
        <w:spacing w:after="104"/>
        <w:ind w:left="2205"/>
      </w:pPr>
      <w:r>
        <w:rPr>
          <w:noProof/>
        </w:rPr>
        <w:drawing>
          <wp:inline distT="0" distB="0" distL="0" distR="0" wp14:anchorId="0C4A376B" wp14:editId="163CB268">
            <wp:extent cx="2828925" cy="2362200"/>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5"/>
                    <a:stretch>
                      <a:fillRect/>
                    </a:stretch>
                  </pic:blipFill>
                  <pic:spPr>
                    <a:xfrm>
                      <a:off x="0" y="0"/>
                      <a:ext cx="2828925" cy="2362200"/>
                    </a:xfrm>
                    <a:prstGeom prst="rect">
                      <a:avLst/>
                    </a:prstGeom>
                  </pic:spPr>
                </pic:pic>
              </a:graphicData>
            </a:graphic>
          </wp:inline>
        </w:drawing>
      </w:r>
    </w:p>
    <w:p w14:paraId="2FCAE425" w14:textId="77777777" w:rsidR="00A544C5" w:rsidRDefault="00000000">
      <w:pPr>
        <w:spacing w:after="32"/>
      </w:pPr>
      <w:r>
        <w:rPr>
          <w:rFonts w:ascii="Arial" w:eastAsia="Arial" w:hAnsi="Arial" w:cs="Arial"/>
          <w:b/>
          <w:sz w:val="40"/>
        </w:rPr>
        <w:t xml:space="preserve"> </w:t>
      </w:r>
    </w:p>
    <w:p w14:paraId="159F1C96" w14:textId="77777777" w:rsidR="00A544C5" w:rsidRDefault="00000000">
      <w:pPr>
        <w:spacing w:after="107"/>
      </w:pPr>
      <w:r>
        <w:rPr>
          <w:rFonts w:ascii="Arial" w:eastAsia="Arial" w:hAnsi="Arial" w:cs="Arial"/>
          <w:b/>
          <w:sz w:val="40"/>
        </w:rPr>
        <w:t xml:space="preserve"> </w:t>
      </w:r>
    </w:p>
    <w:p w14:paraId="1418625D" w14:textId="77777777" w:rsidR="00A544C5" w:rsidRDefault="00000000">
      <w:pPr>
        <w:spacing w:after="0"/>
        <w:ind w:right="78"/>
        <w:jc w:val="center"/>
      </w:pPr>
      <w:r>
        <w:rPr>
          <w:rFonts w:ascii="Arial" w:eastAsia="Arial" w:hAnsi="Arial" w:cs="Arial"/>
          <w:b/>
          <w:sz w:val="48"/>
        </w:rPr>
        <w:t xml:space="preserve">Proyecto Final Análisis de Riesgo </w:t>
      </w:r>
    </w:p>
    <w:p w14:paraId="06824249" w14:textId="2E87C934" w:rsidR="00A544C5" w:rsidRDefault="00000000">
      <w:pPr>
        <w:spacing w:after="29"/>
        <w:ind w:right="78"/>
        <w:jc w:val="center"/>
      </w:pPr>
      <w:r>
        <w:rPr>
          <w:rFonts w:ascii="Arial" w:eastAsia="Arial" w:hAnsi="Arial" w:cs="Arial"/>
          <w:sz w:val="36"/>
        </w:rPr>
        <w:t xml:space="preserve">Entrega </w:t>
      </w:r>
      <w:r w:rsidR="00A64818">
        <w:rPr>
          <w:rFonts w:ascii="Arial" w:eastAsia="Arial" w:hAnsi="Arial" w:cs="Arial"/>
          <w:sz w:val="36"/>
        </w:rPr>
        <w:t>2</w:t>
      </w:r>
    </w:p>
    <w:p w14:paraId="4E359C59" w14:textId="77777777" w:rsidR="00A544C5" w:rsidRDefault="00000000">
      <w:pPr>
        <w:spacing w:after="29"/>
        <w:ind w:left="22"/>
        <w:jc w:val="center"/>
      </w:pPr>
      <w:r>
        <w:rPr>
          <w:rFonts w:ascii="Arial" w:eastAsia="Arial" w:hAnsi="Arial" w:cs="Arial"/>
          <w:sz w:val="36"/>
        </w:rPr>
        <w:t xml:space="preserve"> </w:t>
      </w:r>
    </w:p>
    <w:p w14:paraId="79BBD427" w14:textId="77777777" w:rsidR="00A544C5" w:rsidRDefault="00000000">
      <w:pPr>
        <w:spacing w:after="29"/>
        <w:ind w:left="22"/>
        <w:jc w:val="center"/>
      </w:pPr>
      <w:r>
        <w:rPr>
          <w:rFonts w:ascii="Arial" w:eastAsia="Arial" w:hAnsi="Arial" w:cs="Arial"/>
          <w:sz w:val="36"/>
        </w:rPr>
        <w:t xml:space="preserve"> </w:t>
      </w:r>
    </w:p>
    <w:p w14:paraId="35C6C37F" w14:textId="77777777" w:rsidR="00A544C5" w:rsidRDefault="00000000">
      <w:pPr>
        <w:spacing w:after="0"/>
        <w:ind w:left="22"/>
        <w:jc w:val="center"/>
      </w:pPr>
      <w:r>
        <w:rPr>
          <w:rFonts w:ascii="Arial" w:eastAsia="Arial" w:hAnsi="Arial" w:cs="Arial"/>
          <w:sz w:val="36"/>
        </w:rPr>
        <w:t xml:space="preserve"> </w:t>
      </w:r>
    </w:p>
    <w:p w14:paraId="2546A532" w14:textId="77777777" w:rsidR="00A544C5" w:rsidRDefault="00000000">
      <w:pPr>
        <w:spacing w:after="23"/>
        <w:jc w:val="center"/>
      </w:pPr>
      <w:r>
        <w:rPr>
          <w:rFonts w:ascii="Arial" w:eastAsia="Arial" w:hAnsi="Arial" w:cs="Arial"/>
          <w:sz w:val="28"/>
        </w:rPr>
        <w:t xml:space="preserve"> </w:t>
      </w:r>
    </w:p>
    <w:p w14:paraId="223C42A3" w14:textId="77777777" w:rsidR="00A544C5" w:rsidRDefault="00000000">
      <w:pPr>
        <w:spacing w:after="23"/>
        <w:jc w:val="center"/>
      </w:pPr>
      <w:r>
        <w:rPr>
          <w:rFonts w:ascii="Arial" w:eastAsia="Arial" w:hAnsi="Arial" w:cs="Arial"/>
          <w:sz w:val="28"/>
        </w:rPr>
        <w:t xml:space="preserve"> </w:t>
      </w:r>
    </w:p>
    <w:p w14:paraId="7CD52806" w14:textId="77777777" w:rsidR="00A544C5" w:rsidRDefault="00000000">
      <w:pPr>
        <w:spacing w:after="23"/>
        <w:jc w:val="center"/>
      </w:pPr>
      <w:r>
        <w:rPr>
          <w:rFonts w:ascii="Arial" w:eastAsia="Arial" w:hAnsi="Arial" w:cs="Arial"/>
          <w:sz w:val="28"/>
        </w:rPr>
        <w:t xml:space="preserve"> </w:t>
      </w:r>
    </w:p>
    <w:p w14:paraId="186D72F5" w14:textId="77777777" w:rsidR="00A544C5" w:rsidRDefault="00000000">
      <w:pPr>
        <w:spacing w:after="47"/>
        <w:jc w:val="center"/>
      </w:pPr>
      <w:r>
        <w:rPr>
          <w:rFonts w:ascii="Arial" w:eastAsia="Arial" w:hAnsi="Arial" w:cs="Arial"/>
          <w:sz w:val="28"/>
        </w:rPr>
        <w:t xml:space="preserve"> </w:t>
      </w:r>
    </w:p>
    <w:p w14:paraId="39DFCF63" w14:textId="77777777" w:rsidR="00A544C5" w:rsidRDefault="00000000">
      <w:pPr>
        <w:spacing w:after="31"/>
        <w:jc w:val="center"/>
      </w:pPr>
      <w:r>
        <w:rPr>
          <w:rFonts w:ascii="Arial" w:eastAsia="Arial" w:hAnsi="Arial" w:cs="Arial"/>
          <w:sz w:val="28"/>
        </w:rPr>
        <w:t xml:space="preserve"> </w:t>
      </w:r>
      <w:r>
        <w:rPr>
          <w:rFonts w:ascii="Arial" w:eastAsia="Arial" w:hAnsi="Arial" w:cs="Arial"/>
          <w:sz w:val="28"/>
        </w:rPr>
        <w:tab/>
        <w:t xml:space="preserve"> </w:t>
      </w:r>
      <w:r>
        <w:rPr>
          <w:rFonts w:ascii="Arial" w:eastAsia="Arial" w:hAnsi="Arial" w:cs="Arial"/>
          <w:sz w:val="28"/>
        </w:rPr>
        <w:tab/>
        <w:t xml:space="preserve"> </w:t>
      </w:r>
      <w:r>
        <w:rPr>
          <w:rFonts w:ascii="Arial" w:eastAsia="Arial" w:hAnsi="Arial" w:cs="Arial"/>
          <w:sz w:val="28"/>
        </w:rPr>
        <w:tab/>
        <w:t xml:space="preserve"> </w:t>
      </w:r>
      <w:r>
        <w:rPr>
          <w:rFonts w:ascii="Arial" w:eastAsia="Arial" w:hAnsi="Arial" w:cs="Arial"/>
          <w:sz w:val="28"/>
        </w:rPr>
        <w:tab/>
        <w:t xml:space="preserve"> </w:t>
      </w:r>
      <w:r>
        <w:rPr>
          <w:rFonts w:ascii="Arial" w:eastAsia="Arial" w:hAnsi="Arial" w:cs="Arial"/>
          <w:sz w:val="28"/>
        </w:rPr>
        <w:tab/>
        <w:t xml:space="preserve"> </w:t>
      </w:r>
      <w:r>
        <w:rPr>
          <w:rFonts w:ascii="Arial" w:eastAsia="Arial" w:hAnsi="Arial" w:cs="Arial"/>
          <w:sz w:val="28"/>
        </w:rPr>
        <w:tab/>
        <w:t xml:space="preserve"> </w:t>
      </w:r>
    </w:p>
    <w:p w14:paraId="5A23CD26" w14:textId="77777777" w:rsidR="00A544C5" w:rsidRDefault="00000000">
      <w:pPr>
        <w:spacing w:after="23"/>
        <w:jc w:val="right"/>
      </w:pPr>
      <w:r>
        <w:rPr>
          <w:rFonts w:ascii="Arial" w:eastAsia="Arial" w:hAnsi="Arial" w:cs="Arial"/>
          <w:sz w:val="28"/>
        </w:rPr>
        <w:t xml:space="preserve"> </w:t>
      </w:r>
    </w:p>
    <w:p w14:paraId="2A820FE2" w14:textId="77777777" w:rsidR="00A544C5" w:rsidRDefault="00000000">
      <w:pPr>
        <w:spacing w:after="23"/>
        <w:ind w:left="10" w:right="63" w:hanging="10"/>
        <w:jc w:val="right"/>
      </w:pPr>
      <w:r>
        <w:rPr>
          <w:rFonts w:ascii="Arial" w:eastAsia="Arial" w:hAnsi="Arial" w:cs="Arial"/>
          <w:sz w:val="28"/>
        </w:rPr>
        <w:t xml:space="preserve">Sara Hernández Ochoa </w:t>
      </w:r>
    </w:p>
    <w:p w14:paraId="7BE4EFBD" w14:textId="28EB47CA" w:rsidR="00A544C5" w:rsidRDefault="00000000" w:rsidP="00AC61CF">
      <w:pPr>
        <w:spacing w:after="23"/>
        <w:ind w:left="10" w:right="63" w:hanging="10"/>
        <w:jc w:val="right"/>
        <w:rPr>
          <w:rFonts w:ascii="Arial" w:eastAsia="Arial" w:hAnsi="Arial" w:cs="Arial"/>
          <w:sz w:val="28"/>
        </w:rPr>
      </w:pPr>
      <w:r>
        <w:rPr>
          <w:rFonts w:ascii="Arial" w:eastAsia="Arial" w:hAnsi="Arial" w:cs="Arial"/>
          <w:sz w:val="28"/>
        </w:rPr>
        <w:t>Michelle Alejandra Gómez López</w:t>
      </w:r>
    </w:p>
    <w:p w14:paraId="2A6EA1B0" w14:textId="77777777" w:rsidR="00AC61CF" w:rsidRDefault="00AC61CF" w:rsidP="00AC61CF">
      <w:pPr>
        <w:spacing w:after="23"/>
        <w:ind w:left="10" w:right="63" w:hanging="10"/>
        <w:jc w:val="right"/>
        <w:rPr>
          <w:rFonts w:ascii="Arial" w:eastAsia="Arial" w:hAnsi="Arial" w:cs="Arial"/>
          <w:sz w:val="28"/>
        </w:rPr>
      </w:pPr>
    </w:p>
    <w:p w14:paraId="63A8CF5B" w14:textId="77777777" w:rsidR="00AC61CF" w:rsidRDefault="00AC61CF" w:rsidP="00AC61CF">
      <w:pPr>
        <w:spacing w:after="23"/>
        <w:ind w:left="10" w:right="63" w:hanging="10"/>
        <w:jc w:val="right"/>
        <w:rPr>
          <w:rFonts w:ascii="Arial" w:eastAsia="Arial" w:hAnsi="Arial" w:cs="Arial"/>
          <w:sz w:val="28"/>
        </w:rPr>
      </w:pPr>
    </w:p>
    <w:p w14:paraId="37932E30" w14:textId="77777777" w:rsidR="00AC61CF" w:rsidRDefault="00AC61CF" w:rsidP="00AC61CF">
      <w:pPr>
        <w:spacing w:after="23"/>
        <w:ind w:left="10" w:right="63" w:hanging="10"/>
        <w:jc w:val="right"/>
        <w:rPr>
          <w:rFonts w:ascii="Arial" w:eastAsia="Arial" w:hAnsi="Arial" w:cs="Arial"/>
          <w:sz w:val="28"/>
        </w:rPr>
      </w:pPr>
    </w:p>
    <w:p w14:paraId="0710E348" w14:textId="77777777" w:rsidR="00AC61CF" w:rsidRDefault="00AC61CF" w:rsidP="00AC61CF">
      <w:pPr>
        <w:spacing w:after="23"/>
        <w:ind w:left="10" w:right="63" w:hanging="10"/>
        <w:jc w:val="right"/>
        <w:rPr>
          <w:rFonts w:ascii="Arial" w:eastAsia="Arial" w:hAnsi="Arial" w:cs="Arial"/>
          <w:sz w:val="28"/>
        </w:rPr>
      </w:pPr>
    </w:p>
    <w:p w14:paraId="4FCFBFA0" w14:textId="77777777" w:rsidR="00AC61CF" w:rsidRDefault="00AC61CF" w:rsidP="00AC61CF">
      <w:pPr>
        <w:spacing w:after="23"/>
        <w:ind w:left="10" w:right="63" w:hanging="10"/>
        <w:jc w:val="right"/>
        <w:rPr>
          <w:rFonts w:ascii="Arial" w:eastAsia="Arial" w:hAnsi="Arial" w:cs="Arial"/>
          <w:sz w:val="28"/>
        </w:rPr>
      </w:pPr>
    </w:p>
    <w:p w14:paraId="7D460DE5" w14:textId="77777777" w:rsidR="00AC61CF" w:rsidRDefault="00AC61CF" w:rsidP="00AC61CF">
      <w:pPr>
        <w:spacing w:after="23"/>
        <w:ind w:left="10" w:right="63" w:hanging="10"/>
        <w:jc w:val="right"/>
        <w:rPr>
          <w:rFonts w:ascii="Arial" w:eastAsia="Arial" w:hAnsi="Arial" w:cs="Arial"/>
          <w:sz w:val="28"/>
        </w:rPr>
      </w:pPr>
    </w:p>
    <w:p w14:paraId="46FA214D" w14:textId="77777777" w:rsidR="00AC61CF" w:rsidRDefault="00AC61CF" w:rsidP="00AC61CF">
      <w:pPr>
        <w:spacing w:after="23"/>
        <w:ind w:left="10" w:right="63" w:hanging="10"/>
        <w:jc w:val="right"/>
        <w:rPr>
          <w:rFonts w:ascii="Arial" w:eastAsia="Arial" w:hAnsi="Arial" w:cs="Arial"/>
          <w:sz w:val="28"/>
        </w:rPr>
      </w:pPr>
    </w:p>
    <w:p w14:paraId="1697706F" w14:textId="77777777" w:rsidR="00AC61CF" w:rsidRDefault="00AC61CF" w:rsidP="00AC61CF">
      <w:pPr>
        <w:spacing w:after="23"/>
        <w:ind w:left="10" w:right="63" w:hanging="10"/>
        <w:jc w:val="right"/>
      </w:pPr>
    </w:p>
    <w:p w14:paraId="18CE15AE" w14:textId="77777777" w:rsidR="00A544C5" w:rsidRDefault="00000000">
      <w:pPr>
        <w:spacing w:after="0"/>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p>
    <w:p w14:paraId="02CF7C24" w14:textId="77777777" w:rsidR="00362F97" w:rsidRPr="00362F97" w:rsidRDefault="00362F97" w:rsidP="00362F97">
      <w:pPr>
        <w:spacing w:after="18" w:line="360" w:lineRule="auto"/>
        <w:rPr>
          <w:rFonts w:ascii="Arial" w:eastAsia="Arial" w:hAnsi="Arial" w:cs="Arial"/>
          <w:b/>
          <w:color w:val="auto"/>
          <w:sz w:val="32"/>
          <w:szCs w:val="32"/>
        </w:rPr>
      </w:pPr>
      <w:r w:rsidRPr="00362F97">
        <w:rPr>
          <w:rFonts w:ascii="Arial" w:eastAsia="Arial" w:hAnsi="Arial" w:cs="Arial"/>
          <w:b/>
          <w:color w:val="auto"/>
          <w:sz w:val="32"/>
          <w:szCs w:val="32"/>
        </w:rPr>
        <w:lastRenderedPageBreak/>
        <w:t>Entrega 2 — Análisis histórico</w:t>
      </w:r>
    </w:p>
    <w:p w14:paraId="3BA9EF29" w14:textId="14F12970" w:rsidR="00A544C5" w:rsidRPr="00362F97" w:rsidRDefault="00362F97" w:rsidP="00362F97">
      <w:pPr>
        <w:spacing w:after="18" w:line="360" w:lineRule="auto"/>
        <w:rPr>
          <w:rFonts w:ascii="Arial" w:eastAsia="Arial" w:hAnsi="Arial" w:cs="Arial"/>
          <w:bCs/>
          <w:color w:val="auto"/>
          <w:sz w:val="24"/>
        </w:rPr>
      </w:pPr>
      <w:r w:rsidRPr="00362F97">
        <w:rPr>
          <w:rFonts w:ascii="Arial" w:eastAsia="Arial" w:hAnsi="Arial" w:cs="Arial"/>
          <w:bCs/>
          <w:color w:val="auto"/>
          <w:sz w:val="24"/>
        </w:rPr>
        <w:br/>
      </w:r>
      <w:r>
        <w:rPr>
          <w:rFonts w:ascii="Arial" w:eastAsia="Arial" w:hAnsi="Arial" w:cs="Arial"/>
          <w:bCs/>
          <w:color w:val="auto"/>
          <w:sz w:val="24"/>
        </w:rPr>
        <w:t xml:space="preserve">- </w:t>
      </w:r>
      <w:r w:rsidRPr="00362F97">
        <w:rPr>
          <w:rFonts w:ascii="Arial" w:eastAsia="Arial" w:hAnsi="Arial" w:cs="Arial"/>
          <w:bCs/>
          <w:color w:val="auto"/>
          <w:sz w:val="24"/>
        </w:rPr>
        <w:t>Análisis de series temporales de precios y retornos por activo y para el portafolio.</w:t>
      </w:r>
      <w:r w:rsidRPr="00362F97">
        <w:rPr>
          <w:rFonts w:ascii="Arial" w:eastAsia="Arial" w:hAnsi="Arial" w:cs="Arial"/>
          <w:bCs/>
          <w:color w:val="auto"/>
          <w:sz w:val="24"/>
        </w:rPr>
        <w:br/>
      </w:r>
      <w:r>
        <w:rPr>
          <w:rFonts w:ascii="Arial" w:eastAsia="Arial" w:hAnsi="Arial" w:cs="Arial"/>
          <w:bCs/>
          <w:color w:val="auto"/>
          <w:sz w:val="24"/>
        </w:rPr>
        <w:t xml:space="preserve">- </w:t>
      </w:r>
      <w:r w:rsidRPr="00362F97">
        <w:rPr>
          <w:rFonts w:ascii="Arial" w:eastAsia="Arial" w:hAnsi="Arial" w:cs="Arial"/>
          <w:bCs/>
          <w:color w:val="auto"/>
          <w:sz w:val="24"/>
        </w:rPr>
        <w:t>Detección de cambios estructurales y movimientos drásticos (</w:t>
      </w:r>
      <w:proofErr w:type="spellStart"/>
      <w:r w:rsidRPr="00362F97">
        <w:rPr>
          <w:rFonts w:ascii="Arial" w:eastAsia="Arial" w:hAnsi="Arial" w:cs="Arial"/>
          <w:bCs/>
          <w:color w:val="auto"/>
          <w:sz w:val="24"/>
        </w:rPr>
        <w:t>breakpoints</w:t>
      </w:r>
      <w:proofErr w:type="spellEnd"/>
      <w:r w:rsidRPr="00362F97">
        <w:rPr>
          <w:rFonts w:ascii="Arial" w:eastAsia="Arial" w:hAnsi="Arial" w:cs="Arial"/>
          <w:bCs/>
          <w:color w:val="auto"/>
          <w:sz w:val="24"/>
        </w:rPr>
        <w:t>, rupturas, eventos</w:t>
      </w:r>
      <w:r>
        <w:rPr>
          <w:rFonts w:ascii="Arial" w:eastAsia="Arial" w:hAnsi="Arial" w:cs="Arial"/>
          <w:bCs/>
          <w:color w:val="auto"/>
          <w:sz w:val="24"/>
        </w:rPr>
        <w:t xml:space="preserve"> </w:t>
      </w:r>
      <w:r w:rsidRPr="00362F97">
        <w:rPr>
          <w:rFonts w:ascii="Arial" w:eastAsia="Arial" w:hAnsi="Arial" w:cs="Arial"/>
          <w:bCs/>
          <w:color w:val="auto"/>
          <w:sz w:val="24"/>
        </w:rPr>
        <w:t>de cola). Indicar fechas exactas y evidencias.</w:t>
      </w:r>
      <w:r w:rsidRPr="00362F97">
        <w:rPr>
          <w:rFonts w:ascii="Arial" w:eastAsia="Arial" w:hAnsi="Arial" w:cs="Arial"/>
          <w:bCs/>
          <w:color w:val="auto"/>
          <w:sz w:val="24"/>
        </w:rPr>
        <w:br/>
      </w:r>
      <w:r>
        <w:rPr>
          <w:rFonts w:ascii="Arial" w:eastAsia="Arial" w:hAnsi="Arial" w:cs="Arial"/>
          <w:bCs/>
          <w:color w:val="auto"/>
          <w:sz w:val="24"/>
        </w:rPr>
        <w:t xml:space="preserve">- </w:t>
      </w:r>
      <w:r w:rsidRPr="00362F97">
        <w:rPr>
          <w:rFonts w:ascii="Arial" w:eastAsia="Arial" w:hAnsi="Arial" w:cs="Arial"/>
          <w:bCs/>
          <w:color w:val="auto"/>
          <w:sz w:val="24"/>
        </w:rPr>
        <w:t>Explicación de los cambios mediante contexto macro (tasas, inflación, shocks, políticas) y</w:t>
      </w:r>
      <w:r>
        <w:rPr>
          <w:rFonts w:ascii="Arial" w:eastAsia="Arial" w:hAnsi="Arial" w:cs="Arial"/>
          <w:bCs/>
          <w:color w:val="auto"/>
          <w:sz w:val="24"/>
        </w:rPr>
        <w:t xml:space="preserve"> </w:t>
      </w:r>
      <w:r w:rsidRPr="00362F97">
        <w:rPr>
          <w:rFonts w:ascii="Arial" w:eastAsia="Arial" w:hAnsi="Arial" w:cs="Arial"/>
          <w:bCs/>
          <w:color w:val="auto"/>
          <w:sz w:val="24"/>
        </w:rPr>
        <w:t>micro (resultados, fusiones, cambios en la gerencia).</w:t>
      </w:r>
      <w:r w:rsidRPr="00362F97">
        <w:rPr>
          <w:rFonts w:ascii="Arial" w:eastAsia="Arial" w:hAnsi="Arial" w:cs="Arial"/>
          <w:bCs/>
          <w:color w:val="auto"/>
          <w:sz w:val="24"/>
        </w:rPr>
        <w:br/>
      </w:r>
      <w:r>
        <w:rPr>
          <w:rFonts w:ascii="Arial" w:eastAsia="Arial" w:hAnsi="Arial" w:cs="Arial"/>
          <w:bCs/>
          <w:color w:val="auto"/>
          <w:sz w:val="24"/>
        </w:rPr>
        <w:t xml:space="preserve">- </w:t>
      </w:r>
      <w:r w:rsidRPr="00362F97">
        <w:rPr>
          <w:rFonts w:ascii="Arial" w:eastAsia="Arial" w:hAnsi="Arial" w:cs="Arial"/>
          <w:bCs/>
          <w:color w:val="auto"/>
          <w:sz w:val="24"/>
        </w:rPr>
        <w:t xml:space="preserve">Comparación con el índice más adecuado (por ejemplo: SP500, MSCI </w:t>
      </w:r>
      <w:proofErr w:type="spellStart"/>
      <w:r w:rsidRPr="00362F97">
        <w:rPr>
          <w:rFonts w:ascii="Arial" w:eastAsia="Arial" w:hAnsi="Arial" w:cs="Arial"/>
          <w:bCs/>
          <w:color w:val="auto"/>
          <w:sz w:val="24"/>
        </w:rPr>
        <w:t>World</w:t>
      </w:r>
      <w:proofErr w:type="spellEnd"/>
      <w:r w:rsidRPr="00362F97">
        <w:rPr>
          <w:rFonts w:ascii="Arial" w:eastAsia="Arial" w:hAnsi="Arial" w:cs="Arial"/>
          <w:bCs/>
          <w:color w:val="auto"/>
          <w:sz w:val="24"/>
        </w:rPr>
        <w:t>, IPC) usando</w:t>
      </w:r>
      <w:r w:rsidRPr="00362F97">
        <w:rPr>
          <w:rFonts w:ascii="Arial" w:eastAsia="Arial" w:hAnsi="Arial" w:cs="Arial"/>
          <w:bCs/>
          <w:color w:val="auto"/>
          <w:sz w:val="24"/>
        </w:rPr>
        <w:br/>
      </w:r>
      <w:r>
        <w:rPr>
          <w:rFonts w:ascii="Arial" w:eastAsia="Arial" w:hAnsi="Arial" w:cs="Arial"/>
          <w:bCs/>
          <w:color w:val="auto"/>
          <w:sz w:val="24"/>
        </w:rPr>
        <w:t xml:space="preserve">- </w:t>
      </w:r>
      <w:r w:rsidRPr="00362F97">
        <w:rPr>
          <w:rFonts w:ascii="Arial" w:eastAsia="Arial" w:hAnsi="Arial" w:cs="Arial"/>
          <w:bCs/>
          <w:color w:val="auto"/>
          <w:sz w:val="24"/>
        </w:rPr>
        <w:t xml:space="preserve">métricas: rendimiento acumulado, </w:t>
      </w:r>
      <w:proofErr w:type="spellStart"/>
      <w:r w:rsidRPr="00362F97">
        <w:rPr>
          <w:rFonts w:ascii="Arial" w:eastAsia="Arial" w:hAnsi="Arial" w:cs="Arial"/>
          <w:bCs/>
          <w:color w:val="auto"/>
          <w:sz w:val="24"/>
        </w:rPr>
        <w:t>drawdown</w:t>
      </w:r>
      <w:proofErr w:type="spellEnd"/>
      <w:r w:rsidRPr="00362F97">
        <w:rPr>
          <w:rFonts w:ascii="Arial" w:eastAsia="Arial" w:hAnsi="Arial" w:cs="Arial"/>
          <w:bCs/>
          <w:color w:val="auto"/>
          <w:sz w:val="24"/>
        </w:rPr>
        <w:t xml:space="preserve"> máximo, volatilidad.</w:t>
      </w:r>
      <w:r w:rsidRPr="00362F97">
        <w:rPr>
          <w:rFonts w:ascii="Arial" w:eastAsia="Arial" w:hAnsi="Arial" w:cs="Arial"/>
          <w:bCs/>
          <w:color w:val="auto"/>
          <w:sz w:val="24"/>
        </w:rPr>
        <w:br/>
      </w:r>
      <w:r>
        <w:rPr>
          <w:rFonts w:ascii="Arial" w:eastAsia="Arial" w:hAnsi="Arial" w:cs="Arial"/>
          <w:bCs/>
          <w:color w:val="auto"/>
          <w:sz w:val="24"/>
        </w:rPr>
        <w:t xml:space="preserve">- </w:t>
      </w:r>
      <w:r w:rsidRPr="00362F97">
        <w:rPr>
          <w:rFonts w:ascii="Arial" w:eastAsia="Arial" w:hAnsi="Arial" w:cs="Arial"/>
          <w:bCs/>
          <w:color w:val="auto"/>
          <w:sz w:val="24"/>
        </w:rPr>
        <w:t>Entregables: reporte</w:t>
      </w:r>
    </w:p>
    <w:p w14:paraId="0148C2FA" w14:textId="743D4A8D" w:rsidR="00A544C5" w:rsidRPr="003B1A0B" w:rsidRDefault="00A544C5" w:rsidP="00A8214E">
      <w:pPr>
        <w:spacing w:after="18"/>
        <w:jc w:val="both"/>
        <w:rPr>
          <w:rFonts w:ascii="Arial" w:hAnsi="Arial" w:cs="Arial"/>
          <w:lang w:val="es-MX"/>
        </w:rPr>
      </w:pPr>
    </w:p>
    <w:p w14:paraId="5F6CA472" w14:textId="6E61F9E8" w:rsidR="00A544C5" w:rsidRPr="003B1A0B" w:rsidRDefault="00A544C5" w:rsidP="00A8214E">
      <w:pPr>
        <w:spacing w:after="18"/>
        <w:jc w:val="both"/>
        <w:rPr>
          <w:rFonts w:ascii="Arial" w:hAnsi="Arial" w:cs="Arial"/>
          <w:lang w:val="es-MX"/>
        </w:rPr>
      </w:pPr>
    </w:p>
    <w:p w14:paraId="65ED8906" w14:textId="3FBD2EB2" w:rsidR="00A544C5" w:rsidRPr="003B1A0B" w:rsidRDefault="00A544C5" w:rsidP="00A8214E">
      <w:pPr>
        <w:spacing w:after="18"/>
        <w:jc w:val="both"/>
        <w:rPr>
          <w:rFonts w:ascii="Arial" w:hAnsi="Arial" w:cs="Arial"/>
        </w:rPr>
      </w:pPr>
    </w:p>
    <w:p w14:paraId="64AE87CA" w14:textId="57B52E6A" w:rsidR="00A544C5" w:rsidRPr="003B1A0B" w:rsidRDefault="00A544C5" w:rsidP="00A8214E">
      <w:pPr>
        <w:spacing w:after="18"/>
        <w:jc w:val="both"/>
        <w:rPr>
          <w:rFonts w:ascii="Arial" w:hAnsi="Arial" w:cs="Arial"/>
        </w:rPr>
      </w:pPr>
    </w:p>
    <w:p w14:paraId="169C3DB5" w14:textId="5CC28AD9" w:rsidR="00A544C5" w:rsidRPr="003B1A0B" w:rsidRDefault="00A544C5" w:rsidP="00A8214E">
      <w:pPr>
        <w:spacing w:after="18"/>
        <w:jc w:val="both"/>
        <w:rPr>
          <w:rFonts w:ascii="Arial" w:hAnsi="Arial" w:cs="Arial"/>
        </w:rPr>
      </w:pPr>
    </w:p>
    <w:p w14:paraId="02F7FCC2" w14:textId="2E5587B7" w:rsidR="00A544C5" w:rsidRPr="003B1A0B" w:rsidRDefault="00A544C5" w:rsidP="00A8214E">
      <w:pPr>
        <w:spacing w:after="18"/>
        <w:jc w:val="both"/>
        <w:rPr>
          <w:rFonts w:ascii="Arial" w:hAnsi="Arial" w:cs="Arial"/>
        </w:rPr>
      </w:pPr>
    </w:p>
    <w:p w14:paraId="7EA85432" w14:textId="22444C00" w:rsidR="00A544C5" w:rsidRPr="003B1A0B" w:rsidRDefault="00A544C5" w:rsidP="00A8214E">
      <w:pPr>
        <w:spacing w:after="18"/>
        <w:jc w:val="both"/>
        <w:rPr>
          <w:rFonts w:ascii="Arial" w:hAnsi="Arial" w:cs="Arial"/>
        </w:rPr>
      </w:pPr>
    </w:p>
    <w:p w14:paraId="1AB30B70" w14:textId="312471A5" w:rsidR="00A544C5" w:rsidRPr="003B1A0B" w:rsidRDefault="00A544C5" w:rsidP="00A8214E">
      <w:pPr>
        <w:spacing w:after="18"/>
        <w:jc w:val="both"/>
        <w:rPr>
          <w:rFonts w:ascii="Arial" w:hAnsi="Arial" w:cs="Arial"/>
        </w:rPr>
      </w:pPr>
    </w:p>
    <w:p w14:paraId="61CA893F" w14:textId="5E289205" w:rsidR="00A544C5" w:rsidRPr="003B1A0B" w:rsidRDefault="00A544C5" w:rsidP="00A8214E">
      <w:pPr>
        <w:spacing w:after="18"/>
        <w:jc w:val="both"/>
        <w:rPr>
          <w:rFonts w:ascii="Arial" w:hAnsi="Arial" w:cs="Arial"/>
        </w:rPr>
      </w:pPr>
    </w:p>
    <w:p w14:paraId="3200339E" w14:textId="5576A3CE" w:rsidR="00A544C5" w:rsidRPr="003B1A0B" w:rsidRDefault="00A544C5" w:rsidP="00A8214E">
      <w:pPr>
        <w:spacing w:after="18"/>
        <w:jc w:val="both"/>
        <w:rPr>
          <w:rFonts w:ascii="Arial" w:hAnsi="Arial" w:cs="Arial"/>
        </w:rPr>
      </w:pPr>
    </w:p>
    <w:p w14:paraId="4CC9064B" w14:textId="4376F572" w:rsidR="00A544C5" w:rsidRPr="003B1A0B" w:rsidRDefault="00A544C5" w:rsidP="00A8214E">
      <w:pPr>
        <w:spacing w:after="18"/>
        <w:jc w:val="both"/>
        <w:rPr>
          <w:rFonts w:ascii="Arial" w:hAnsi="Arial" w:cs="Arial"/>
        </w:rPr>
      </w:pPr>
    </w:p>
    <w:p w14:paraId="5703598A" w14:textId="45B2E790" w:rsidR="00A544C5" w:rsidRPr="003B1A0B" w:rsidRDefault="00A544C5" w:rsidP="00A8214E">
      <w:pPr>
        <w:spacing w:after="18"/>
        <w:jc w:val="both"/>
        <w:rPr>
          <w:rFonts w:ascii="Arial" w:hAnsi="Arial" w:cs="Arial"/>
        </w:rPr>
      </w:pPr>
    </w:p>
    <w:p w14:paraId="368EEB5C" w14:textId="7B6A4E49" w:rsidR="00A544C5" w:rsidRPr="003B1A0B" w:rsidRDefault="00A544C5" w:rsidP="00A8214E">
      <w:pPr>
        <w:spacing w:after="18"/>
        <w:jc w:val="both"/>
        <w:rPr>
          <w:rFonts w:ascii="Arial" w:hAnsi="Arial" w:cs="Arial"/>
        </w:rPr>
      </w:pPr>
    </w:p>
    <w:p w14:paraId="23E7F54D" w14:textId="384A3198" w:rsidR="00A544C5" w:rsidRPr="003B1A0B" w:rsidRDefault="00A544C5" w:rsidP="00A8214E">
      <w:pPr>
        <w:spacing w:after="18"/>
        <w:jc w:val="both"/>
        <w:rPr>
          <w:rFonts w:ascii="Arial" w:hAnsi="Arial" w:cs="Arial"/>
        </w:rPr>
      </w:pPr>
    </w:p>
    <w:p w14:paraId="14BA4C63" w14:textId="115D5D6D" w:rsidR="00A544C5" w:rsidRPr="003B1A0B" w:rsidRDefault="00A544C5" w:rsidP="00A8214E">
      <w:pPr>
        <w:spacing w:after="18"/>
        <w:jc w:val="both"/>
        <w:rPr>
          <w:rFonts w:ascii="Arial" w:hAnsi="Arial" w:cs="Arial"/>
        </w:rPr>
      </w:pPr>
    </w:p>
    <w:p w14:paraId="4A113B65" w14:textId="45D5E3D5" w:rsidR="00A544C5" w:rsidRPr="003B1A0B" w:rsidRDefault="00A544C5" w:rsidP="00A8214E">
      <w:pPr>
        <w:spacing w:after="18"/>
        <w:jc w:val="both"/>
        <w:rPr>
          <w:rFonts w:ascii="Arial" w:hAnsi="Arial" w:cs="Arial"/>
        </w:rPr>
      </w:pPr>
    </w:p>
    <w:p w14:paraId="12206BD5" w14:textId="399235ED" w:rsidR="00A544C5" w:rsidRPr="003B1A0B" w:rsidRDefault="00A544C5" w:rsidP="00A8214E">
      <w:pPr>
        <w:spacing w:after="18"/>
        <w:jc w:val="both"/>
        <w:rPr>
          <w:rFonts w:ascii="Arial" w:hAnsi="Arial" w:cs="Arial"/>
        </w:rPr>
      </w:pPr>
    </w:p>
    <w:p w14:paraId="00D59191" w14:textId="392B8CE1" w:rsidR="00A544C5" w:rsidRPr="003B1A0B" w:rsidRDefault="00A544C5" w:rsidP="00A8214E">
      <w:pPr>
        <w:spacing w:after="18"/>
        <w:jc w:val="both"/>
        <w:rPr>
          <w:rFonts w:ascii="Arial" w:hAnsi="Arial" w:cs="Arial"/>
        </w:rPr>
      </w:pPr>
    </w:p>
    <w:p w14:paraId="1C3E0A38" w14:textId="56C86E07" w:rsidR="00A544C5" w:rsidRPr="003B1A0B" w:rsidRDefault="00A544C5" w:rsidP="00A8214E">
      <w:pPr>
        <w:spacing w:after="18"/>
        <w:jc w:val="both"/>
        <w:rPr>
          <w:rFonts w:ascii="Arial" w:hAnsi="Arial" w:cs="Arial"/>
        </w:rPr>
      </w:pPr>
    </w:p>
    <w:p w14:paraId="131AD612" w14:textId="6231D7A9" w:rsidR="00A544C5" w:rsidRPr="003B1A0B" w:rsidRDefault="00A544C5" w:rsidP="00A8214E">
      <w:pPr>
        <w:spacing w:after="18"/>
        <w:jc w:val="both"/>
        <w:rPr>
          <w:rFonts w:ascii="Arial" w:hAnsi="Arial" w:cs="Arial"/>
        </w:rPr>
      </w:pPr>
    </w:p>
    <w:p w14:paraId="079339B6" w14:textId="2D2B556C" w:rsidR="00A544C5" w:rsidRPr="003B1A0B" w:rsidRDefault="00A544C5" w:rsidP="00A8214E">
      <w:pPr>
        <w:spacing w:after="18"/>
        <w:jc w:val="both"/>
        <w:rPr>
          <w:rFonts w:ascii="Arial" w:hAnsi="Arial" w:cs="Arial"/>
        </w:rPr>
      </w:pPr>
    </w:p>
    <w:p w14:paraId="3619A9B0" w14:textId="7278E0B4" w:rsidR="00A544C5" w:rsidRPr="003B1A0B" w:rsidRDefault="00A544C5" w:rsidP="00A8214E">
      <w:pPr>
        <w:spacing w:after="18"/>
        <w:jc w:val="both"/>
        <w:rPr>
          <w:rFonts w:ascii="Arial" w:hAnsi="Arial" w:cs="Arial"/>
        </w:rPr>
      </w:pPr>
    </w:p>
    <w:p w14:paraId="7590A263" w14:textId="77777777" w:rsidR="00A8214E" w:rsidRDefault="00A8214E" w:rsidP="00A8214E">
      <w:pPr>
        <w:pStyle w:val="Ttulo1"/>
        <w:spacing w:after="191"/>
        <w:ind w:left="0" w:firstLine="0"/>
        <w:jc w:val="both"/>
      </w:pPr>
    </w:p>
    <w:p w14:paraId="07711227" w14:textId="77777777" w:rsidR="00A8214E" w:rsidRDefault="00A8214E" w:rsidP="00A8214E"/>
    <w:p w14:paraId="08BEC17F" w14:textId="77777777" w:rsidR="00362F97" w:rsidRDefault="00362F97" w:rsidP="00A8214E"/>
    <w:p w14:paraId="5B9BDD1F" w14:textId="77777777" w:rsidR="00362F97" w:rsidRPr="00A8214E" w:rsidRDefault="00362F97" w:rsidP="00A8214E"/>
    <w:p w14:paraId="64574F39" w14:textId="270B3F85" w:rsidR="00A544C5" w:rsidRPr="003B1A0B" w:rsidRDefault="00000000" w:rsidP="00A8214E">
      <w:pPr>
        <w:pStyle w:val="Ttulo1"/>
        <w:spacing w:after="191"/>
        <w:ind w:left="0" w:firstLine="0"/>
        <w:jc w:val="both"/>
      </w:pPr>
      <w:r w:rsidRPr="003B1A0B">
        <w:lastRenderedPageBreak/>
        <w:t>Objetivo</w:t>
      </w:r>
    </w:p>
    <w:p w14:paraId="3011E9C4" w14:textId="4847B6AC" w:rsidR="00AC61CF" w:rsidRPr="003B1A0B" w:rsidRDefault="00AC61CF" w:rsidP="00A8214E">
      <w:pPr>
        <w:spacing w:after="221" w:line="276" w:lineRule="auto"/>
        <w:ind w:left="-5" w:right="67" w:hanging="10"/>
        <w:jc w:val="both"/>
        <w:rPr>
          <w:rFonts w:ascii="Arial" w:eastAsia="Arial" w:hAnsi="Arial" w:cs="Arial"/>
          <w:sz w:val="24"/>
        </w:rPr>
      </w:pPr>
      <w:r w:rsidRPr="003B1A0B">
        <w:rPr>
          <w:rFonts w:ascii="Arial" w:eastAsia="Arial" w:hAnsi="Arial" w:cs="Arial"/>
          <w:sz w:val="24"/>
        </w:rPr>
        <w:t xml:space="preserve">El objetivo de esta entrega es definir, justificar y documentar la selección del portafolio base compuesto por los activos DLR, JCI, </w:t>
      </w:r>
      <w:r w:rsidR="00AB233C" w:rsidRPr="003B1A0B">
        <w:rPr>
          <w:rFonts w:ascii="Arial" w:eastAsia="Arial" w:hAnsi="Arial" w:cs="Arial"/>
          <w:sz w:val="24"/>
        </w:rPr>
        <w:t>PFE</w:t>
      </w:r>
      <w:r w:rsidRPr="003B1A0B">
        <w:rPr>
          <w:rFonts w:ascii="Arial" w:eastAsia="Arial" w:hAnsi="Arial" w:cs="Arial"/>
          <w:sz w:val="24"/>
        </w:rPr>
        <w:t>, COST y JPM, representando distintos sectores económicos con el propósito de lograr una diversificación efectiva, estabilidad en el rendimiento y control del riesgo de mercado.</w:t>
      </w:r>
    </w:p>
    <w:p w14:paraId="3AAE2755" w14:textId="77777777" w:rsidR="00AC61CF" w:rsidRPr="003B1A0B" w:rsidRDefault="00AC61CF" w:rsidP="00A8214E">
      <w:pPr>
        <w:spacing w:after="221" w:line="276" w:lineRule="auto"/>
        <w:ind w:right="67"/>
        <w:jc w:val="both"/>
        <w:rPr>
          <w:rFonts w:ascii="Arial" w:eastAsia="Arial" w:hAnsi="Arial" w:cs="Arial"/>
          <w:sz w:val="24"/>
        </w:rPr>
      </w:pPr>
    </w:p>
    <w:p w14:paraId="07CE4D43" w14:textId="276E5A7A" w:rsidR="00AC61CF" w:rsidRPr="003B1A0B" w:rsidRDefault="00AC61CF" w:rsidP="00A8214E">
      <w:pPr>
        <w:spacing w:after="221" w:line="276" w:lineRule="auto"/>
        <w:ind w:left="-5" w:right="67" w:hanging="10"/>
        <w:jc w:val="both"/>
        <w:rPr>
          <w:rFonts w:ascii="Arial" w:eastAsia="Arial" w:hAnsi="Arial" w:cs="Arial"/>
          <w:sz w:val="24"/>
        </w:rPr>
      </w:pPr>
      <w:r w:rsidRPr="003B1A0B">
        <w:rPr>
          <w:rFonts w:ascii="Arial" w:eastAsia="Arial" w:hAnsi="Arial" w:cs="Arial"/>
          <w:sz w:val="24"/>
        </w:rPr>
        <w:t>Estableciendo la base metodológica y estratégica del proyecto, proporcionando un portafolio diversificado, líquido y financieramente sólido, apto para continuar con los análisis históricos, estadísticos y econométricos que se desarrollarán en las siguientes etapas del análisis de riesgo.</w:t>
      </w:r>
    </w:p>
    <w:p w14:paraId="2CA9D6A9" w14:textId="16548013" w:rsidR="00A544C5" w:rsidRPr="003B1A0B" w:rsidRDefault="00A544C5" w:rsidP="00A8214E">
      <w:pPr>
        <w:spacing w:after="18"/>
        <w:jc w:val="both"/>
        <w:rPr>
          <w:rFonts w:ascii="Arial" w:hAnsi="Arial" w:cs="Arial"/>
        </w:rPr>
      </w:pPr>
    </w:p>
    <w:p w14:paraId="0A9CCADE" w14:textId="00D64DFB" w:rsidR="00A544C5" w:rsidRPr="003B1A0B" w:rsidRDefault="00A544C5" w:rsidP="00A8214E">
      <w:pPr>
        <w:spacing w:after="18"/>
        <w:jc w:val="both"/>
        <w:rPr>
          <w:rFonts w:ascii="Arial" w:hAnsi="Arial" w:cs="Arial"/>
        </w:rPr>
      </w:pPr>
    </w:p>
    <w:p w14:paraId="3C1F6657" w14:textId="387A417E" w:rsidR="00A544C5" w:rsidRPr="003B1A0B" w:rsidRDefault="00A544C5" w:rsidP="00A8214E">
      <w:pPr>
        <w:spacing w:after="18"/>
        <w:jc w:val="both"/>
        <w:rPr>
          <w:rFonts w:ascii="Arial" w:eastAsia="Arial" w:hAnsi="Arial" w:cs="Arial"/>
        </w:rPr>
      </w:pPr>
    </w:p>
    <w:p w14:paraId="3D045ACD" w14:textId="77777777" w:rsidR="0082303C" w:rsidRPr="003B1A0B" w:rsidRDefault="0082303C" w:rsidP="00A8214E">
      <w:pPr>
        <w:spacing w:after="18"/>
        <w:jc w:val="both"/>
        <w:rPr>
          <w:rFonts w:ascii="Arial" w:eastAsia="Arial" w:hAnsi="Arial" w:cs="Arial"/>
        </w:rPr>
      </w:pPr>
    </w:p>
    <w:p w14:paraId="33B8224A" w14:textId="77777777" w:rsidR="0082303C" w:rsidRPr="003B1A0B" w:rsidRDefault="0082303C" w:rsidP="00A8214E">
      <w:pPr>
        <w:spacing w:after="18"/>
        <w:jc w:val="both"/>
        <w:rPr>
          <w:rFonts w:ascii="Arial" w:hAnsi="Arial" w:cs="Arial"/>
        </w:rPr>
      </w:pPr>
    </w:p>
    <w:p w14:paraId="1BA5DA38" w14:textId="452F582A" w:rsidR="00A544C5" w:rsidRPr="003B1A0B" w:rsidRDefault="00A544C5" w:rsidP="00A8214E">
      <w:pPr>
        <w:spacing w:after="112"/>
        <w:jc w:val="both"/>
        <w:rPr>
          <w:rFonts w:ascii="Arial" w:hAnsi="Arial" w:cs="Arial"/>
        </w:rPr>
      </w:pPr>
    </w:p>
    <w:p w14:paraId="44B15C2D" w14:textId="44561CF2" w:rsidR="00A544C5" w:rsidRPr="003B1A0B" w:rsidRDefault="00000000" w:rsidP="00A8214E">
      <w:pPr>
        <w:pStyle w:val="Ttulo1"/>
        <w:ind w:left="-5"/>
        <w:jc w:val="both"/>
      </w:pPr>
      <w:r w:rsidRPr="003B1A0B">
        <w:t>Preguntas de investigación</w:t>
      </w:r>
    </w:p>
    <w:p w14:paraId="632A0F46" w14:textId="36A15A03" w:rsidR="00A544C5" w:rsidRPr="003B1A0B" w:rsidRDefault="00A544C5" w:rsidP="00A8214E">
      <w:pPr>
        <w:spacing w:after="40"/>
        <w:jc w:val="both"/>
        <w:rPr>
          <w:rFonts w:ascii="Arial" w:hAnsi="Arial" w:cs="Arial"/>
        </w:rPr>
      </w:pPr>
    </w:p>
    <w:p w14:paraId="076E7E62" w14:textId="670706B8" w:rsidR="00A544C5" w:rsidRPr="003B1A0B" w:rsidRDefault="00335660" w:rsidP="00A8214E">
      <w:pPr>
        <w:numPr>
          <w:ilvl w:val="0"/>
          <w:numId w:val="2"/>
        </w:numPr>
        <w:spacing w:after="10" w:line="271" w:lineRule="auto"/>
        <w:ind w:right="59" w:hanging="360"/>
        <w:jc w:val="both"/>
        <w:rPr>
          <w:rFonts w:ascii="Arial" w:hAnsi="Arial" w:cs="Arial"/>
        </w:rPr>
      </w:pPr>
      <w:r w:rsidRPr="003B1A0B">
        <w:rPr>
          <w:rFonts w:ascii="Arial" w:eastAsia="Arial" w:hAnsi="Arial" w:cs="Arial"/>
          <w:sz w:val="24"/>
        </w:rPr>
        <w:t>¿Qué fundamentos financieros y contextuales respaldan la selección de estos activos?</w:t>
      </w:r>
    </w:p>
    <w:p w14:paraId="6A13C398" w14:textId="1399B4B0" w:rsidR="00A544C5" w:rsidRPr="003B1A0B" w:rsidRDefault="00000000" w:rsidP="00A8214E">
      <w:pPr>
        <w:numPr>
          <w:ilvl w:val="0"/>
          <w:numId w:val="2"/>
        </w:numPr>
        <w:spacing w:after="10" w:line="271" w:lineRule="auto"/>
        <w:ind w:right="59" w:hanging="360"/>
        <w:jc w:val="both"/>
        <w:rPr>
          <w:rFonts w:ascii="Arial" w:hAnsi="Arial" w:cs="Arial"/>
        </w:rPr>
      </w:pPr>
      <w:r w:rsidRPr="003B1A0B">
        <w:rPr>
          <w:rFonts w:ascii="Arial" w:eastAsia="Arial" w:hAnsi="Arial" w:cs="Arial"/>
          <w:sz w:val="24"/>
        </w:rPr>
        <w:t>¿Cómo se combinarán los rendimientos y volatilidades individuales para obtener las métricas del portafolio total?</w:t>
      </w:r>
    </w:p>
    <w:p w14:paraId="4B105418" w14:textId="627A6DDA" w:rsidR="00335660" w:rsidRPr="003B1A0B" w:rsidRDefault="00335660" w:rsidP="00A8214E">
      <w:pPr>
        <w:numPr>
          <w:ilvl w:val="0"/>
          <w:numId w:val="2"/>
        </w:numPr>
        <w:spacing w:after="10" w:line="271" w:lineRule="auto"/>
        <w:ind w:right="59" w:hanging="360"/>
        <w:jc w:val="both"/>
        <w:rPr>
          <w:rFonts w:ascii="Arial" w:hAnsi="Arial" w:cs="Arial"/>
        </w:rPr>
      </w:pPr>
      <w:r w:rsidRPr="003B1A0B">
        <w:rPr>
          <w:rFonts w:ascii="Arial" w:eastAsia="Arial" w:hAnsi="Arial" w:cs="Arial"/>
          <w:sz w:val="24"/>
        </w:rPr>
        <w:t>¿Cuáles son las características fundamentales y de mercado de cada activo seleccionado?</w:t>
      </w:r>
    </w:p>
    <w:p w14:paraId="2FF8738B" w14:textId="58BC2C3E" w:rsidR="00335660" w:rsidRPr="003B1A0B" w:rsidRDefault="00335660" w:rsidP="00A8214E">
      <w:pPr>
        <w:numPr>
          <w:ilvl w:val="0"/>
          <w:numId w:val="2"/>
        </w:numPr>
        <w:spacing w:after="10" w:line="271" w:lineRule="auto"/>
        <w:ind w:right="59" w:hanging="360"/>
        <w:jc w:val="both"/>
        <w:rPr>
          <w:rFonts w:ascii="Arial" w:hAnsi="Arial" w:cs="Arial"/>
        </w:rPr>
      </w:pPr>
      <w:r w:rsidRPr="003B1A0B">
        <w:rPr>
          <w:rFonts w:ascii="Arial" w:eastAsia="Arial" w:hAnsi="Arial" w:cs="Arial"/>
          <w:sz w:val="24"/>
        </w:rPr>
        <w:t>¿Cuál es la distribución del riesgo sectorial del portafolio?</w:t>
      </w:r>
    </w:p>
    <w:p w14:paraId="440CE270" w14:textId="46C2B3FE" w:rsidR="0082303C" w:rsidRPr="003B1A0B" w:rsidRDefault="0082303C" w:rsidP="00A8214E">
      <w:pPr>
        <w:numPr>
          <w:ilvl w:val="0"/>
          <w:numId w:val="2"/>
        </w:numPr>
        <w:spacing w:after="10" w:line="271" w:lineRule="auto"/>
        <w:ind w:right="59" w:hanging="360"/>
        <w:jc w:val="both"/>
        <w:rPr>
          <w:rFonts w:ascii="Arial" w:hAnsi="Arial" w:cs="Arial"/>
        </w:rPr>
      </w:pPr>
      <w:r w:rsidRPr="003B1A0B">
        <w:rPr>
          <w:rFonts w:ascii="Arial" w:eastAsia="Arial" w:hAnsi="Arial" w:cs="Arial"/>
          <w:sz w:val="24"/>
        </w:rPr>
        <w:t>¿Cómo se planea diversificar eficazmente el riesgo sistemático y no sistemático?</w:t>
      </w:r>
    </w:p>
    <w:p w14:paraId="27C10112" w14:textId="4B18FFD2" w:rsidR="00335660" w:rsidRPr="003B1A0B" w:rsidRDefault="00335660" w:rsidP="00A8214E">
      <w:pPr>
        <w:spacing w:after="10" w:line="271" w:lineRule="auto"/>
        <w:ind w:left="705" w:right="59"/>
        <w:jc w:val="both"/>
        <w:rPr>
          <w:rFonts w:ascii="Arial" w:hAnsi="Arial" w:cs="Arial"/>
        </w:rPr>
      </w:pPr>
    </w:p>
    <w:p w14:paraId="44C8871D" w14:textId="7ED7C14C" w:rsidR="00335660" w:rsidRPr="003B1A0B" w:rsidRDefault="00335660" w:rsidP="00A8214E">
      <w:pPr>
        <w:spacing w:after="10" w:line="271" w:lineRule="auto"/>
        <w:ind w:left="345" w:right="59"/>
        <w:jc w:val="both"/>
        <w:rPr>
          <w:rFonts w:ascii="Arial" w:hAnsi="Arial" w:cs="Arial"/>
        </w:rPr>
      </w:pPr>
    </w:p>
    <w:p w14:paraId="75F19478" w14:textId="0AB57060" w:rsidR="00A544C5" w:rsidRPr="003B1A0B" w:rsidRDefault="00A544C5" w:rsidP="00A8214E">
      <w:pPr>
        <w:spacing w:after="18"/>
        <w:jc w:val="both"/>
        <w:rPr>
          <w:rFonts w:ascii="Arial" w:hAnsi="Arial" w:cs="Arial"/>
        </w:rPr>
      </w:pPr>
    </w:p>
    <w:p w14:paraId="4FD9B6E1" w14:textId="6DA4BB55" w:rsidR="00A544C5" w:rsidRPr="003B1A0B" w:rsidRDefault="00A544C5" w:rsidP="00A8214E">
      <w:pPr>
        <w:spacing w:after="18"/>
        <w:jc w:val="both"/>
        <w:rPr>
          <w:rFonts w:ascii="Arial" w:hAnsi="Arial" w:cs="Arial"/>
        </w:rPr>
      </w:pPr>
    </w:p>
    <w:p w14:paraId="6E49B62B" w14:textId="63B3AF60" w:rsidR="00A544C5" w:rsidRPr="003B1A0B" w:rsidRDefault="00A544C5" w:rsidP="00A8214E">
      <w:pPr>
        <w:spacing w:after="18"/>
        <w:jc w:val="both"/>
        <w:rPr>
          <w:rFonts w:ascii="Arial" w:hAnsi="Arial" w:cs="Arial"/>
        </w:rPr>
      </w:pPr>
    </w:p>
    <w:p w14:paraId="1CDE870F" w14:textId="7F5BEDAF" w:rsidR="00A544C5" w:rsidRPr="003B1A0B" w:rsidRDefault="00A544C5" w:rsidP="00A8214E">
      <w:pPr>
        <w:spacing w:after="18"/>
        <w:jc w:val="both"/>
        <w:rPr>
          <w:rFonts w:ascii="Arial" w:hAnsi="Arial" w:cs="Arial"/>
        </w:rPr>
      </w:pPr>
    </w:p>
    <w:p w14:paraId="1FF0129C" w14:textId="04BA3D6D" w:rsidR="00A544C5" w:rsidRPr="003B1A0B" w:rsidRDefault="00A544C5" w:rsidP="00A8214E">
      <w:pPr>
        <w:spacing w:after="18"/>
        <w:jc w:val="both"/>
        <w:rPr>
          <w:rFonts w:ascii="Arial" w:eastAsia="Arial" w:hAnsi="Arial" w:cs="Arial"/>
        </w:rPr>
      </w:pPr>
    </w:p>
    <w:p w14:paraId="1ED76F59" w14:textId="77777777" w:rsidR="0082303C" w:rsidRPr="003B1A0B" w:rsidRDefault="0082303C" w:rsidP="00A8214E">
      <w:pPr>
        <w:spacing w:after="18"/>
        <w:jc w:val="both"/>
        <w:rPr>
          <w:rFonts w:ascii="Arial" w:eastAsia="Arial" w:hAnsi="Arial" w:cs="Arial"/>
        </w:rPr>
      </w:pPr>
    </w:p>
    <w:p w14:paraId="69A5399D" w14:textId="77777777" w:rsidR="0082303C" w:rsidRPr="003B1A0B" w:rsidRDefault="0082303C" w:rsidP="00A8214E">
      <w:pPr>
        <w:spacing w:after="18"/>
        <w:jc w:val="both"/>
        <w:rPr>
          <w:rFonts w:ascii="Arial" w:eastAsia="Arial" w:hAnsi="Arial" w:cs="Arial"/>
        </w:rPr>
      </w:pPr>
    </w:p>
    <w:p w14:paraId="5698B453" w14:textId="77777777" w:rsidR="0082303C" w:rsidRPr="003B1A0B" w:rsidRDefault="0082303C" w:rsidP="00A8214E">
      <w:pPr>
        <w:spacing w:after="18"/>
        <w:jc w:val="both"/>
        <w:rPr>
          <w:rFonts w:ascii="Arial" w:hAnsi="Arial" w:cs="Arial"/>
        </w:rPr>
      </w:pPr>
    </w:p>
    <w:p w14:paraId="58069B13" w14:textId="77D332F8" w:rsidR="00A544C5" w:rsidRPr="003B1A0B" w:rsidRDefault="00A544C5" w:rsidP="00A8214E">
      <w:pPr>
        <w:spacing w:after="18"/>
        <w:jc w:val="both"/>
        <w:rPr>
          <w:rFonts w:ascii="Arial" w:hAnsi="Arial" w:cs="Arial"/>
        </w:rPr>
      </w:pPr>
    </w:p>
    <w:p w14:paraId="10780EC8" w14:textId="7C575305" w:rsidR="00A544C5" w:rsidRPr="003B1A0B" w:rsidRDefault="00A544C5" w:rsidP="00A8214E">
      <w:pPr>
        <w:spacing w:after="0"/>
        <w:jc w:val="both"/>
        <w:rPr>
          <w:rFonts w:ascii="Arial" w:hAnsi="Arial" w:cs="Arial"/>
        </w:rPr>
      </w:pPr>
    </w:p>
    <w:p w14:paraId="68DBD131" w14:textId="3D18DBA1" w:rsidR="00A544C5" w:rsidRPr="003B1A0B" w:rsidRDefault="00000000" w:rsidP="00A8214E">
      <w:pPr>
        <w:pStyle w:val="Ttulo1"/>
        <w:spacing w:after="172"/>
        <w:ind w:left="-5"/>
        <w:jc w:val="both"/>
      </w:pPr>
      <w:r w:rsidRPr="003B1A0B">
        <w:lastRenderedPageBreak/>
        <w:t>Metodología</w:t>
      </w:r>
    </w:p>
    <w:p w14:paraId="53F52A07" w14:textId="7DAE9038" w:rsidR="00A544C5" w:rsidRPr="003B1A0B" w:rsidRDefault="00000000" w:rsidP="00A8214E">
      <w:pPr>
        <w:spacing w:after="248" w:line="268" w:lineRule="auto"/>
        <w:ind w:left="10" w:right="210" w:hanging="10"/>
        <w:jc w:val="both"/>
        <w:rPr>
          <w:rFonts w:ascii="Arial" w:hAnsi="Arial" w:cs="Arial"/>
          <w:sz w:val="24"/>
          <w:szCs w:val="28"/>
        </w:rPr>
      </w:pPr>
      <w:r w:rsidRPr="003B1A0B">
        <w:rPr>
          <w:rFonts w:ascii="Arial" w:eastAsia="Arial" w:hAnsi="Arial" w:cs="Arial"/>
          <w:sz w:val="24"/>
          <w:szCs w:val="28"/>
        </w:rPr>
        <w:t xml:space="preserve">En esta práctica se buscó analizar los rendimientos y volatilidad de un portafolio de inversión compuesto por los activos </w:t>
      </w:r>
      <w:r w:rsidR="0082303C" w:rsidRPr="003B1A0B">
        <w:rPr>
          <w:rFonts w:ascii="Arial" w:eastAsia="Arial" w:hAnsi="Arial" w:cs="Arial"/>
          <w:sz w:val="24"/>
          <w:szCs w:val="28"/>
        </w:rPr>
        <w:t xml:space="preserve">DLR, JCI, </w:t>
      </w:r>
      <w:r w:rsidR="00AB233C" w:rsidRPr="003B1A0B">
        <w:rPr>
          <w:rFonts w:ascii="Arial" w:eastAsia="Arial" w:hAnsi="Arial" w:cs="Arial"/>
          <w:sz w:val="24"/>
          <w:szCs w:val="28"/>
        </w:rPr>
        <w:t>PFE</w:t>
      </w:r>
      <w:r w:rsidR="0082303C" w:rsidRPr="003B1A0B">
        <w:rPr>
          <w:rFonts w:ascii="Arial" w:eastAsia="Arial" w:hAnsi="Arial" w:cs="Arial"/>
          <w:sz w:val="24"/>
          <w:szCs w:val="28"/>
        </w:rPr>
        <w:t>, COST y JPM. Después de una selección de activos con una metodología mixta cuantitativa–narrativa.</w:t>
      </w:r>
    </w:p>
    <w:p w14:paraId="53308942" w14:textId="4C271643" w:rsidR="00A544C5" w:rsidRPr="003B1A0B" w:rsidRDefault="00A544C5" w:rsidP="00A8214E">
      <w:pPr>
        <w:spacing w:after="18"/>
        <w:jc w:val="both"/>
        <w:rPr>
          <w:rFonts w:ascii="Arial" w:eastAsia="Arial" w:hAnsi="Arial" w:cs="Arial"/>
        </w:rPr>
      </w:pPr>
    </w:p>
    <w:p w14:paraId="309D80E7" w14:textId="18CF0CC3" w:rsidR="0082303C" w:rsidRPr="0082303C" w:rsidRDefault="0082303C" w:rsidP="00A8214E">
      <w:pPr>
        <w:spacing w:after="18"/>
        <w:jc w:val="both"/>
        <w:rPr>
          <w:rFonts w:ascii="Arial" w:hAnsi="Arial" w:cs="Arial"/>
          <w:sz w:val="24"/>
        </w:rPr>
      </w:pPr>
      <w:r w:rsidRPr="0082303C">
        <w:rPr>
          <w:rFonts w:ascii="Arial" w:hAnsi="Arial" w:cs="Arial"/>
          <w:b/>
          <w:bCs/>
          <w:sz w:val="24"/>
        </w:rPr>
        <w:t>Filtros cuantitativos iniciales:</w:t>
      </w:r>
    </w:p>
    <w:p w14:paraId="2566DAB0" w14:textId="77777777" w:rsidR="0082303C" w:rsidRPr="0082303C" w:rsidRDefault="0082303C" w:rsidP="00A8214E">
      <w:pPr>
        <w:numPr>
          <w:ilvl w:val="0"/>
          <w:numId w:val="9"/>
        </w:numPr>
        <w:spacing w:after="18"/>
        <w:jc w:val="both"/>
        <w:rPr>
          <w:rFonts w:ascii="Arial" w:hAnsi="Arial" w:cs="Arial"/>
          <w:sz w:val="24"/>
        </w:rPr>
      </w:pPr>
      <w:r w:rsidRPr="0082303C">
        <w:rPr>
          <w:rFonts w:ascii="Arial" w:hAnsi="Arial" w:cs="Arial"/>
          <w:sz w:val="24"/>
        </w:rPr>
        <w:t>Capitalización de mercado &gt; 10 mil millones USD.</w:t>
      </w:r>
    </w:p>
    <w:p w14:paraId="75E05153" w14:textId="77777777" w:rsidR="0082303C" w:rsidRPr="0082303C" w:rsidRDefault="0082303C" w:rsidP="00A8214E">
      <w:pPr>
        <w:numPr>
          <w:ilvl w:val="0"/>
          <w:numId w:val="9"/>
        </w:numPr>
        <w:spacing w:after="18"/>
        <w:jc w:val="both"/>
        <w:rPr>
          <w:rFonts w:ascii="Arial" w:hAnsi="Arial" w:cs="Arial"/>
          <w:sz w:val="24"/>
        </w:rPr>
      </w:pPr>
      <w:r w:rsidRPr="0082303C">
        <w:rPr>
          <w:rFonts w:ascii="Arial" w:hAnsi="Arial" w:cs="Arial"/>
          <w:sz w:val="24"/>
        </w:rPr>
        <w:t>Volumen promedio diario &gt; 1 millón de acciones.</w:t>
      </w:r>
    </w:p>
    <w:p w14:paraId="399CD09E" w14:textId="77777777" w:rsidR="0082303C" w:rsidRPr="0082303C" w:rsidRDefault="0082303C" w:rsidP="00A8214E">
      <w:pPr>
        <w:numPr>
          <w:ilvl w:val="0"/>
          <w:numId w:val="9"/>
        </w:numPr>
        <w:spacing w:after="18"/>
        <w:jc w:val="both"/>
        <w:rPr>
          <w:rFonts w:ascii="Arial" w:hAnsi="Arial" w:cs="Arial"/>
          <w:sz w:val="24"/>
        </w:rPr>
      </w:pPr>
      <w:r w:rsidRPr="0082303C">
        <w:rPr>
          <w:rFonts w:ascii="Arial" w:hAnsi="Arial" w:cs="Arial"/>
          <w:sz w:val="24"/>
        </w:rPr>
        <w:t>Historial de cotización &gt; 5 años.</w:t>
      </w:r>
    </w:p>
    <w:p w14:paraId="4FFC13CA" w14:textId="77777777" w:rsidR="0082303C" w:rsidRPr="0082303C" w:rsidRDefault="0082303C" w:rsidP="00A8214E">
      <w:pPr>
        <w:numPr>
          <w:ilvl w:val="0"/>
          <w:numId w:val="9"/>
        </w:numPr>
        <w:spacing w:after="18"/>
        <w:jc w:val="both"/>
        <w:rPr>
          <w:rFonts w:ascii="Arial" w:hAnsi="Arial" w:cs="Arial"/>
          <w:sz w:val="24"/>
        </w:rPr>
      </w:pPr>
      <w:r w:rsidRPr="0082303C">
        <w:rPr>
          <w:rFonts w:ascii="Arial" w:hAnsi="Arial" w:cs="Arial"/>
          <w:sz w:val="24"/>
        </w:rPr>
        <w:t>P/E, ROE y flujo de caja positivos.</w:t>
      </w:r>
    </w:p>
    <w:p w14:paraId="149016C9" w14:textId="35CAB795" w:rsidR="0082303C" w:rsidRPr="0082303C" w:rsidRDefault="0082303C" w:rsidP="00A8214E">
      <w:pPr>
        <w:spacing w:after="18"/>
        <w:jc w:val="both"/>
        <w:rPr>
          <w:rFonts w:ascii="Arial" w:hAnsi="Arial" w:cs="Arial"/>
          <w:sz w:val="24"/>
        </w:rPr>
      </w:pPr>
      <w:r w:rsidRPr="0082303C">
        <w:rPr>
          <w:rFonts w:ascii="Arial" w:hAnsi="Arial" w:cs="Arial"/>
          <w:b/>
          <w:bCs/>
          <w:sz w:val="24"/>
        </w:rPr>
        <w:t>Evaluación cualitativa:</w:t>
      </w:r>
    </w:p>
    <w:p w14:paraId="76C6CDCB" w14:textId="77777777" w:rsidR="0082303C" w:rsidRPr="0082303C" w:rsidRDefault="0082303C" w:rsidP="00A8214E">
      <w:pPr>
        <w:numPr>
          <w:ilvl w:val="0"/>
          <w:numId w:val="10"/>
        </w:numPr>
        <w:spacing w:after="18"/>
        <w:jc w:val="both"/>
        <w:rPr>
          <w:rFonts w:ascii="Arial" w:hAnsi="Arial" w:cs="Arial"/>
          <w:sz w:val="24"/>
        </w:rPr>
      </w:pPr>
      <w:r w:rsidRPr="0082303C">
        <w:rPr>
          <w:rFonts w:ascii="Arial" w:hAnsi="Arial" w:cs="Arial"/>
          <w:sz w:val="24"/>
        </w:rPr>
        <w:t>Posicionamiento competitivo en el mercado.</w:t>
      </w:r>
    </w:p>
    <w:p w14:paraId="43D1EE77" w14:textId="77777777" w:rsidR="0082303C" w:rsidRPr="0082303C" w:rsidRDefault="0082303C" w:rsidP="00A8214E">
      <w:pPr>
        <w:numPr>
          <w:ilvl w:val="0"/>
          <w:numId w:val="10"/>
        </w:numPr>
        <w:spacing w:after="18"/>
        <w:jc w:val="both"/>
        <w:rPr>
          <w:rFonts w:ascii="Arial" w:hAnsi="Arial" w:cs="Arial"/>
          <w:sz w:val="24"/>
        </w:rPr>
      </w:pPr>
      <w:r w:rsidRPr="0082303C">
        <w:rPr>
          <w:rFonts w:ascii="Arial" w:hAnsi="Arial" w:cs="Arial"/>
          <w:sz w:val="24"/>
        </w:rPr>
        <w:t>Estabilidad de ingresos y resiliencia sectorial.</w:t>
      </w:r>
    </w:p>
    <w:p w14:paraId="67B61FAC" w14:textId="77777777" w:rsidR="0082303C" w:rsidRPr="0082303C" w:rsidRDefault="0082303C" w:rsidP="00A8214E">
      <w:pPr>
        <w:numPr>
          <w:ilvl w:val="0"/>
          <w:numId w:val="10"/>
        </w:numPr>
        <w:spacing w:after="18"/>
        <w:jc w:val="both"/>
        <w:rPr>
          <w:rFonts w:ascii="Arial" w:hAnsi="Arial" w:cs="Arial"/>
          <w:sz w:val="24"/>
        </w:rPr>
      </w:pPr>
      <w:r w:rsidRPr="0082303C">
        <w:rPr>
          <w:rFonts w:ascii="Arial" w:hAnsi="Arial" w:cs="Arial"/>
          <w:sz w:val="24"/>
        </w:rPr>
        <w:t>Relevancia estratégica para diversificación (sector financiero, industrial, tecnológico, salud, consumo).</w:t>
      </w:r>
    </w:p>
    <w:p w14:paraId="50E9FE86" w14:textId="16572117" w:rsidR="0082303C" w:rsidRPr="0082303C" w:rsidRDefault="0082303C" w:rsidP="00A8214E">
      <w:pPr>
        <w:spacing w:after="18"/>
        <w:jc w:val="both"/>
        <w:rPr>
          <w:rFonts w:ascii="Arial" w:hAnsi="Arial" w:cs="Arial"/>
          <w:sz w:val="24"/>
        </w:rPr>
      </w:pPr>
      <w:r w:rsidRPr="0082303C">
        <w:rPr>
          <w:rFonts w:ascii="Arial" w:hAnsi="Arial" w:cs="Arial"/>
          <w:b/>
          <w:bCs/>
          <w:sz w:val="24"/>
        </w:rPr>
        <w:t>Asignación inicial:</w:t>
      </w:r>
    </w:p>
    <w:p w14:paraId="38AC250B" w14:textId="787DA6B4" w:rsidR="0082303C" w:rsidRPr="003B1A0B" w:rsidRDefault="0082303C" w:rsidP="00A8214E">
      <w:pPr>
        <w:numPr>
          <w:ilvl w:val="0"/>
          <w:numId w:val="11"/>
        </w:numPr>
        <w:spacing w:after="18"/>
        <w:jc w:val="both"/>
        <w:rPr>
          <w:rFonts w:ascii="Arial" w:hAnsi="Arial" w:cs="Arial"/>
        </w:rPr>
      </w:pPr>
      <w:r w:rsidRPr="0082303C">
        <w:rPr>
          <w:rFonts w:ascii="Arial" w:hAnsi="Arial" w:cs="Arial"/>
          <w:sz w:val="24"/>
        </w:rPr>
        <w:t xml:space="preserve">Ponderación igualitaria de </w:t>
      </w:r>
      <w:r w:rsidRPr="0082303C">
        <w:rPr>
          <w:rFonts w:ascii="Arial" w:hAnsi="Arial" w:cs="Arial"/>
          <w:b/>
          <w:bCs/>
          <w:sz w:val="24"/>
        </w:rPr>
        <w:t>20 % por activo</w:t>
      </w:r>
      <w:r w:rsidRPr="0082303C">
        <w:rPr>
          <w:rFonts w:ascii="Arial" w:hAnsi="Arial" w:cs="Arial"/>
          <w:sz w:val="24"/>
        </w:rPr>
        <w:t xml:space="preserve">, usada como base neutra para </w:t>
      </w:r>
      <w:r w:rsidRPr="003B1A0B">
        <w:rPr>
          <w:rFonts w:ascii="Arial" w:hAnsi="Arial" w:cs="Arial"/>
          <w:sz w:val="24"/>
        </w:rPr>
        <w:t>los análisis de riesgo y rendimiento en las siguientes entregas.</w:t>
      </w:r>
    </w:p>
    <w:p w14:paraId="080E7E2C" w14:textId="2CDFA14A" w:rsidR="00A544C5" w:rsidRPr="003B1A0B" w:rsidRDefault="00A544C5" w:rsidP="00A8214E">
      <w:pPr>
        <w:spacing w:after="18"/>
        <w:jc w:val="both"/>
        <w:rPr>
          <w:rFonts w:ascii="Arial" w:hAnsi="Arial" w:cs="Arial"/>
        </w:rPr>
      </w:pPr>
    </w:p>
    <w:p w14:paraId="2F0B259E" w14:textId="1A3B71EC" w:rsidR="00A544C5" w:rsidRPr="003B1A0B" w:rsidRDefault="00A544C5" w:rsidP="00A8214E">
      <w:pPr>
        <w:spacing w:after="18"/>
        <w:jc w:val="both"/>
        <w:rPr>
          <w:rFonts w:ascii="Arial" w:hAnsi="Arial" w:cs="Arial"/>
        </w:rPr>
      </w:pPr>
    </w:p>
    <w:p w14:paraId="59AEEAC0" w14:textId="758E1CA2" w:rsidR="00A544C5" w:rsidRPr="003B1A0B" w:rsidRDefault="00A544C5" w:rsidP="00A8214E">
      <w:pPr>
        <w:spacing w:after="18"/>
        <w:jc w:val="both"/>
        <w:rPr>
          <w:rFonts w:ascii="Arial" w:hAnsi="Arial" w:cs="Arial"/>
        </w:rPr>
      </w:pPr>
    </w:p>
    <w:p w14:paraId="2670A51D" w14:textId="67ED7201" w:rsidR="00A544C5" w:rsidRPr="003B1A0B" w:rsidRDefault="00A544C5" w:rsidP="00A8214E">
      <w:pPr>
        <w:spacing w:after="18"/>
        <w:jc w:val="both"/>
        <w:rPr>
          <w:rFonts w:ascii="Arial" w:hAnsi="Arial" w:cs="Arial"/>
        </w:rPr>
      </w:pPr>
    </w:p>
    <w:p w14:paraId="4A7B0973" w14:textId="1B3B73A5" w:rsidR="00A544C5" w:rsidRPr="003B1A0B" w:rsidRDefault="00A544C5" w:rsidP="00A8214E">
      <w:pPr>
        <w:spacing w:after="18"/>
        <w:jc w:val="both"/>
        <w:rPr>
          <w:rFonts w:ascii="Arial" w:hAnsi="Arial" w:cs="Arial"/>
        </w:rPr>
      </w:pPr>
    </w:p>
    <w:p w14:paraId="6D26584B" w14:textId="52D04E44" w:rsidR="00A544C5" w:rsidRPr="003B1A0B" w:rsidRDefault="00A544C5" w:rsidP="00A8214E">
      <w:pPr>
        <w:spacing w:after="18"/>
        <w:jc w:val="both"/>
        <w:rPr>
          <w:rFonts w:ascii="Arial" w:hAnsi="Arial" w:cs="Arial"/>
        </w:rPr>
      </w:pPr>
    </w:p>
    <w:p w14:paraId="73161514" w14:textId="1C5771EE" w:rsidR="00A544C5" w:rsidRPr="003B1A0B" w:rsidRDefault="00A544C5" w:rsidP="00A8214E">
      <w:pPr>
        <w:spacing w:after="18"/>
        <w:jc w:val="both"/>
        <w:rPr>
          <w:rFonts w:ascii="Arial" w:hAnsi="Arial" w:cs="Arial"/>
        </w:rPr>
      </w:pPr>
    </w:p>
    <w:p w14:paraId="31338665" w14:textId="61BA682A" w:rsidR="00A544C5" w:rsidRPr="003B1A0B" w:rsidRDefault="00A544C5" w:rsidP="00A8214E">
      <w:pPr>
        <w:spacing w:after="18"/>
        <w:jc w:val="both"/>
        <w:rPr>
          <w:rFonts w:ascii="Arial" w:hAnsi="Arial" w:cs="Arial"/>
        </w:rPr>
      </w:pPr>
    </w:p>
    <w:p w14:paraId="20B79A59" w14:textId="473AEFA5" w:rsidR="00A544C5" w:rsidRPr="003B1A0B" w:rsidRDefault="00A544C5" w:rsidP="00A8214E">
      <w:pPr>
        <w:spacing w:after="18"/>
        <w:jc w:val="both"/>
        <w:rPr>
          <w:rFonts w:ascii="Arial" w:hAnsi="Arial" w:cs="Arial"/>
        </w:rPr>
      </w:pPr>
    </w:p>
    <w:p w14:paraId="3EA91103" w14:textId="3B08655B" w:rsidR="00A544C5" w:rsidRPr="003B1A0B" w:rsidRDefault="00A544C5" w:rsidP="00A8214E">
      <w:pPr>
        <w:spacing w:after="18"/>
        <w:jc w:val="both"/>
        <w:rPr>
          <w:rFonts w:ascii="Arial" w:hAnsi="Arial" w:cs="Arial"/>
        </w:rPr>
      </w:pPr>
    </w:p>
    <w:p w14:paraId="76FE8145" w14:textId="4C253AC9" w:rsidR="00A544C5" w:rsidRPr="003B1A0B" w:rsidRDefault="00A544C5" w:rsidP="00A8214E">
      <w:pPr>
        <w:spacing w:after="18"/>
        <w:jc w:val="both"/>
        <w:rPr>
          <w:rFonts w:ascii="Arial" w:hAnsi="Arial" w:cs="Arial"/>
        </w:rPr>
      </w:pPr>
    </w:p>
    <w:p w14:paraId="1CB22476" w14:textId="4B4D0BFB" w:rsidR="00A544C5" w:rsidRPr="003B1A0B" w:rsidRDefault="00A544C5" w:rsidP="00A8214E">
      <w:pPr>
        <w:spacing w:after="18"/>
        <w:jc w:val="both"/>
        <w:rPr>
          <w:rFonts w:ascii="Arial" w:hAnsi="Arial" w:cs="Arial"/>
        </w:rPr>
      </w:pPr>
    </w:p>
    <w:p w14:paraId="792D8806" w14:textId="65D189A7" w:rsidR="00A544C5" w:rsidRPr="003B1A0B" w:rsidRDefault="00A544C5" w:rsidP="00A8214E">
      <w:pPr>
        <w:spacing w:after="18"/>
        <w:jc w:val="both"/>
        <w:rPr>
          <w:rFonts w:ascii="Arial" w:hAnsi="Arial" w:cs="Arial"/>
        </w:rPr>
      </w:pPr>
    </w:p>
    <w:p w14:paraId="62C8411E" w14:textId="329AB3F8" w:rsidR="00A544C5" w:rsidRPr="003B1A0B" w:rsidRDefault="00A544C5" w:rsidP="00A8214E">
      <w:pPr>
        <w:spacing w:after="18"/>
        <w:jc w:val="both"/>
        <w:rPr>
          <w:rFonts w:ascii="Arial" w:hAnsi="Arial" w:cs="Arial"/>
        </w:rPr>
      </w:pPr>
    </w:p>
    <w:p w14:paraId="37770E51" w14:textId="73F704F0" w:rsidR="00A544C5" w:rsidRPr="003B1A0B" w:rsidRDefault="00A544C5" w:rsidP="00A8214E">
      <w:pPr>
        <w:spacing w:after="18"/>
        <w:jc w:val="both"/>
        <w:rPr>
          <w:rFonts w:ascii="Arial" w:hAnsi="Arial" w:cs="Arial"/>
        </w:rPr>
      </w:pPr>
    </w:p>
    <w:p w14:paraId="6D6CFAE9" w14:textId="66854ED7" w:rsidR="00A544C5" w:rsidRPr="003B1A0B" w:rsidRDefault="00A544C5" w:rsidP="00A8214E">
      <w:pPr>
        <w:spacing w:after="18"/>
        <w:jc w:val="both"/>
        <w:rPr>
          <w:rFonts w:ascii="Arial" w:hAnsi="Arial" w:cs="Arial"/>
        </w:rPr>
      </w:pPr>
    </w:p>
    <w:p w14:paraId="08E2B369" w14:textId="232E7E6D" w:rsidR="00A544C5" w:rsidRPr="003B1A0B" w:rsidRDefault="00A544C5" w:rsidP="00A8214E">
      <w:pPr>
        <w:spacing w:after="18"/>
        <w:jc w:val="both"/>
        <w:rPr>
          <w:rFonts w:ascii="Arial" w:hAnsi="Arial" w:cs="Arial"/>
        </w:rPr>
      </w:pPr>
    </w:p>
    <w:p w14:paraId="7C0972DF" w14:textId="49B4D9CA" w:rsidR="00A544C5" w:rsidRPr="003B1A0B" w:rsidRDefault="00A544C5" w:rsidP="00A8214E">
      <w:pPr>
        <w:spacing w:after="18"/>
        <w:jc w:val="both"/>
        <w:rPr>
          <w:rFonts w:ascii="Arial" w:hAnsi="Arial" w:cs="Arial"/>
        </w:rPr>
      </w:pPr>
    </w:p>
    <w:p w14:paraId="1188C9E7" w14:textId="3A13EB15" w:rsidR="00A544C5" w:rsidRPr="003B1A0B" w:rsidRDefault="00A544C5" w:rsidP="00A8214E">
      <w:pPr>
        <w:spacing w:after="18"/>
        <w:jc w:val="both"/>
        <w:rPr>
          <w:rFonts w:ascii="Arial" w:hAnsi="Arial" w:cs="Arial"/>
        </w:rPr>
      </w:pPr>
    </w:p>
    <w:p w14:paraId="47B6642E" w14:textId="292E5029" w:rsidR="00A544C5" w:rsidRDefault="00A544C5" w:rsidP="00A8214E">
      <w:pPr>
        <w:spacing w:after="18"/>
        <w:jc w:val="both"/>
        <w:rPr>
          <w:rFonts w:ascii="Arial" w:eastAsia="Arial" w:hAnsi="Arial" w:cs="Arial"/>
        </w:rPr>
      </w:pPr>
    </w:p>
    <w:p w14:paraId="0F802A65" w14:textId="77777777" w:rsidR="003B1A0B" w:rsidRDefault="003B1A0B" w:rsidP="00A8214E">
      <w:pPr>
        <w:spacing w:after="18"/>
        <w:jc w:val="both"/>
        <w:rPr>
          <w:rFonts w:ascii="Arial" w:eastAsia="Arial" w:hAnsi="Arial" w:cs="Arial"/>
        </w:rPr>
      </w:pPr>
    </w:p>
    <w:p w14:paraId="36E497CD" w14:textId="77777777" w:rsidR="003B1A0B" w:rsidRPr="003B1A0B" w:rsidRDefault="003B1A0B" w:rsidP="00A8214E">
      <w:pPr>
        <w:spacing w:after="18"/>
        <w:jc w:val="both"/>
        <w:rPr>
          <w:rFonts w:ascii="Arial" w:hAnsi="Arial" w:cs="Arial"/>
        </w:rPr>
      </w:pPr>
    </w:p>
    <w:p w14:paraId="3B2E1A91" w14:textId="70C5EBF7" w:rsidR="00A544C5" w:rsidRPr="003B1A0B" w:rsidRDefault="00A544C5" w:rsidP="00A8214E">
      <w:pPr>
        <w:spacing w:after="18"/>
        <w:jc w:val="both"/>
        <w:rPr>
          <w:rFonts w:ascii="Arial" w:hAnsi="Arial" w:cs="Arial"/>
        </w:rPr>
      </w:pPr>
    </w:p>
    <w:p w14:paraId="72BE0F0E" w14:textId="73FA4FF9" w:rsidR="00A544C5" w:rsidRPr="003B1A0B" w:rsidRDefault="00A544C5" w:rsidP="00A8214E">
      <w:pPr>
        <w:spacing w:after="18"/>
        <w:jc w:val="both"/>
        <w:rPr>
          <w:rFonts w:ascii="Arial" w:hAnsi="Arial" w:cs="Arial"/>
        </w:rPr>
      </w:pPr>
    </w:p>
    <w:p w14:paraId="005478E3" w14:textId="64DAFD5D" w:rsidR="00A544C5" w:rsidRPr="003B1A0B" w:rsidRDefault="00A544C5" w:rsidP="00A8214E">
      <w:pPr>
        <w:spacing w:after="18"/>
        <w:jc w:val="both"/>
        <w:rPr>
          <w:rFonts w:ascii="Arial" w:hAnsi="Arial" w:cs="Arial"/>
        </w:rPr>
      </w:pPr>
    </w:p>
    <w:p w14:paraId="43AE460D" w14:textId="4036C701" w:rsidR="00A544C5" w:rsidRPr="003B1A0B" w:rsidRDefault="00A544C5" w:rsidP="00A8214E">
      <w:pPr>
        <w:spacing w:after="18"/>
        <w:jc w:val="both"/>
        <w:rPr>
          <w:rFonts w:ascii="Arial" w:hAnsi="Arial" w:cs="Arial"/>
        </w:rPr>
      </w:pPr>
    </w:p>
    <w:p w14:paraId="557A9FB6" w14:textId="32D76EC3" w:rsidR="00A544C5" w:rsidRPr="003B1A0B" w:rsidRDefault="00000000" w:rsidP="00A8214E">
      <w:pPr>
        <w:pStyle w:val="Ttulo1"/>
        <w:spacing w:after="26"/>
        <w:ind w:left="-5"/>
        <w:jc w:val="both"/>
      </w:pPr>
      <w:r w:rsidRPr="003B1A0B">
        <w:lastRenderedPageBreak/>
        <w:t>Resumen Ejecutivo</w:t>
      </w:r>
    </w:p>
    <w:p w14:paraId="5C4DE7C0" w14:textId="0DC0EFE2" w:rsidR="00A544C5" w:rsidRPr="003B1A0B" w:rsidRDefault="00B721B3" w:rsidP="00A8214E">
      <w:pPr>
        <w:spacing w:after="0"/>
        <w:jc w:val="both"/>
        <w:rPr>
          <w:rFonts w:ascii="Arial" w:hAnsi="Arial" w:cs="Arial"/>
        </w:rPr>
      </w:pPr>
      <w:r w:rsidRPr="003B1A0B">
        <w:rPr>
          <w:rFonts w:ascii="Arial" w:hAnsi="Arial" w:cs="Arial"/>
          <w:noProof/>
        </w:rPr>
        <w:drawing>
          <wp:anchor distT="0" distB="0" distL="114300" distR="114300" simplePos="0" relativeHeight="251659264" behindDoc="0" locked="0" layoutInCell="1" allowOverlap="1" wp14:anchorId="47ACDAB3" wp14:editId="7242C737">
            <wp:simplePos x="0" y="0"/>
            <wp:positionH relativeFrom="margin">
              <wp:posOffset>-635</wp:posOffset>
            </wp:positionH>
            <wp:positionV relativeFrom="paragraph">
              <wp:posOffset>349250</wp:posOffset>
            </wp:positionV>
            <wp:extent cx="2116455" cy="1010285"/>
            <wp:effectExtent l="0" t="0" r="0" b="0"/>
            <wp:wrapTopAndBottom/>
            <wp:docPr id="1161734689" name="Imagen 11" descr="Digital Real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gital Realty - Wikipedi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16455" cy="10102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C09A66" w14:textId="3DBF57B1" w:rsidR="00A544C5" w:rsidRPr="003B1A0B" w:rsidRDefault="00A544C5" w:rsidP="00A8214E">
      <w:pPr>
        <w:spacing w:after="19"/>
        <w:jc w:val="both"/>
        <w:rPr>
          <w:rFonts w:ascii="Arial" w:hAnsi="Arial" w:cs="Arial"/>
        </w:rPr>
      </w:pPr>
    </w:p>
    <w:p w14:paraId="7EF0193C" w14:textId="7093E9AE" w:rsidR="00A544C5" w:rsidRPr="00A8214E" w:rsidRDefault="00B721B3" w:rsidP="00A8214E">
      <w:pPr>
        <w:spacing w:after="248" w:line="271" w:lineRule="auto"/>
        <w:ind w:right="59"/>
        <w:jc w:val="both"/>
        <w:rPr>
          <w:rFonts w:ascii="Arial" w:hAnsi="Arial" w:cs="Arial"/>
          <w:sz w:val="24"/>
          <w:lang w:val="en-US"/>
        </w:rPr>
      </w:pPr>
      <w:r w:rsidRPr="00A8214E">
        <w:rPr>
          <w:rFonts w:ascii="Arial" w:eastAsia="Arial" w:hAnsi="Arial" w:cs="Arial"/>
          <w:sz w:val="24"/>
          <w:lang w:val="en-US"/>
        </w:rPr>
        <w:t>DLR (Digital Realty Trust, Inc.)</w:t>
      </w:r>
    </w:p>
    <w:p w14:paraId="43D29FFF" w14:textId="4F1237FB" w:rsidR="00B721B3" w:rsidRPr="00A8214E" w:rsidRDefault="00000000" w:rsidP="00A8214E">
      <w:pPr>
        <w:numPr>
          <w:ilvl w:val="0"/>
          <w:numId w:val="4"/>
        </w:numPr>
        <w:spacing w:after="10" w:line="271" w:lineRule="auto"/>
        <w:ind w:right="59" w:hanging="360"/>
        <w:jc w:val="both"/>
        <w:rPr>
          <w:rFonts w:ascii="Arial" w:hAnsi="Arial" w:cs="Arial"/>
          <w:sz w:val="24"/>
        </w:rPr>
      </w:pPr>
      <w:r w:rsidRPr="00A8214E">
        <w:rPr>
          <w:rFonts w:ascii="Arial" w:eastAsia="Arial" w:hAnsi="Arial" w:cs="Arial"/>
          <w:b/>
          <w:sz w:val="24"/>
        </w:rPr>
        <w:t>Descripción:</w:t>
      </w:r>
      <w:r w:rsidRPr="00A8214E">
        <w:rPr>
          <w:rFonts w:ascii="Arial" w:eastAsia="Arial" w:hAnsi="Arial" w:cs="Arial"/>
          <w:sz w:val="24"/>
        </w:rPr>
        <w:t xml:space="preserve"> </w:t>
      </w:r>
      <w:r w:rsidR="00B721B3" w:rsidRPr="00A8214E">
        <w:rPr>
          <w:rFonts w:ascii="Arial" w:eastAsia="Arial" w:hAnsi="Arial" w:cs="Arial"/>
          <w:sz w:val="24"/>
        </w:rPr>
        <w:t>Empresa estructurada como un Real Estate Investment Trust (REIT) dedicada a la propiedad, desarrollo y operación de centros de datos.</w:t>
      </w:r>
    </w:p>
    <w:p w14:paraId="355B9AA1" w14:textId="30C6FC02" w:rsidR="00B721B3" w:rsidRPr="00A8214E" w:rsidRDefault="00000000" w:rsidP="00A8214E">
      <w:pPr>
        <w:numPr>
          <w:ilvl w:val="0"/>
          <w:numId w:val="4"/>
        </w:numPr>
        <w:spacing w:after="10" w:line="271" w:lineRule="auto"/>
        <w:ind w:right="59" w:hanging="360"/>
        <w:jc w:val="both"/>
        <w:rPr>
          <w:rFonts w:ascii="Arial" w:hAnsi="Arial" w:cs="Arial"/>
          <w:sz w:val="24"/>
        </w:rPr>
      </w:pPr>
      <w:r w:rsidRPr="00A8214E">
        <w:rPr>
          <w:rFonts w:ascii="Arial" w:eastAsia="Arial" w:hAnsi="Arial" w:cs="Arial"/>
          <w:b/>
          <w:sz w:val="24"/>
        </w:rPr>
        <w:t>Riesgo y volatilidad:</w:t>
      </w:r>
      <w:r w:rsidRPr="00A8214E">
        <w:rPr>
          <w:rFonts w:ascii="Arial" w:eastAsia="Arial" w:hAnsi="Arial" w:cs="Arial"/>
          <w:sz w:val="24"/>
        </w:rPr>
        <w:t xml:space="preserve"> </w:t>
      </w:r>
      <w:r w:rsidR="00B721B3" w:rsidRPr="00A8214E">
        <w:rPr>
          <w:rFonts w:ascii="Arial" w:eastAsia="Arial" w:hAnsi="Arial" w:cs="Arial"/>
          <w:sz w:val="24"/>
        </w:rPr>
        <w:t>Riesgo moderado-alto debido a la sensibilidad frente a tasas de interés y costos de financiamiento; sin embargo, presenta flujos de ingresos estables y contratos de largo plazo que reducen su volatilidad sectorial.</w:t>
      </w:r>
    </w:p>
    <w:p w14:paraId="1FC972AD" w14:textId="7052A287" w:rsidR="00B721B3" w:rsidRPr="00A8214E" w:rsidRDefault="00000000" w:rsidP="00A8214E">
      <w:pPr>
        <w:numPr>
          <w:ilvl w:val="0"/>
          <w:numId w:val="4"/>
        </w:numPr>
        <w:spacing w:after="10" w:line="271" w:lineRule="auto"/>
        <w:ind w:right="59" w:hanging="360"/>
        <w:jc w:val="both"/>
        <w:rPr>
          <w:rFonts w:ascii="Arial" w:hAnsi="Arial" w:cs="Arial"/>
          <w:sz w:val="24"/>
        </w:rPr>
      </w:pPr>
      <w:r w:rsidRPr="00A8214E">
        <w:rPr>
          <w:rFonts w:ascii="Arial" w:eastAsia="Arial" w:hAnsi="Arial" w:cs="Arial"/>
          <w:b/>
          <w:sz w:val="24"/>
        </w:rPr>
        <w:t>Atractivo:</w:t>
      </w:r>
      <w:r w:rsidRPr="00A8214E">
        <w:rPr>
          <w:rFonts w:ascii="Arial" w:eastAsia="Arial" w:hAnsi="Arial" w:cs="Arial"/>
          <w:sz w:val="24"/>
        </w:rPr>
        <w:t xml:space="preserve"> </w:t>
      </w:r>
      <w:r w:rsidR="00B721B3" w:rsidRPr="00A8214E">
        <w:rPr>
          <w:rFonts w:ascii="Arial" w:eastAsia="Arial" w:hAnsi="Arial" w:cs="Arial"/>
          <w:sz w:val="24"/>
        </w:rPr>
        <w:t>Alta demanda global por capacidad de cómputo e interconexión, crecimiento sostenido en servicios de nube y posicionamiento sólido en infraestructura digital.</w:t>
      </w:r>
    </w:p>
    <w:p w14:paraId="70C8A194" w14:textId="7578A3E1" w:rsidR="00A544C5" w:rsidRPr="00A8214E" w:rsidRDefault="00000000" w:rsidP="00A8214E">
      <w:pPr>
        <w:numPr>
          <w:ilvl w:val="0"/>
          <w:numId w:val="4"/>
        </w:numPr>
        <w:spacing w:after="259" w:line="271" w:lineRule="auto"/>
        <w:ind w:right="59" w:hanging="360"/>
        <w:jc w:val="both"/>
        <w:rPr>
          <w:rFonts w:ascii="Arial" w:hAnsi="Arial" w:cs="Arial"/>
          <w:sz w:val="24"/>
        </w:rPr>
      </w:pPr>
      <w:r w:rsidRPr="00A8214E">
        <w:rPr>
          <w:rFonts w:ascii="Arial" w:eastAsia="Arial" w:hAnsi="Arial" w:cs="Arial"/>
          <w:b/>
          <w:sz w:val="24"/>
        </w:rPr>
        <w:t>Rol en el portafolio:</w:t>
      </w:r>
      <w:r w:rsidRPr="00A8214E">
        <w:rPr>
          <w:rFonts w:ascii="Arial" w:eastAsia="Arial" w:hAnsi="Arial" w:cs="Arial"/>
          <w:sz w:val="24"/>
        </w:rPr>
        <w:t xml:space="preserve"> </w:t>
      </w:r>
      <w:r w:rsidR="00B721B3" w:rsidRPr="00A8214E">
        <w:rPr>
          <w:rFonts w:ascii="Arial" w:eastAsia="Arial" w:hAnsi="Arial" w:cs="Arial"/>
          <w:sz w:val="24"/>
        </w:rPr>
        <w:t>Activo de crecimiento estable que aporta exposición al sector tecnológico-infraestructura con flujo de efectivo recurrente.</w:t>
      </w:r>
    </w:p>
    <w:p w14:paraId="0DFE6392" w14:textId="77777777" w:rsidR="00B721B3" w:rsidRPr="00A8214E" w:rsidRDefault="00B721B3" w:rsidP="00A8214E">
      <w:pPr>
        <w:spacing w:after="259" w:line="271" w:lineRule="auto"/>
        <w:ind w:right="59"/>
        <w:jc w:val="both"/>
        <w:rPr>
          <w:rFonts w:ascii="Arial" w:hAnsi="Arial" w:cs="Arial"/>
          <w:sz w:val="24"/>
        </w:rPr>
      </w:pPr>
    </w:p>
    <w:p w14:paraId="506D3DF0" w14:textId="77777777" w:rsidR="00B721B3" w:rsidRPr="00A8214E" w:rsidRDefault="00B721B3" w:rsidP="00A8214E">
      <w:pPr>
        <w:spacing w:after="259" w:line="271" w:lineRule="auto"/>
        <w:ind w:right="59"/>
        <w:jc w:val="both"/>
        <w:rPr>
          <w:rFonts w:ascii="Arial" w:hAnsi="Arial" w:cs="Arial"/>
          <w:sz w:val="24"/>
        </w:rPr>
      </w:pPr>
    </w:p>
    <w:p w14:paraId="3A03CB05" w14:textId="5FD98BE8" w:rsidR="00B721B3" w:rsidRPr="00A8214E" w:rsidRDefault="00B721B3" w:rsidP="00A8214E">
      <w:pPr>
        <w:spacing w:after="259" w:line="271" w:lineRule="auto"/>
        <w:ind w:right="59"/>
        <w:jc w:val="both"/>
        <w:rPr>
          <w:rFonts w:ascii="Arial" w:hAnsi="Arial" w:cs="Arial"/>
          <w:sz w:val="24"/>
        </w:rPr>
      </w:pPr>
      <w:r w:rsidRPr="00A8214E">
        <w:rPr>
          <w:rFonts w:ascii="Arial" w:hAnsi="Arial" w:cs="Arial"/>
          <w:noProof/>
          <w:sz w:val="24"/>
        </w:rPr>
        <w:drawing>
          <wp:inline distT="0" distB="0" distL="0" distR="0" wp14:anchorId="2643484D" wp14:editId="7AB0F8B9">
            <wp:extent cx="2116667" cy="973578"/>
            <wp:effectExtent l="0" t="0" r="0" b="0"/>
            <wp:docPr id="805788735" name="Imagen 12" descr="Johnson Control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ohnson Controls - Wikipedi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49165" cy="988526"/>
                    </a:xfrm>
                    <a:prstGeom prst="rect">
                      <a:avLst/>
                    </a:prstGeom>
                    <a:noFill/>
                    <a:ln>
                      <a:noFill/>
                    </a:ln>
                  </pic:spPr>
                </pic:pic>
              </a:graphicData>
            </a:graphic>
          </wp:inline>
        </w:drawing>
      </w:r>
    </w:p>
    <w:p w14:paraId="5BEBAB91" w14:textId="5506CB90" w:rsidR="00A544C5" w:rsidRPr="00A8214E" w:rsidRDefault="00B721B3" w:rsidP="00A8214E">
      <w:pPr>
        <w:spacing w:after="248" w:line="271" w:lineRule="auto"/>
        <w:ind w:right="59"/>
        <w:jc w:val="both"/>
        <w:rPr>
          <w:rFonts w:ascii="Arial" w:hAnsi="Arial" w:cs="Arial"/>
          <w:sz w:val="24"/>
          <w:lang w:val="en-US"/>
        </w:rPr>
      </w:pPr>
      <w:r w:rsidRPr="00A8214E">
        <w:rPr>
          <w:rFonts w:ascii="Arial" w:eastAsia="Arial" w:hAnsi="Arial" w:cs="Arial"/>
          <w:sz w:val="24"/>
          <w:lang w:val="en-US"/>
        </w:rPr>
        <w:t>JCI (Johnson Controls International plc)</w:t>
      </w:r>
    </w:p>
    <w:p w14:paraId="7B21BCCD" w14:textId="59D0FA38" w:rsidR="00A544C5" w:rsidRPr="00A8214E" w:rsidRDefault="00000000" w:rsidP="00A8214E">
      <w:pPr>
        <w:numPr>
          <w:ilvl w:val="0"/>
          <w:numId w:val="4"/>
        </w:numPr>
        <w:spacing w:after="10" w:line="271" w:lineRule="auto"/>
        <w:ind w:right="59" w:hanging="360"/>
        <w:jc w:val="both"/>
        <w:rPr>
          <w:rFonts w:ascii="Arial" w:hAnsi="Arial" w:cs="Arial"/>
          <w:sz w:val="24"/>
        </w:rPr>
      </w:pPr>
      <w:r w:rsidRPr="00A8214E">
        <w:rPr>
          <w:rFonts w:ascii="Arial" w:eastAsia="Arial" w:hAnsi="Arial" w:cs="Arial"/>
          <w:b/>
          <w:sz w:val="24"/>
        </w:rPr>
        <w:t>Descripción:</w:t>
      </w:r>
      <w:r w:rsidRPr="00A8214E">
        <w:rPr>
          <w:rFonts w:ascii="Arial" w:eastAsia="Arial" w:hAnsi="Arial" w:cs="Arial"/>
          <w:sz w:val="24"/>
        </w:rPr>
        <w:t xml:space="preserve"> </w:t>
      </w:r>
      <w:r w:rsidR="00B721B3" w:rsidRPr="00A8214E">
        <w:rPr>
          <w:rFonts w:ascii="Arial" w:eastAsia="Arial" w:hAnsi="Arial" w:cs="Arial"/>
          <w:sz w:val="24"/>
        </w:rPr>
        <w:t>Compañía multinacional enfocada en soluciones industriales, automatización de edificios, eficiencia energética y sostenibilidad.</w:t>
      </w:r>
    </w:p>
    <w:p w14:paraId="634FFFB5" w14:textId="77777777" w:rsidR="00B721B3" w:rsidRPr="00A8214E" w:rsidRDefault="00000000" w:rsidP="00A8214E">
      <w:pPr>
        <w:numPr>
          <w:ilvl w:val="0"/>
          <w:numId w:val="4"/>
        </w:numPr>
        <w:spacing w:after="10" w:line="271" w:lineRule="auto"/>
        <w:ind w:right="59" w:hanging="360"/>
        <w:jc w:val="both"/>
        <w:rPr>
          <w:rFonts w:ascii="Arial" w:hAnsi="Arial" w:cs="Arial"/>
          <w:sz w:val="24"/>
        </w:rPr>
      </w:pPr>
      <w:r w:rsidRPr="00A8214E">
        <w:rPr>
          <w:rFonts w:ascii="Arial" w:eastAsia="Arial" w:hAnsi="Arial" w:cs="Arial"/>
          <w:b/>
          <w:sz w:val="24"/>
        </w:rPr>
        <w:t>Riesgo y volatilidad:</w:t>
      </w:r>
      <w:r w:rsidRPr="00A8214E">
        <w:rPr>
          <w:rFonts w:ascii="Arial" w:eastAsia="Arial" w:hAnsi="Arial" w:cs="Arial"/>
          <w:sz w:val="24"/>
        </w:rPr>
        <w:t xml:space="preserve"> </w:t>
      </w:r>
      <w:r w:rsidR="00B721B3" w:rsidRPr="00A8214E">
        <w:rPr>
          <w:rFonts w:ascii="Arial" w:eastAsia="Arial" w:hAnsi="Arial" w:cs="Arial"/>
          <w:sz w:val="24"/>
        </w:rPr>
        <w:t>Riesgo medio, asociado a los ciclos industriales y al gasto en construcción. Su diversificación global y su enfoque en eficiencia energética amortiguan parte de la volatilidad sectorial.</w:t>
      </w:r>
    </w:p>
    <w:p w14:paraId="1CCA66A6" w14:textId="57BAD136" w:rsidR="00B721B3" w:rsidRPr="00A8214E" w:rsidRDefault="00000000" w:rsidP="00A8214E">
      <w:pPr>
        <w:numPr>
          <w:ilvl w:val="0"/>
          <w:numId w:val="4"/>
        </w:numPr>
        <w:spacing w:after="10" w:line="271" w:lineRule="auto"/>
        <w:ind w:right="59" w:hanging="360"/>
        <w:jc w:val="both"/>
        <w:rPr>
          <w:rFonts w:ascii="Arial" w:hAnsi="Arial" w:cs="Arial"/>
          <w:sz w:val="24"/>
        </w:rPr>
      </w:pPr>
      <w:r w:rsidRPr="00A8214E">
        <w:rPr>
          <w:rFonts w:ascii="Arial" w:eastAsia="Arial" w:hAnsi="Arial" w:cs="Arial"/>
          <w:b/>
          <w:sz w:val="24"/>
        </w:rPr>
        <w:t>Atractivo:</w:t>
      </w:r>
      <w:r w:rsidRPr="00A8214E">
        <w:rPr>
          <w:rFonts w:ascii="Arial" w:eastAsia="Arial" w:hAnsi="Arial" w:cs="Arial"/>
          <w:sz w:val="24"/>
        </w:rPr>
        <w:t xml:space="preserve"> </w:t>
      </w:r>
      <w:r w:rsidR="00B721B3" w:rsidRPr="00A8214E">
        <w:rPr>
          <w:rFonts w:ascii="Arial" w:eastAsia="Arial" w:hAnsi="Arial" w:cs="Arial"/>
          <w:sz w:val="24"/>
        </w:rPr>
        <w:t>Beneficiada por la tendencia hacia edificios inteligentes y energías limpias; flujo de ingresos diversificado y sólida posición financiera.</w:t>
      </w:r>
    </w:p>
    <w:p w14:paraId="50DD7610" w14:textId="72CEAE91" w:rsidR="00A544C5" w:rsidRPr="00A8214E" w:rsidRDefault="00000000" w:rsidP="00A8214E">
      <w:pPr>
        <w:numPr>
          <w:ilvl w:val="0"/>
          <w:numId w:val="4"/>
        </w:numPr>
        <w:spacing w:after="226" w:line="271" w:lineRule="auto"/>
        <w:ind w:right="59" w:hanging="360"/>
        <w:jc w:val="both"/>
        <w:rPr>
          <w:rFonts w:ascii="Arial" w:hAnsi="Arial" w:cs="Arial"/>
          <w:sz w:val="24"/>
        </w:rPr>
      </w:pPr>
      <w:r w:rsidRPr="00A8214E">
        <w:rPr>
          <w:rFonts w:ascii="Arial" w:eastAsia="Arial" w:hAnsi="Arial" w:cs="Arial"/>
          <w:b/>
          <w:sz w:val="24"/>
        </w:rPr>
        <w:t>Rol en el portafolio:</w:t>
      </w:r>
      <w:r w:rsidRPr="00A8214E">
        <w:rPr>
          <w:rFonts w:ascii="Arial" w:eastAsia="Arial" w:hAnsi="Arial" w:cs="Arial"/>
          <w:sz w:val="24"/>
        </w:rPr>
        <w:t xml:space="preserve"> </w:t>
      </w:r>
      <w:r w:rsidR="00B721B3" w:rsidRPr="00A8214E">
        <w:rPr>
          <w:rFonts w:ascii="Arial" w:eastAsia="Arial" w:hAnsi="Arial" w:cs="Arial"/>
          <w:sz w:val="24"/>
        </w:rPr>
        <w:t>Componente cíclico que aporta diversificación industrial y exposición a proyectos sostenibles y de infraestructura</w:t>
      </w:r>
    </w:p>
    <w:p w14:paraId="5B071F00" w14:textId="3033EFB1" w:rsidR="00A544C5" w:rsidRPr="00A8214E" w:rsidRDefault="00AB233C" w:rsidP="00A8214E">
      <w:pPr>
        <w:spacing w:after="258"/>
        <w:jc w:val="both"/>
        <w:rPr>
          <w:rFonts w:ascii="Arial" w:hAnsi="Arial" w:cs="Arial"/>
          <w:sz w:val="24"/>
        </w:rPr>
      </w:pPr>
      <w:r w:rsidRPr="00A8214E">
        <w:rPr>
          <w:rFonts w:ascii="Arial" w:hAnsi="Arial" w:cs="Arial"/>
          <w:noProof/>
          <w:sz w:val="24"/>
        </w:rPr>
        <w:lastRenderedPageBreak/>
        <w:drawing>
          <wp:inline distT="0" distB="0" distL="0" distR="0" wp14:anchorId="2B51C0B6" wp14:editId="197E290F">
            <wp:extent cx="1952625" cy="1249680"/>
            <wp:effectExtent l="0" t="0" r="0" b="0"/>
            <wp:docPr id="1118174831" name="Imagen 13" descr="PFE Stock Price $24.77 | Pfizer Inc. Live Quote | Mey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FE Stock Price $24.77 | Pfizer Inc. Live Quote | Meyka"/>
                    <pic:cNvPicPr>
                      <a:picLocks noChangeAspect="1" noChangeArrowheads="1"/>
                    </pic:cNvPicPr>
                  </pic:nvPicPr>
                  <pic:blipFill rotWithShape="1">
                    <a:blip r:embed="rId8">
                      <a:extLst>
                        <a:ext uri="{28A0092B-C50C-407E-A947-70E740481C1C}">
                          <a14:useLocalDpi xmlns:a14="http://schemas.microsoft.com/office/drawing/2010/main" val="0"/>
                        </a:ext>
                      </a:extLst>
                    </a:blip>
                    <a:srcRect t="17561" b="18439"/>
                    <a:stretch>
                      <a:fillRect/>
                    </a:stretch>
                  </pic:blipFill>
                  <pic:spPr bwMode="auto">
                    <a:xfrm>
                      <a:off x="0" y="0"/>
                      <a:ext cx="1952625" cy="1249680"/>
                    </a:xfrm>
                    <a:prstGeom prst="rect">
                      <a:avLst/>
                    </a:prstGeom>
                    <a:noFill/>
                    <a:ln>
                      <a:noFill/>
                    </a:ln>
                    <a:extLst>
                      <a:ext uri="{53640926-AAD7-44D8-BBD7-CCE9431645EC}">
                        <a14:shadowObscured xmlns:a14="http://schemas.microsoft.com/office/drawing/2010/main"/>
                      </a:ext>
                    </a:extLst>
                  </pic:spPr>
                </pic:pic>
              </a:graphicData>
            </a:graphic>
          </wp:inline>
        </w:drawing>
      </w:r>
    </w:p>
    <w:p w14:paraId="3B3D1F03" w14:textId="50ECE9B4" w:rsidR="00A544C5" w:rsidRPr="00A8214E" w:rsidRDefault="00D2481E" w:rsidP="00A8214E">
      <w:pPr>
        <w:spacing w:after="269" w:line="268" w:lineRule="auto"/>
        <w:ind w:left="10" w:right="210" w:hanging="10"/>
        <w:jc w:val="both"/>
        <w:rPr>
          <w:rFonts w:ascii="Arial" w:hAnsi="Arial" w:cs="Arial"/>
          <w:sz w:val="24"/>
        </w:rPr>
      </w:pPr>
      <w:r w:rsidRPr="00A8214E">
        <w:rPr>
          <w:rFonts w:ascii="Arial" w:eastAsia="Arial" w:hAnsi="Arial" w:cs="Arial"/>
          <w:sz w:val="24"/>
        </w:rPr>
        <w:t>PFE (Pfizer Inc.)</w:t>
      </w:r>
    </w:p>
    <w:p w14:paraId="32DB9207" w14:textId="537F2401" w:rsidR="00A544C5" w:rsidRPr="00A8214E" w:rsidRDefault="00000000" w:rsidP="00A8214E">
      <w:pPr>
        <w:numPr>
          <w:ilvl w:val="0"/>
          <w:numId w:val="4"/>
        </w:numPr>
        <w:spacing w:after="10" w:line="271" w:lineRule="auto"/>
        <w:ind w:right="59" w:hanging="360"/>
        <w:jc w:val="both"/>
        <w:rPr>
          <w:rFonts w:ascii="Arial" w:hAnsi="Arial" w:cs="Arial"/>
          <w:sz w:val="24"/>
        </w:rPr>
      </w:pPr>
      <w:r w:rsidRPr="00A8214E">
        <w:rPr>
          <w:rFonts w:ascii="Arial" w:eastAsia="Arial" w:hAnsi="Arial" w:cs="Arial"/>
          <w:b/>
          <w:sz w:val="24"/>
        </w:rPr>
        <w:t>Descripción:</w:t>
      </w:r>
      <w:r w:rsidRPr="00A8214E">
        <w:rPr>
          <w:rFonts w:ascii="Arial" w:eastAsia="Arial" w:hAnsi="Arial" w:cs="Arial"/>
          <w:sz w:val="24"/>
        </w:rPr>
        <w:t xml:space="preserve"> </w:t>
      </w:r>
      <w:r w:rsidR="00D2481E" w:rsidRPr="00A8214E">
        <w:rPr>
          <w:rFonts w:ascii="Arial" w:eastAsia="Arial" w:hAnsi="Arial" w:cs="Arial"/>
          <w:sz w:val="24"/>
        </w:rPr>
        <w:t>Empresa farmacéutica multinacional dedicada a la investigación, desarrollo y comercialización de medicamentos, vacunas y tratamientos biotecnológicos. Reconocida por su innovación en biomedicina y liderazgo global en el sector salud.</w:t>
      </w:r>
    </w:p>
    <w:p w14:paraId="2C7DEB83" w14:textId="4F9517E0" w:rsidR="00A544C5" w:rsidRPr="00A8214E" w:rsidRDefault="00000000" w:rsidP="00A8214E">
      <w:pPr>
        <w:numPr>
          <w:ilvl w:val="0"/>
          <w:numId w:val="4"/>
        </w:numPr>
        <w:spacing w:after="10" w:line="271" w:lineRule="auto"/>
        <w:ind w:right="59" w:hanging="360"/>
        <w:jc w:val="both"/>
        <w:rPr>
          <w:rFonts w:ascii="Arial" w:hAnsi="Arial" w:cs="Arial"/>
          <w:sz w:val="24"/>
        </w:rPr>
      </w:pPr>
      <w:r w:rsidRPr="00A8214E">
        <w:rPr>
          <w:rFonts w:ascii="Arial" w:eastAsia="Arial" w:hAnsi="Arial" w:cs="Arial"/>
          <w:b/>
          <w:sz w:val="24"/>
        </w:rPr>
        <w:t>Riesgo y volatilidad:</w:t>
      </w:r>
      <w:r w:rsidRPr="00A8214E">
        <w:rPr>
          <w:rFonts w:ascii="Arial" w:eastAsia="Arial" w:hAnsi="Arial" w:cs="Arial"/>
          <w:sz w:val="24"/>
        </w:rPr>
        <w:t xml:space="preserve"> </w:t>
      </w:r>
      <w:r w:rsidR="00D2481E" w:rsidRPr="00A8214E">
        <w:rPr>
          <w:rFonts w:ascii="Arial" w:eastAsia="Arial" w:hAnsi="Arial" w:cs="Arial"/>
          <w:sz w:val="24"/>
        </w:rPr>
        <w:t>Riesgo moderado; aunque sensible a regulaciones y patentes, mantiene volatilidad inferior al promedio del mercado.</w:t>
      </w:r>
    </w:p>
    <w:p w14:paraId="75C0D9AD" w14:textId="773FAC53" w:rsidR="00A544C5" w:rsidRPr="00A8214E" w:rsidRDefault="00000000" w:rsidP="00A8214E">
      <w:pPr>
        <w:numPr>
          <w:ilvl w:val="0"/>
          <w:numId w:val="4"/>
        </w:numPr>
        <w:spacing w:after="10" w:line="271" w:lineRule="auto"/>
        <w:ind w:right="59" w:hanging="360"/>
        <w:jc w:val="both"/>
        <w:rPr>
          <w:rFonts w:ascii="Arial" w:hAnsi="Arial" w:cs="Arial"/>
          <w:sz w:val="24"/>
        </w:rPr>
      </w:pPr>
      <w:r w:rsidRPr="00A8214E">
        <w:rPr>
          <w:rFonts w:ascii="Arial" w:eastAsia="Arial" w:hAnsi="Arial" w:cs="Arial"/>
          <w:b/>
          <w:sz w:val="24"/>
        </w:rPr>
        <w:t>Atractivo:</w:t>
      </w:r>
      <w:r w:rsidRPr="00A8214E">
        <w:rPr>
          <w:rFonts w:ascii="Arial" w:eastAsia="Arial" w:hAnsi="Arial" w:cs="Arial"/>
          <w:sz w:val="24"/>
        </w:rPr>
        <w:t xml:space="preserve"> </w:t>
      </w:r>
      <w:r w:rsidR="00AB233C" w:rsidRPr="00A8214E">
        <w:rPr>
          <w:rFonts w:ascii="Arial" w:eastAsia="Arial" w:hAnsi="Arial" w:cs="Arial"/>
          <w:sz w:val="24"/>
        </w:rPr>
        <w:t>Amplio portafolio de productos, flujo de caja constante, inversión en I+D y capacidad de respuesta ante demandas globales.</w:t>
      </w:r>
    </w:p>
    <w:p w14:paraId="026BC0EE" w14:textId="25C1BA3A" w:rsidR="00A544C5" w:rsidRPr="00A8214E" w:rsidRDefault="00000000" w:rsidP="00A8214E">
      <w:pPr>
        <w:numPr>
          <w:ilvl w:val="0"/>
          <w:numId w:val="4"/>
        </w:numPr>
        <w:spacing w:after="248" w:line="271" w:lineRule="auto"/>
        <w:ind w:right="59" w:hanging="360"/>
        <w:jc w:val="both"/>
        <w:rPr>
          <w:rFonts w:ascii="Arial" w:hAnsi="Arial" w:cs="Arial"/>
          <w:sz w:val="24"/>
        </w:rPr>
      </w:pPr>
      <w:r w:rsidRPr="00A8214E">
        <w:rPr>
          <w:rFonts w:ascii="Arial" w:eastAsia="Arial" w:hAnsi="Arial" w:cs="Arial"/>
          <w:b/>
          <w:sz w:val="24"/>
        </w:rPr>
        <w:t>Rol en el portafolio:</w:t>
      </w:r>
      <w:r w:rsidRPr="00A8214E">
        <w:rPr>
          <w:rFonts w:ascii="Arial" w:eastAsia="Arial" w:hAnsi="Arial" w:cs="Arial"/>
          <w:sz w:val="24"/>
        </w:rPr>
        <w:t xml:space="preserve"> </w:t>
      </w:r>
      <w:r w:rsidR="00AB233C" w:rsidRPr="00A8214E">
        <w:rPr>
          <w:rFonts w:ascii="Arial" w:eastAsia="Arial" w:hAnsi="Arial" w:cs="Arial"/>
          <w:sz w:val="24"/>
        </w:rPr>
        <w:t>Activo defensivo dentro del sector salud, aporta estabilidad y bajo riesgo sistemático con potencial de crecimiento moderado.</w:t>
      </w:r>
    </w:p>
    <w:p w14:paraId="7AD52055" w14:textId="14121259" w:rsidR="00A544C5" w:rsidRPr="00A8214E" w:rsidRDefault="00A544C5" w:rsidP="00A8214E">
      <w:pPr>
        <w:spacing w:after="19"/>
        <w:jc w:val="both"/>
        <w:rPr>
          <w:rFonts w:ascii="Arial" w:hAnsi="Arial" w:cs="Arial"/>
          <w:sz w:val="24"/>
        </w:rPr>
      </w:pPr>
    </w:p>
    <w:p w14:paraId="5D464DB9" w14:textId="14569A8E" w:rsidR="00A544C5" w:rsidRPr="00A8214E" w:rsidRDefault="00A544C5" w:rsidP="00A8214E">
      <w:pPr>
        <w:spacing w:after="259"/>
        <w:jc w:val="both"/>
        <w:rPr>
          <w:rFonts w:ascii="Arial" w:eastAsia="Arial" w:hAnsi="Arial" w:cs="Arial"/>
          <w:sz w:val="24"/>
        </w:rPr>
      </w:pPr>
    </w:p>
    <w:p w14:paraId="1442C426" w14:textId="77777777" w:rsidR="003B1A0B" w:rsidRPr="00A8214E" w:rsidRDefault="003B1A0B" w:rsidP="00A8214E">
      <w:pPr>
        <w:spacing w:after="259"/>
        <w:jc w:val="both"/>
        <w:rPr>
          <w:rFonts w:ascii="Arial" w:eastAsia="Arial" w:hAnsi="Arial" w:cs="Arial"/>
          <w:sz w:val="24"/>
        </w:rPr>
      </w:pPr>
    </w:p>
    <w:p w14:paraId="6943DBB6" w14:textId="17F9D142" w:rsidR="00A544C5" w:rsidRPr="00A8214E" w:rsidRDefault="003B1A0B" w:rsidP="00A8214E">
      <w:pPr>
        <w:spacing w:after="259"/>
        <w:jc w:val="both"/>
        <w:rPr>
          <w:rFonts w:ascii="Arial" w:hAnsi="Arial" w:cs="Arial"/>
          <w:sz w:val="24"/>
        </w:rPr>
      </w:pPr>
      <w:r w:rsidRPr="00A8214E">
        <w:rPr>
          <w:rFonts w:ascii="Arial" w:hAnsi="Arial" w:cs="Arial"/>
          <w:noProof/>
          <w:sz w:val="24"/>
        </w:rPr>
        <w:drawing>
          <wp:inline distT="0" distB="0" distL="0" distR="0" wp14:anchorId="7A90504F" wp14:editId="2F9AB6AC">
            <wp:extent cx="2576787" cy="929640"/>
            <wp:effectExtent l="0" t="0" r="0" b="0"/>
            <wp:docPr id="1075229617" name="Imagen 15" descr="Costco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stco - Wikipedia, la enciclopedia lib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84591" cy="932455"/>
                    </a:xfrm>
                    <a:prstGeom prst="rect">
                      <a:avLst/>
                    </a:prstGeom>
                    <a:noFill/>
                    <a:ln>
                      <a:noFill/>
                    </a:ln>
                  </pic:spPr>
                </pic:pic>
              </a:graphicData>
            </a:graphic>
          </wp:inline>
        </w:drawing>
      </w:r>
    </w:p>
    <w:p w14:paraId="40257946" w14:textId="5BDE153D" w:rsidR="003B1A0B" w:rsidRPr="00A8214E" w:rsidRDefault="003B1A0B" w:rsidP="00A8214E">
      <w:pPr>
        <w:spacing w:after="269" w:line="268" w:lineRule="auto"/>
        <w:ind w:left="10" w:right="210" w:hanging="10"/>
        <w:jc w:val="both"/>
        <w:rPr>
          <w:rFonts w:ascii="Arial" w:hAnsi="Arial" w:cs="Arial"/>
          <w:sz w:val="24"/>
        </w:rPr>
      </w:pPr>
      <w:r w:rsidRPr="00A8214E">
        <w:rPr>
          <w:rFonts w:ascii="Arial" w:eastAsia="Arial" w:hAnsi="Arial" w:cs="Arial"/>
          <w:sz w:val="24"/>
        </w:rPr>
        <w:t>COST (Costco Wholesale Corporation)</w:t>
      </w:r>
    </w:p>
    <w:p w14:paraId="5153656D" w14:textId="77777777" w:rsidR="003B1A0B" w:rsidRPr="00A8214E" w:rsidRDefault="003B1A0B" w:rsidP="00A8214E">
      <w:pPr>
        <w:numPr>
          <w:ilvl w:val="0"/>
          <w:numId w:val="4"/>
        </w:numPr>
        <w:spacing w:after="10" w:line="271" w:lineRule="auto"/>
        <w:ind w:right="59" w:hanging="360"/>
        <w:jc w:val="both"/>
        <w:rPr>
          <w:rFonts w:ascii="Arial" w:hAnsi="Arial" w:cs="Arial"/>
          <w:sz w:val="24"/>
        </w:rPr>
      </w:pPr>
      <w:r w:rsidRPr="00A8214E">
        <w:rPr>
          <w:rFonts w:ascii="Arial" w:eastAsia="Arial" w:hAnsi="Arial" w:cs="Arial"/>
          <w:b/>
          <w:sz w:val="24"/>
        </w:rPr>
        <w:t>Descripción:</w:t>
      </w:r>
      <w:r w:rsidRPr="00A8214E">
        <w:rPr>
          <w:rFonts w:ascii="Arial" w:eastAsia="Arial" w:hAnsi="Arial" w:cs="Arial"/>
          <w:sz w:val="24"/>
        </w:rPr>
        <w:t xml:space="preserve"> Compañía líder en retail y consumo básico, con un modelo de membresías que asegura ingresos recurrentes. Opera más de 800 tiendas globales con alta eficiencia logística y control de costos.</w:t>
      </w:r>
    </w:p>
    <w:p w14:paraId="40A28D66" w14:textId="77777777" w:rsidR="003B1A0B" w:rsidRPr="00A8214E" w:rsidRDefault="003B1A0B" w:rsidP="00A8214E">
      <w:pPr>
        <w:numPr>
          <w:ilvl w:val="0"/>
          <w:numId w:val="4"/>
        </w:numPr>
        <w:spacing w:after="10" w:line="271" w:lineRule="auto"/>
        <w:ind w:right="59" w:hanging="360"/>
        <w:jc w:val="both"/>
        <w:rPr>
          <w:rFonts w:ascii="Arial" w:hAnsi="Arial" w:cs="Arial"/>
          <w:sz w:val="24"/>
        </w:rPr>
      </w:pPr>
      <w:r w:rsidRPr="00A8214E">
        <w:rPr>
          <w:rFonts w:ascii="Arial" w:eastAsia="Arial" w:hAnsi="Arial" w:cs="Arial"/>
          <w:b/>
          <w:sz w:val="24"/>
        </w:rPr>
        <w:t>Riesgo y volatilidad:</w:t>
      </w:r>
      <w:r w:rsidRPr="00A8214E">
        <w:rPr>
          <w:rFonts w:ascii="Arial" w:eastAsia="Arial" w:hAnsi="Arial" w:cs="Arial"/>
          <w:sz w:val="24"/>
        </w:rPr>
        <w:t xml:space="preserve"> Riesgo bajo; su modelo de suscripción genera ingresos estables incluso en periodos de desaceleración económica. Presenta menor volatilidad que el promedio del mercado.</w:t>
      </w:r>
    </w:p>
    <w:p w14:paraId="342EC85C" w14:textId="77777777" w:rsidR="003B1A0B" w:rsidRPr="00A8214E" w:rsidRDefault="003B1A0B" w:rsidP="00A8214E">
      <w:pPr>
        <w:numPr>
          <w:ilvl w:val="0"/>
          <w:numId w:val="4"/>
        </w:numPr>
        <w:spacing w:after="10" w:line="271" w:lineRule="auto"/>
        <w:ind w:right="59" w:hanging="360"/>
        <w:jc w:val="both"/>
        <w:rPr>
          <w:rFonts w:ascii="Arial" w:hAnsi="Arial" w:cs="Arial"/>
          <w:sz w:val="24"/>
        </w:rPr>
      </w:pPr>
      <w:r w:rsidRPr="00A8214E">
        <w:rPr>
          <w:rFonts w:ascii="Arial" w:eastAsia="Arial" w:hAnsi="Arial" w:cs="Arial"/>
          <w:b/>
          <w:sz w:val="24"/>
        </w:rPr>
        <w:t>Atractivo:</w:t>
      </w:r>
      <w:r w:rsidRPr="00A8214E">
        <w:rPr>
          <w:rFonts w:ascii="Arial" w:eastAsia="Arial" w:hAnsi="Arial" w:cs="Arial"/>
          <w:sz w:val="24"/>
        </w:rPr>
        <w:t xml:space="preserve"> Alta lealtad de clientes, expansión internacional y márgenes consistentes. Mantiene excelente reputación crediticia y sólida generación de flujo de caja.</w:t>
      </w:r>
    </w:p>
    <w:p w14:paraId="3CAFD259" w14:textId="60895F7A" w:rsidR="003B1A0B" w:rsidRPr="00A8214E" w:rsidRDefault="003B1A0B" w:rsidP="00A8214E">
      <w:pPr>
        <w:numPr>
          <w:ilvl w:val="0"/>
          <w:numId w:val="4"/>
        </w:numPr>
        <w:spacing w:after="1" w:line="271" w:lineRule="auto"/>
        <w:ind w:right="59" w:hanging="360"/>
        <w:jc w:val="both"/>
        <w:rPr>
          <w:rFonts w:ascii="Arial" w:eastAsia="Arial" w:hAnsi="Arial" w:cs="Arial"/>
          <w:sz w:val="24"/>
        </w:rPr>
      </w:pPr>
      <w:r w:rsidRPr="00A8214E">
        <w:rPr>
          <w:rFonts w:ascii="Arial" w:eastAsia="Arial" w:hAnsi="Arial" w:cs="Arial"/>
          <w:b/>
          <w:sz w:val="24"/>
        </w:rPr>
        <w:t>Rol en el portafolio:</w:t>
      </w:r>
      <w:r w:rsidRPr="00A8214E">
        <w:rPr>
          <w:rFonts w:ascii="Arial" w:eastAsia="Arial" w:hAnsi="Arial" w:cs="Arial"/>
          <w:sz w:val="24"/>
        </w:rPr>
        <w:t xml:space="preserve"> Pilar defensivo que reduce la varianza global y otorga estabilidad a largo plazo.</w:t>
      </w:r>
    </w:p>
    <w:p w14:paraId="2D8ADE38" w14:textId="77777777" w:rsidR="003B1A0B" w:rsidRPr="00A8214E" w:rsidRDefault="003B1A0B" w:rsidP="00A8214E">
      <w:pPr>
        <w:spacing w:after="1"/>
        <w:jc w:val="both"/>
        <w:rPr>
          <w:rFonts w:ascii="Arial" w:hAnsi="Arial" w:cs="Arial"/>
          <w:sz w:val="24"/>
        </w:rPr>
      </w:pPr>
    </w:p>
    <w:p w14:paraId="5F704E3F" w14:textId="60E7F559" w:rsidR="003B1A0B" w:rsidRPr="00A8214E" w:rsidRDefault="003B1A0B" w:rsidP="00A8214E">
      <w:pPr>
        <w:spacing w:after="269" w:line="268" w:lineRule="auto"/>
        <w:ind w:left="10" w:right="210" w:hanging="10"/>
        <w:jc w:val="both"/>
        <w:rPr>
          <w:rFonts w:ascii="Arial" w:eastAsia="Arial" w:hAnsi="Arial" w:cs="Arial"/>
          <w:sz w:val="24"/>
          <w:lang w:val="en-US"/>
        </w:rPr>
      </w:pPr>
      <w:r w:rsidRPr="00A8214E">
        <w:rPr>
          <w:rFonts w:ascii="Arial" w:hAnsi="Arial" w:cs="Arial"/>
          <w:noProof/>
          <w:sz w:val="24"/>
        </w:rPr>
        <w:lastRenderedPageBreak/>
        <w:drawing>
          <wp:inline distT="0" distB="0" distL="0" distR="0" wp14:anchorId="128BA445" wp14:editId="33669278">
            <wp:extent cx="2468764" cy="1188720"/>
            <wp:effectExtent l="0" t="0" r="8255" b="0"/>
            <wp:docPr id="392395934" name="Imagen 16" descr="JPMorgan Chase &amp; Co (JPM) Stock Price, Trades &amp; News | GuruFoc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JPMorgan Chase &amp; Co (JPM) Stock Price, Trades &amp; News | GuruFocus"/>
                    <pic:cNvPicPr>
                      <a:picLocks noChangeAspect="1" noChangeArrowheads="1"/>
                    </pic:cNvPicPr>
                  </pic:nvPicPr>
                  <pic:blipFill rotWithShape="1">
                    <a:blip r:embed="rId10">
                      <a:extLst>
                        <a:ext uri="{28A0092B-C50C-407E-A947-70E740481C1C}">
                          <a14:useLocalDpi xmlns:a14="http://schemas.microsoft.com/office/drawing/2010/main" val="0"/>
                        </a:ext>
                      </a:extLst>
                    </a:blip>
                    <a:srcRect b="14246"/>
                    <a:stretch>
                      <a:fillRect/>
                    </a:stretch>
                  </pic:blipFill>
                  <pic:spPr bwMode="auto">
                    <a:xfrm>
                      <a:off x="0" y="0"/>
                      <a:ext cx="2468764" cy="1188720"/>
                    </a:xfrm>
                    <a:prstGeom prst="rect">
                      <a:avLst/>
                    </a:prstGeom>
                    <a:noFill/>
                    <a:ln>
                      <a:noFill/>
                    </a:ln>
                    <a:extLst>
                      <a:ext uri="{53640926-AAD7-44D8-BBD7-CCE9431645EC}">
                        <a14:shadowObscured xmlns:a14="http://schemas.microsoft.com/office/drawing/2010/main"/>
                      </a:ext>
                    </a:extLst>
                  </pic:spPr>
                </pic:pic>
              </a:graphicData>
            </a:graphic>
          </wp:inline>
        </w:drawing>
      </w:r>
    </w:p>
    <w:p w14:paraId="4FE8E990" w14:textId="248A0F0E" w:rsidR="003B1A0B" w:rsidRPr="00A8214E" w:rsidRDefault="003B1A0B" w:rsidP="00A8214E">
      <w:pPr>
        <w:spacing w:after="269" w:line="268" w:lineRule="auto"/>
        <w:ind w:left="10" w:right="210" w:hanging="10"/>
        <w:jc w:val="both"/>
        <w:rPr>
          <w:rFonts w:ascii="Arial" w:hAnsi="Arial" w:cs="Arial"/>
          <w:sz w:val="24"/>
          <w:lang w:val="en-US"/>
        </w:rPr>
      </w:pPr>
      <w:r w:rsidRPr="00A8214E">
        <w:rPr>
          <w:rFonts w:ascii="Arial" w:eastAsia="Arial" w:hAnsi="Arial" w:cs="Arial"/>
          <w:sz w:val="24"/>
          <w:lang w:val="en-US"/>
        </w:rPr>
        <w:t>JPM (JPMorgan Chase &amp; Co.)</w:t>
      </w:r>
    </w:p>
    <w:p w14:paraId="31D3A318" w14:textId="77777777" w:rsidR="003B1A0B" w:rsidRPr="00A8214E" w:rsidRDefault="003B1A0B" w:rsidP="00A8214E">
      <w:pPr>
        <w:numPr>
          <w:ilvl w:val="0"/>
          <w:numId w:val="4"/>
        </w:numPr>
        <w:spacing w:after="10" w:line="271" w:lineRule="auto"/>
        <w:ind w:right="59" w:hanging="360"/>
        <w:jc w:val="both"/>
        <w:rPr>
          <w:rFonts w:ascii="Arial" w:hAnsi="Arial" w:cs="Arial"/>
          <w:sz w:val="24"/>
        </w:rPr>
      </w:pPr>
      <w:r w:rsidRPr="00A8214E">
        <w:rPr>
          <w:rFonts w:ascii="Arial" w:eastAsia="Arial" w:hAnsi="Arial" w:cs="Arial"/>
          <w:b/>
          <w:sz w:val="24"/>
        </w:rPr>
        <w:t>Descripción:</w:t>
      </w:r>
      <w:r w:rsidRPr="00A8214E">
        <w:rPr>
          <w:rFonts w:ascii="Arial" w:eastAsia="Arial" w:hAnsi="Arial" w:cs="Arial"/>
          <w:sz w:val="24"/>
        </w:rPr>
        <w:t xml:space="preserve"> Principal institución financiera de Estados Unidos, con operaciones en banca comercial, inversión, gestión de activos y tesorería corporativa. Referente global de estabilidad y escala operativa.</w:t>
      </w:r>
    </w:p>
    <w:p w14:paraId="1EBACF17" w14:textId="6A11A3DB" w:rsidR="003B1A0B" w:rsidRPr="00A8214E" w:rsidRDefault="003B1A0B" w:rsidP="00A8214E">
      <w:pPr>
        <w:numPr>
          <w:ilvl w:val="0"/>
          <w:numId w:val="4"/>
        </w:numPr>
        <w:spacing w:after="10" w:line="271" w:lineRule="auto"/>
        <w:ind w:right="59" w:hanging="360"/>
        <w:jc w:val="both"/>
        <w:rPr>
          <w:rFonts w:ascii="Arial" w:hAnsi="Arial" w:cs="Arial"/>
          <w:sz w:val="24"/>
        </w:rPr>
      </w:pPr>
      <w:r w:rsidRPr="00A8214E">
        <w:rPr>
          <w:rFonts w:ascii="Arial" w:eastAsia="Arial" w:hAnsi="Arial" w:cs="Arial"/>
          <w:b/>
          <w:sz w:val="24"/>
        </w:rPr>
        <w:t>Riesgo y volatilidad:</w:t>
      </w:r>
      <w:r w:rsidRPr="00A8214E">
        <w:rPr>
          <w:rFonts w:ascii="Arial" w:eastAsia="Arial" w:hAnsi="Arial" w:cs="Arial"/>
          <w:sz w:val="24"/>
        </w:rPr>
        <w:t xml:space="preserve"> Riesgo medio-alto, influenciado por el ciclo económico, tasas de interés y política monetaria. Su amplia diversificación y fortaleza de capital mitigan riesgos de crédito y liquidez.</w:t>
      </w:r>
    </w:p>
    <w:p w14:paraId="7FA756F4" w14:textId="2BB6C40C" w:rsidR="003B1A0B" w:rsidRPr="00A8214E" w:rsidRDefault="003B1A0B" w:rsidP="00A8214E">
      <w:pPr>
        <w:numPr>
          <w:ilvl w:val="0"/>
          <w:numId w:val="4"/>
        </w:numPr>
        <w:spacing w:after="10" w:line="271" w:lineRule="auto"/>
        <w:ind w:right="59" w:hanging="360"/>
        <w:jc w:val="both"/>
        <w:rPr>
          <w:rFonts w:ascii="Arial" w:hAnsi="Arial" w:cs="Arial"/>
          <w:sz w:val="24"/>
        </w:rPr>
      </w:pPr>
      <w:r w:rsidRPr="00A8214E">
        <w:rPr>
          <w:rFonts w:ascii="Arial" w:eastAsia="Arial" w:hAnsi="Arial" w:cs="Arial"/>
          <w:b/>
          <w:sz w:val="24"/>
        </w:rPr>
        <w:t>Atractivo:</w:t>
      </w:r>
      <w:r w:rsidRPr="00A8214E">
        <w:rPr>
          <w:rFonts w:ascii="Arial" w:eastAsia="Arial" w:hAnsi="Arial" w:cs="Arial"/>
          <w:sz w:val="24"/>
        </w:rPr>
        <w:t xml:space="preserve"> Genera altos beneficios en entornos de tasas elevadas, con fuerte innovación digital y liderazgo en el sector financiero global.</w:t>
      </w:r>
    </w:p>
    <w:p w14:paraId="7A945EFC" w14:textId="46666D7F" w:rsidR="003B1A0B" w:rsidRPr="00A8214E" w:rsidRDefault="003B1A0B" w:rsidP="00A8214E">
      <w:pPr>
        <w:numPr>
          <w:ilvl w:val="0"/>
          <w:numId w:val="4"/>
        </w:numPr>
        <w:spacing w:after="10" w:line="271" w:lineRule="auto"/>
        <w:ind w:right="59" w:hanging="360"/>
        <w:jc w:val="both"/>
        <w:rPr>
          <w:rFonts w:ascii="Arial" w:hAnsi="Arial" w:cs="Arial"/>
          <w:sz w:val="24"/>
        </w:rPr>
      </w:pPr>
      <w:r w:rsidRPr="00A8214E">
        <w:rPr>
          <w:rFonts w:ascii="Arial" w:eastAsia="Arial" w:hAnsi="Arial" w:cs="Arial"/>
          <w:b/>
          <w:sz w:val="24"/>
        </w:rPr>
        <w:t>Rol en el portafolio:</w:t>
      </w:r>
      <w:r w:rsidRPr="00A8214E">
        <w:rPr>
          <w:rFonts w:ascii="Arial" w:hAnsi="Arial" w:cs="Arial"/>
          <w:sz w:val="24"/>
        </w:rPr>
        <w:t xml:space="preserve"> Activo de rendimiento que equilibra los componentes defensivos y aporta exposición al sector financiero, clave para diversificación macroeconómica.</w:t>
      </w:r>
    </w:p>
    <w:p w14:paraId="6B50CD73" w14:textId="47D935EC" w:rsidR="00A544C5" w:rsidRPr="00A8214E" w:rsidRDefault="00A544C5" w:rsidP="00A8214E">
      <w:pPr>
        <w:spacing w:after="18"/>
        <w:jc w:val="both"/>
        <w:rPr>
          <w:rFonts w:ascii="Arial" w:hAnsi="Arial" w:cs="Arial"/>
          <w:sz w:val="24"/>
        </w:rPr>
      </w:pPr>
    </w:p>
    <w:p w14:paraId="15E6AA0B" w14:textId="5973F23B" w:rsidR="00A544C5" w:rsidRPr="00A8214E" w:rsidRDefault="00A544C5" w:rsidP="00A8214E">
      <w:pPr>
        <w:spacing w:after="18"/>
        <w:jc w:val="both"/>
        <w:rPr>
          <w:rFonts w:ascii="Arial" w:hAnsi="Arial" w:cs="Arial"/>
          <w:sz w:val="24"/>
        </w:rPr>
      </w:pPr>
    </w:p>
    <w:p w14:paraId="4D1625D0" w14:textId="5020A78F" w:rsidR="00A544C5" w:rsidRPr="00A8214E" w:rsidRDefault="00A544C5" w:rsidP="00A8214E">
      <w:pPr>
        <w:spacing w:after="18"/>
        <w:jc w:val="both"/>
        <w:rPr>
          <w:rFonts w:ascii="Arial" w:hAnsi="Arial" w:cs="Arial"/>
          <w:sz w:val="24"/>
        </w:rPr>
      </w:pPr>
    </w:p>
    <w:p w14:paraId="65B570C8" w14:textId="0FC908E5" w:rsidR="00A544C5" w:rsidRPr="00A8214E" w:rsidRDefault="00A544C5" w:rsidP="00A8214E">
      <w:pPr>
        <w:spacing w:after="18"/>
        <w:jc w:val="both"/>
        <w:rPr>
          <w:rFonts w:ascii="Arial" w:hAnsi="Arial" w:cs="Arial"/>
          <w:sz w:val="24"/>
        </w:rPr>
      </w:pPr>
    </w:p>
    <w:p w14:paraId="7CB488C9" w14:textId="2E66FAE8" w:rsidR="00A544C5" w:rsidRPr="00A8214E" w:rsidRDefault="00A544C5" w:rsidP="00A8214E">
      <w:pPr>
        <w:spacing w:after="18"/>
        <w:jc w:val="both"/>
        <w:rPr>
          <w:rFonts w:ascii="Arial" w:hAnsi="Arial" w:cs="Arial"/>
          <w:sz w:val="24"/>
        </w:rPr>
      </w:pPr>
    </w:p>
    <w:p w14:paraId="34F088F2" w14:textId="3FB45539" w:rsidR="00A544C5" w:rsidRPr="00A8214E" w:rsidRDefault="00A544C5" w:rsidP="00A8214E">
      <w:pPr>
        <w:spacing w:after="18"/>
        <w:jc w:val="both"/>
        <w:rPr>
          <w:rFonts w:ascii="Arial" w:hAnsi="Arial" w:cs="Arial"/>
          <w:sz w:val="24"/>
        </w:rPr>
      </w:pPr>
    </w:p>
    <w:p w14:paraId="0AC2848F" w14:textId="0436355E" w:rsidR="00A544C5" w:rsidRPr="00A8214E" w:rsidRDefault="00A544C5" w:rsidP="00A8214E">
      <w:pPr>
        <w:spacing w:after="18"/>
        <w:jc w:val="both"/>
        <w:rPr>
          <w:rFonts w:ascii="Arial" w:hAnsi="Arial" w:cs="Arial"/>
          <w:sz w:val="24"/>
        </w:rPr>
      </w:pPr>
    </w:p>
    <w:p w14:paraId="636410DA" w14:textId="2EA9F978" w:rsidR="00A544C5" w:rsidRPr="00A8214E" w:rsidRDefault="00A544C5" w:rsidP="00A8214E">
      <w:pPr>
        <w:spacing w:after="18"/>
        <w:jc w:val="both"/>
        <w:rPr>
          <w:rFonts w:ascii="Arial" w:hAnsi="Arial" w:cs="Arial"/>
          <w:sz w:val="24"/>
        </w:rPr>
      </w:pPr>
    </w:p>
    <w:p w14:paraId="10E77029" w14:textId="49D42B6A" w:rsidR="00A544C5" w:rsidRPr="00A8214E" w:rsidRDefault="00A544C5" w:rsidP="00A8214E">
      <w:pPr>
        <w:spacing w:after="18"/>
        <w:jc w:val="both"/>
        <w:rPr>
          <w:rFonts w:ascii="Arial" w:hAnsi="Arial" w:cs="Arial"/>
          <w:sz w:val="24"/>
        </w:rPr>
      </w:pPr>
    </w:p>
    <w:p w14:paraId="19C69D21" w14:textId="6B924B89" w:rsidR="00A544C5" w:rsidRPr="00A8214E" w:rsidRDefault="00A544C5" w:rsidP="00A8214E">
      <w:pPr>
        <w:spacing w:after="18"/>
        <w:jc w:val="both"/>
        <w:rPr>
          <w:rFonts w:ascii="Arial" w:hAnsi="Arial" w:cs="Arial"/>
          <w:sz w:val="24"/>
        </w:rPr>
      </w:pPr>
    </w:p>
    <w:p w14:paraId="7386B25C" w14:textId="6668B24A" w:rsidR="00A544C5" w:rsidRPr="00A8214E" w:rsidRDefault="00A544C5" w:rsidP="00A8214E">
      <w:pPr>
        <w:spacing w:after="18"/>
        <w:jc w:val="both"/>
        <w:rPr>
          <w:rFonts w:ascii="Arial" w:hAnsi="Arial" w:cs="Arial"/>
          <w:sz w:val="24"/>
        </w:rPr>
      </w:pPr>
    </w:p>
    <w:p w14:paraId="1175562E" w14:textId="598CB3E6" w:rsidR="00A544C5" w:rsidRPr="00A8214E" w:rsidRDefault="00A544C5" w:rsidP="00A8214E">
      <w:pPr>
        <w:spacing w:after="18"/>
        <w:jc w:val="both"/>
        <w:rPr>
          <w:rFonts w:ascii="Arial" w:hAnsi="Arial" w:cs="Arial"/>
          <w:sz w:val="24"/>
        </w:rPr>
      </w:pPr>
    </w:p>
    <w:p w14:paraId="5D77E5C5" w14:textId="05DE516E" w:rsidR="00A544C5" w:rsidRPr="00A8214E" w:rsidRDefault="00A544C5" w:rsidP="00A8214E">
      <w:pPr>
        <w:spacing w:after="18"/>
        <w:jc w:val="both"/>
        <w:rPr>
          <w:rFonts w:ascii="Arial" w:hAnsi="Arial" w:cs="Arial"/>
          <w:sz w:val="24"/>
        </w:rPr>
      </w:pPr>
    </w:p>
    <w:p w14:paraId="5BB6A635" w14:textId="3CE69864" w:rsidR="00A544C5" w:rsidRPr="00A8214E" w:rsidRDefault="00A544C5" w:rsidP="00A8214E">
      <w:pPr>
        <w:spacing w:after="18"/>
        <w:jc w:val="both"/>
        <w:rPr>
          <w:rFonts w:ascii="Arial" w:hAnsi="Arial" w:cs="Arial"/>
          <w:sz w:val="24"/>
        </w:rPr>
      </w:pPr>
    </w:p>
    <w:p w14:paraId="091331D3" w14:textId="75710D57" w:rsidR="00A544C5" w:rsidRPr="00A8214E" w:rsidRDefault="00A544C5" w:rsidP="00A8214E">
      <w:pPr>
        <w:spacing w:after="18"/>
        <w:jc w:val="both"/>
        <w:rPr>
          <w:rFonts w:ascii="Arial" w:hAnsi="Arial" w:cs="Arial"/>
          <w:sz w:val="24"/>
        </w:rPr>
      </w:pPr>
    </w:p>
    <w:p w14:paraId="406B14B7" w14:textId="0D19BAB8" w:rsidR="00A544C5" w:rsidRPr="00A8214E" w:rsidRDefault="00A544C5" w:rsidP="00A8214E">
      <w:pPr>
        <w:spacing w:after="18"/>
        <w:jc w:val="both"/>
        <w:rPr>
          <w:rFonts w:ascii="Arial" w:hAnsi="Arial" w:cs="Arial"/>
          <w:sz w:val="24"/>
        </w:rPr>
      </w:pPr>
    </w:p>
    <w:p w14:paraId="670678A2" w14:textId="2F1CDEEA" w:rsidR="00A544C5" w:rsidRPr="00A8214E" w:rsidRDefault="00A544C5" w:rsidP="00A8214E">
      <w:pPr>
        <w:spacing w:after="18"/>
        <w:jc w:val="both"/>
        <w:rPr>
          <w:rFonts w:ascii="Arial" w:hAnsi="Arial" w:cs="Arial"/>
          <w:sz w:val="24"/>
        </w:rPr>
      </w:pPr>
    </w:p>
    <w:p w14:paraId="7E4EDBFA" w14:textId="01A08816" w:rsidR="00A544C5" w:rsidRPr="00A8214E" w:rsidRDefault="00A544C5" w:rsidP="00A8214E">
      <w:pPr>
        <w:spacing w:after="18"/>
        <w:jc w:val="both"/>
        <w:rPr>
          <w:rFonts w:ascii="Arial" w:hAnsi="Arial" w:cs="Arial"/>
          <w:sz w:val="24"/>
        </w:rPr>
      </w:pPr>
    </w:p>
    <w:p w14:paraId="12E451F0" w14:textId="26B674A2" w:rsidR="00A544C5" w:rsidRPr="00A8214E" w:rsidRDefault="00A544C5" w:rsidP="00A8214E">
      <w:pPr>
        <w:spacing w:after="18"/>
        <w:jc w:val="both"/>
        <w:rPr>
          <w:rFonts w:ascii="Arial" w:hAnsi="Arial" w:cs="Arial"/>
          <w:sz w:val="24"/>
        </w:rPr>
      </w:pPr>
    </w:p>
    <w:p w14:paraId="2DFD7B2B" w14:textId="069155A4" w:rsidR="00A544C5" w:rsidRPr="00A8214E" w:rsidRDefault="00A544C5" w:rsidP="00A8214E">
      <w:pPr>
        <w:spacing w:after="18"/>
        <w:jc w:val="both"/>
        <w:rPr>
          <w:rFonts w:ascii="Arial" w:hAnsi="Arial" w:cs="Arial"/>
          <w:sz w:val="24"/>
        </w:rPr>
      </w:pPr>
    </w:p>
    <w:p w14:paraId="7C9C7AC7" w14:textId="77777777" w:rsidR="00A8214E" w:rsidRPr="00A8214E" w:rsidRDefault="00A8214E" w:rsidP="00A8214E">
      <w:pPr>
        <w:spacing w:after="18"/>
        <w:jc w:val="both"/>
        <w:rPr>
          <w:rFonts w:ascii="Arial" w:hAnsi="Arial" w:cs="Arial"/>
          <w:sz w:val="24"/>
        </w:rPr>
      </w:pPr>
    </w:p>
    <w:p w14:paraId="706ADB4A" w14:textId="108F170D" w:rsidR="00A544C5" w:rsidRPr="00A8214E" w:rsidRDefault="00A544C5" w:rsidP="00A8214E">
      <w:pPr>
        <w:spacing w:after="269"/>
        <w:jc w:val="both"/>
        <w:rPr>
          <w:rFonts w:ascii="Arial" w:hAnsi="Arial" w:cs="Arial"/>
          <w:sz w:val="24"/>
        </w:rPr>
      </w:pPr>
    </w:p>
    <w:p w14:paraId="4E6B8857" w14:textId="5C73FB9C" w:rsidR="00A544C5" w:rsidRDefault="00A544C5" w:rsidP="00A8214E">
      <w:pPr>
        <w:spacing w:after="0"/>
        <w:jc w:val="both"/>
      </w:pPr>
    </w:p>
    <w:p w14:paraId="2AC30EF0" w14:textId="3F71E3F5" w:rsidR="00A8214E" w:rsidRPr="00A8214E" w:rsidRDefault="006431C7" w:rsidP="00A8214E">
      <w:pPr>
        <w:pStyle w:val="Ttulo1"/>
        <w:spacing w:after="266"/>
        <w:ind w:left="0" w:firstLine="0"/>
        <w:jc w:val="both"/>
        <w:rPr>
          <w:color w:val="auto"/>
        </w:rPr>
      </w:pPr>
      <w:r w:rsidRPr="006431C7">
        <w:lastRenderedPageBreak/>
        <w:drawing>
          <wp:anchor distT="0" distB="0" distL="114300" distR="114300" simplePos="0" relativeHeight="251662336" behindDoc="0" locked="0" layoutInCell="1" allowOverlap="1" wp14:anchorId="0C8F8507" wp14:editId="7649CAF2">
            <wp:simplePos x="0" y="0"/>
            <wp:positionH relativeFrom="column">
              <wp:posOffset>-114300</wp:posOffset>
            </wp:positionH>
            <wp:positionV relativeFrom="paragraph">
              <wp:posOffset>361950</wp:posOffset>
            </wp:positionV>
            <wp:extent cx="3626485" cy="1914525"/>
            <wp:effectExtent l="0" t="0" r="0" b="9525"/>
            <wp:wrapSquare wrapText="bothSides"/>
            <wp:docPr id="228917829"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17829" name="Imagen 1" descr="Gráfico, Gráfico de líneas&#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26485" cy="1914525"/>
                    </a:xfrm>
                    <a:prstGeom prst="rect">
                      <a:avLst/>
                    </a:prstGeom>
                  </pic:spPr>
                </pic:pic>
              </a:graphicData>
            </a:graphic>
            <wp14:sizeRelH relativeFrom="margin">
              <wp14:pctWidth>0</wp14:pctWidth>
            </wp14:sizeRelH>
            <wp14:sizeRelV relativeFrom="margin">
              <wp14:pctHeight>0</wp14:pctHeight>
            </wp14:sizeRelV>
          </wp:anchor>
        </w:drawing>
      </w:r>
      <w:r w:rsidR="00000000" w:rsidRPr="00A8214E">
        <w:rPr>
          <w:color w:val="auto"/>
        </w:rPr>
        <w:t>Resultados</w:t>
      </w:r>
      <w:r w:rsidR="00A8214E">
        <w:rPr>
          <w:color w:val="auto"/>
        </w:rPr>
        <w:t xml:space="preserve"> (tablas, gráficas, análisis)</w:t>
      </w:r>
    </w:p>
    <w:p w14:paraId="13406EAA" w14:textId="6632A1B1" w:rsidR="00A8214E" w:rsidRDefault="00A8214E" w:rsidP="00A8214E">
      <w:pPr>
        <w:pStyle w:val="Ttulo2"/>
        <w:ind w:left="-5"/>
        <w:jc w:val="both"/>
      </w:pPr>
    </w:p>
    <w:p w14:paraId="29595CB9" w14:textId="35A47367" w:rsidR="00121EFB" w:rsidRPr="00121EFB" w:rsidRDefault="00121EFB" w:rsidP="00121EFB">
      <w:pPr>
        <w:rPr>
          <w:rFonts w:ascii="Arial" w:hAnsi="Arial" w:cs="Arial"/>
          <w:b/>
          <w:bCs/>
          <w:sz w:val="28"/>
          <w:szCs w:val="28"/>
        </w:rPr>
      </w:pPr>
      <w:r w:rsidRPr="00121EFB">
        <w:rPr>
          <w:rFonts w:ascii="Arial" w:hAnsi="Arial" w:cs="Arial"/>
          <w:b/>
          <w:bCs/>
          <w:sz w:val="28"/>
          <w:szCs w:val="28"/>
        </w:rPr>
        <w:t xml:space="preserve">Análisis de las series </w:t>
      </w:r>
    </w:p>
    <w:p w14:paraId="4BA04709" w14:textId="16F5C840" w:rsidR="00A8214E" w:rsidRDefault="00A8214E" w:rsidP="00BC6686">
      <w:pPr>
        <w:pStyle w:val="Ttulo2"/>
        <w:ind w:left="-5"/>
        <w:jc w:val="both"/>
        <w:rPr>
          <w:b w:val="0"/>
          <w:bCs/>
          <w:sz w:val="24"/>
        </w:rPr>
      </w:pPr>
      <w:r w:rsidRPr="00A8214E">
        <w:rPr>
          <w:b w:val="0"/>
          <w:bCs/>
          <w:sz w:val="24"/>
        </w:rPr>
        <w:t xml:space="preserve">La evolución de los </w:t>
      </w:r>
      <w:r w:rsidRPr="005D586F">
        <w:rPr>
          <w:sz w:val="24"/>
          <w:u w:val="single"/>
        </w:rPr>
        <w:t>precios</w:t>
      </w:r>
      <w:r w:rsidRPr="00A8214E">
        <w:rPr>
          <w:b w:val="0"/>
          <w:bCs/>
          <w:sz w:val="24"/>
        </w:rPr>
        <w:t xml:space="preserve"> históricos entre 2018 y 202</w:t>
      </w:r>
      <w:r w:rsidR="006431C7">
        <w:rPr>
          <w:b w:val="0"/>
          <w:bCs/>
          <w:sz w:val="24"/>
        </w:rPr>
        <w:t>5 (Hasta septiembre)</w:t>
      </w:r>
      <w:r w:rsidRPr="00A8214E">
        <w:rPr>
          <w:b w:val="0"/>
          <w:bCs/>
          <w:sz w:val="24"/>
        </w:rPr>
        <w:t xml:space="preserve"> muestra que los cinco activos del portafolio tienen comportamientos diferentes. </w:t>
      </w:r>
      <w:r w:rsidR="00BC6686">
        <w:rPr>
          <w:b w:val="0"/>
          <w:bCs/>
          <w:sz w:val="24"/>
        </w:rPr>
        <w:t>Debido</w:t>
      </w:r>
      <w:r w:rsidRPr="00A8214E">
        <w:rPr>
          <w:b w:val="0"/>
          <w:bCs/>
          <w:sz w:val="24"/>
        </w:rPr>
        <w:t xml:space="preserve"> a su carácter sectorial y al efecto que han tenido diferentes acontecimientos macroeconómicos y corporativos a lo largo de ese tiempo.</w:t>
      </w:r>
    </w:p>
    <w:p w14:paraId="5C25FA4A" w14:textId="77777777" w:rsidR="00121EFB" w:rsidRPr="00A8214E" w:rsidRDefault="00121EFB" w:rsidP="00BC6686">
      <w:pPr>
        <w:jc w:val="both"/>
      </w:pPr>
    </w:p>
    <w:p w14:paraId="5ED1FAA9" w14:textId="15A7C39A" w:rsidR="00A8214E" w:rsidRDefault="008D130E" w:rsidP="00BC6686">
      <w:pPr>
        <w:pStyle w:val="Ttulo2"/>
        <w:ind w:left="-5"/>
        <w:jc w:val="both"/>
        <w:rPr>
          <w:rFonts w:eastAsia="Calibri"/>
          <w:b w:val="0"/>
          <w:sz w:val="24"/>
        </w:rPr>
      </w:pPr>
      <w:r w:rsidRPr="008D130E">
        <w:rPr>
          <w:rFonts w:eastAsia="Calibri"/>
          <w:b w:val="0"/>
          <w:sz w:val="24"/>
        </w:rPr>
        <w:t>Costco (COST) mantiene una tendencia claramente alcista a lo largo de todo el periodo 2018–2025, con un crecimiento muy destacado a partir de 2023 que lo posiciona como el activo de mayor apreciación del portafolio. Su desempeño se sostiene en un modelo de membresías sólido y en la estabilidad de la demanda de bienes de consumo básico, que le ha permitido resistir tanto la crisis sanitaria de 2020 como la reciente desaceleración económica.</w:t>
      </w:r>
    </w:p>
    <w:p w14:paraId="662C3F9C" w14:textId="77777777" w:rsidR="008D130E" w:rsidRPr="008D130E" w:rsidRDefault="008D130E" w:rsidP="008D130E"/>
    <w:p w14:paraId="1D31E7CA" w14:textId="1AE07891" w:rsidR="006D7C50" w:rsidRDefault="008D130E" w:rsidP="006D7C50">
      <w:pPr>
        <w:rPr>
          <w:rFonts w:ascii="Arial" w:eastAsia="Arial" w:hAnsi="Arial" w:cs="Arial"/>
          <w:bCs/>
          <w:sz w:val="24"/>
        </w:rPr>
      </w:pPr>
      <w:r w:rsidRPr="008D130E">
        <w:rPr>
          <w:rFonts w:ascii="Arial" w:eastAsia="Arial" w:hAnsi="Arial" w:cs="Arial"/>
          <w:bCs/>
          <w:sz w:val="24"/>
        </w:rPr>
        <w:t xml:space="preserve">Digital </w:t>
      </w:r>
      <w:proofErr w:type="spellStart"/>
      <w:r w:rsidRPr="008D130E">
        <w:rPr>
          <w:rFonts w:ascii="Arial" w:eastAsia="Arial" w:hAnsi="Arial" w:cs="Arial"/>
          <w:bCs/>
          <w:sz w:val="24"/>
        </w:rPr>
        <w:t>Realty</w:t>
      </w:r>
      <w:proofErr w:type="spellEnd"/>
      <w:r w:rsidRPr="008D130E">
        <w:rPr>
          <w:rFonts w:ascii="Arial" w:eastAsia="Arial" w:hAnsi="Arial" w:cs="Arial"/>
          <w:bCs/>
          <w:sz w:val="24"/>
        </w:rPr>
        <w:t xml:space="preserve"> (DLR) conserva un comportamiento positivo, aunque con una volatilidad intermedia. Se observa un crecimiento gradual desde 2020 impulsado por la demanda de infraestructura digital, con una leve desaceleración después de 2023 debido al aumento de las tasas de interés y al costo del financiamiento. Aun así, cierra 2025 con una tendencia general ascendente.</w:t>
      </w:r>
    </w:p>
    <w:p w14:paraId="585DEA89" w14:textId="77777777" w:rsidR="008D130E" w:rsidRPr="006D7C50" w:rsidRDefault="008D130E" w:rsidP="006D7C50"/>
    <w:p w14:paraId="28C2F8F9" w14:textId="18A406F7" w:rsidR="00BC6686" w:rsidRDefault="008D130E" w:rsidP="00BC6686">
      <w:pPr>
        <w:jc w:val="both"/>
        <w:rPr>
          <w:rFonts w:ascii="Arial" w:hAnsi="Arial" w:cs="Arial"/>
          <w:sz w:val="24"/>
        </w:rPr>
      </w:pPr>
      <w:r w:rsidRPr="008D130E">
        <w:rPr>
          <w:rFonts w:ascii="Arial" w:hAnsi="Arial" w:cs="Arial"/>
          <w:sz w:val="24"/>
        </w:rPr>
        <w:t xml:space="preserve">Johnson </w:t>
      </w:r>
      <w:proofErr w:type="spellStart"/>
      <w:r w:rsidRPr="008D130E">
        <w:rPr>
          <w:rFonts w:ascii="Arial" w:hAnsi="Arial" w:cs="Arial"/>
          <w:sz w:val="24"/>
        </w:rPr>
        <w:t>Controls</w:t>
      </w:r>
      <w:proofErr w:type="spellEnd"/>
      <w:r w:rsidRPr="008D130E">
        <w:rPr>
          <w:rFonts w:ascii="Arial" w:hAnsi="Arial" w:cs="Arial"/>
          <w:sz w:val="24"/>
        </w:rPr>
        <w:t xml:space="preserve"> (JCI) presenta una evolución más estable, con alzas moderadas y un comportamiento cíclico propio del sector industrial. Desde 2021 muestra una recuperación sostenida, respaldada por el impulso hacia soluciones de eficiencia energética y sostenibilidad, alcanzando sus niveles más altos hacia 2025.</w:t>
      </w:r>
    </w:p>
    <w:p w14:paraId="68489F00" w14:textId="77777777" w:rsidR="008D130E" w:rsidRPr="00BC6686" w:rsidRDefault="008D130E" w:rsidP="00BC6686">
      <w:pPr>
        <w:jc w:val="both"/>
        <w:rPr>
          <w:rFonts w:ascii="Arial" w:hAnsi="Arial" w:cs="Arial"/>
          <w:sz w:val="24"/>
        </w:rPr>
      </w:pPr>
    </w:p>
    <w:p w14:paraId="79503489" w14:textId="77777777" w:rsidR="008D130E" w:rsidRPr="008D130E" w:rsidRDefault="008D130E" w:rsidP="008D130E">
      <w:pPr>
        <w:jc w:val="both"/>
        <w:rPr>
          <w:rFonts w:ascii="Arial" w:hAnsi="Arial" w:cs="Arial"/>
          <w:sz w:val="24"/>
          <w:lang w:val="es-MX"/>
        </w:rPr>
      </w:pPr>
      <w:r w:rsidRPr="008D130E">
        <w:rPr>
          <w:rFonts w:ascii="Arial" w:hAnsi="Arial" w:cs="Arial"/>
          <w:sz w:val="24"/>
          <w:lang w:val="es-MX"/>
        </w:rPr>
        <w:t>JPMorgan Chase (JPM) también tiene un crecimiento importante, especialmente desde 2023, reflejando el efecto positivo de las políticas monetarias restrictivas sobre sus márgenes financieros. Su cotización logra una recuperación sólida tras la caída de 2020 y mantiene un alza constante hacia finales de 2025.</w:t>
      </w:r>
    </w:p>
    <w:p w14:paraId="4F54DC56" w14:textId="77777777" w:rsidR="006D7C50" w:rsidRDefault="006D7C50" w:rsidP="006D7C50">
      <w:pPr>
        <w:ind w:left="698"/>
        <w:jc w:val="both"/>
        <w:rPr>
          <w:rFonts w:ascii="Arial" w:hAnsi="Arial" w:cs="Arial"/>
          <w:sz w:val="24"/>
        </w:rPr>
      </w:pPr>
    </w:p>
    <w:p w14:paraId="651D869E" w14:textId="0298BB78" w:rsidR="00BC6686" w:rsidRDefault="008D130E" w:rsidP="00BC6686">
      <w:pPr>
        <w:jc w:val="both"/>
        <w:rPr>
          <w:rFonts w:ascii="Arial" w:hAnsi="Arial" w:cs="Arial"/>
          <w:sz w:val="24"/>
        </w:rPr>
      </w:pPr>
      <w:r w:rsidRPr="008D130E">
        <w:rPr>
          <w:rFonts w:ascii="Arial" w:hAnsi="Arial" w:cs="Arial"/>
          <w:sz w:val="24"/>
        </w:rPr>
        <w:t>Pfizer (PFE) exhibe la menor variación del grupo, con un comportamiento prácticamente plano después del pico alcanzado en 2021 por el éxito de su vacuna contra el COVID-19. La normalización de sus ingresos posteriores se refleja en la estabilidad de su precio durante los últimos años.</w:t>
      </w:r>
    </w:p>
    <w:p w14:paraId="6D7794AB" w14:textId="1BBDE02B" w:rsidR="008D130E" w:rsidRDefault="008D130E" w:rsidP="006D7C50">
      <w:pPr>
        <w:jc w:val="both"/>
        <w:rPr>
          <w:rFonts w:ascii="Arial" w:hAnsi="Arial" w:cs="Arial"/>
          <w:sz w:val="24"/>
        </w:rPr>
      </w:pPr>
      <w:r w:rsidRPr="008D130E">
        <w:rPr>
          <w:rFonts w:ascii="Arial" w:hAnsi="Arial" w:cs="Arial"/>
          <w:sz w:val="24"/>
        </w:rPr>
        <w:lastRenderedPageBreak/>
        <w:t>En conjunto, la serie evidencia la superior rentabilidad de COST y el crecimiento sostenido de JPM y DLR, mientras que JCI mantiene estabilidad y PFE actúa como activo defensivo. Esta diversidad confirma la utilidad de la diversificación del portafolio para equilibrar el riesgo y suavizar el impacto de los ciclos económicos.</w:t>
      </w:r>
    </w:p>
    <w:p w14:paraId="6CCF22FE" w14:textId="38C69F35" w:rsidR="00121EFB" w:rsidRDefault="006431C7" w:rsidP="006D7C50">
      <w:pPr>
        <w:jc w:val="both"/>
        <w:rPr>
          <w:rFonts w:ascii="Arial" w:hAnsi="Arial" w:cs="Arial"/>
          <w:sz w:val="24"/>
        </w:rPr>
      </w:pPr>
      <w:r w:rsidRPr="006431C7">
        <w:rPr>
          <w:rFonts w:ascii="Arial" w:hAnsi="Arial" w:cs="Arial"/>
          <w:sz w:val="24"/>
        </w:rPr>
        <w:drawing>
          <wp:anchor distT="0" distB="0" distL="114300" distR="114300" simplePos="0" relativeHeight="251663360" behindDoc="0" locked="0" layoutInCell="1" allowOverlap="1" wp14:anchorId="36D69297" wp14:editId="6E0FFC2A">
            <wp:simplePos x="0" y="0"/>
            <wp:positionH relativeFrom="column">
              <wp:posOffset>2943225</wp:posOffset>
            </wp:positionH>
            <wp:positionV relativeFrom="paragraph">
              <wp:posOffset>59055</wp:posOffset>
            </wp:positionV>
            <wp:extent cx="3037205" cy="1661571"/>
            <wp:effectExtent l="0" t="0" r="0" b="0"/>
            <wp:wrapSquare wrapText="bothSides"/>
            <wp:docPr id="1092065284"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65284" name="Imagen 1" descr="Gráfico, Gráfico de líneas&#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37205" cy="1661571"/>
                    </a:xfrm>
                    <a:prstGeom prst="rect">
                      <a:avLst/>
                    </a:prstGeom>
                  </pic:spPr>
                </pic:pic>
              </a:graphicData>
            </a:graphic>
          </wp:anchor>
        </w:drawing>
      </w:r>
    </w:p>
    <w:p w14:paraId="38AE0D59" w14:textId="77777777" w:rsidR="008D130E" w:rsidRPr="008D130E" w:rsidRDefault="008D130E" w:rsidP="008D130E">
      <w:pPr>
        <w:jc w:val="both"/>
        <w:rPr>
          <w:rFonts w:ascii="Arial" w:hAnsi="Arial" w:cs="Arial"/>
          <w:sz w:val="24"/>
        </w:rPr>
      </w:pPr>
      <w:r w:rsidRPr="008D130E">
        <w:rPr>
          <w:rFonts w:ascii="Arial" w:hAnsi="Arial" w:cs="Arial"/>
          <w:sz w:val="24"/>
        </w:rPr>
        <w:t xml:space="preserve">En cuanto a los </w:t>
      </w:r>
      <w:r w:rsidRPr="008D130E">
        <w:rPr>
          <w:rFonts w:ascii="Arial" w:hAnsi="Arial" w:cs="Arial"/>
          <w:b/>
          <w:bCs/>
          <w:sz w:val="24"/>
          <w:u w:val="single"/>
        </w:rPr>
        <w:t>retornos</w:t>
      </w:r>
      <w:r w:rsidRPr="008D130E">
        <w:rPr>
          <w:rFonts w:ascii="Arial" w:hAnsi="Arial" w:cs="Arial"/>
          <w:sz w:val="24"/>
        </w:rPr>
        <w:t>, Las curvas de densidad estimadas (KDE) tienen una forma muy leptocúrtica, con una concentración significativa en torno a la media (0) y colas más pesadas que las de una distribución normal.</w:t>
      </w:r>
    </w:p>
    <w:p w14:paraId="0842EA26" w14:textId="77777777" w:rsidR="008D130E" w:rsidRPr="008D130E" w:rsidRDefault="008D130E" w:rsidP="008D130E">
      <w:pPr>
        <w:jc w:val="both"/>
        <w:rPr>
          <w:rFonts w:ascii="Arial" w:hAnsi="Arial" w:cs="Arial"/>
          <w:sz w:val="24"/>
        </w:rPr>
      </w:pPr>
    </w:p>
    <w:p w14:paraId="0A1D6CFB" w14:textId="77777777" w:rsidR="008D130E" w:rsidRPr="008D130E" w:rsidRDefault="008D130E" w:rsidP="008D130E">
      <w:pPr>
        <w:jc w:val="both"/>
        <w:rPr>
          <w:rFonts w:ascii="Arial" w:hAnsi="Arial" w:cs="Arial"/>
          <w:sz w:val="24"/>
        </w:rPr>
      </w:pPr>
    </w:p>
    <w:p w14:paraId="25EA7D00" w14:textId="77777777" w:rsidR="008D130E" w:rsidRPr="008D130E" w:rsidRDefault="008D130E" w:rsidP="008D130E">
      <w:pPr>
        <w:jc w:val="both"/>
        <w:rPr>
          <w:rFonts w:ascii="Arial" w:hAnsi="Arial" w:cs="Arial"/>
          <w:sz w:val="24"/>
        </w:rPr>
      </w:pPr>
      <w:r w:rsidRPr="008D130E">
        <w:rPr>
          <w:rFonts w:ascii="Arial" w:hAnsi="Arial" w:cs="Arial"/>
          <w:sz w:val="24"/>
        </w:rPr>
        <w:t>Esto señala que, aunque la mayoría de los movimientos diarios son pequeños y cercanos a cero, hay sucesos extremos (ya sean positivos o negativos) con una probabilidad más alta de lo que se anticipa bajo condiciones normales. Esto evidencia la existencia de riesgos de cola o impactos en el mercado.</w:t>
      </w:r>
    </w:p>
    <w:p w14:paraId="5D4B7704" w14:textId="77777777" w:rsidR="006D7C50" w:rsidRDefault="006D7C50" w:rsidP="006D7C50">
      <w:pPr>
        <w:jc w:val="both"/>
        <w:rPr>
          <w:rFonts w:ascii="Arial" w:hAnsi="Arial" w:cs="Arial"/>
          <w:sz w:val="24"/>
        </w:rPr>
      </w:pPr>
    </w:p>
    <w:p w14:paraId="32193787" w14:textId="4A374D90" w:rsidR="006D7C50" w:rsidRDefault="006D7C50" w:rsidP="006D7C50">
      <w:pPr>
        <w:ind w:left="708"/>
        <w:jc w:val="both"/>
        <w:rPr>
          <w:rFonts w:ascii="Arial" w:hAnsi="Arial" w:cs="Arial"/>
          <w:sz w:val="24"/>
        </w:rPr>
      </w:pPr>
      <w:r w:rsidRPr="006D7C50">
        <w:rPr>
          <w:rFonts w:ascii="Arial" w:hAnsi="Arial" w:cs="Arial"/>
          <w:sz w:val="24"/>
        </w:rPr>
        <w:t>COST y PFE presentan distribuciones más altas y angostas, lo que indica una menor volatilidad relativa y un rendimiento diario más estable. Esto es coherente con su carácter de activos defensivos (salud y consumo básico).</w:t>
      </w:r>
    </w:p>
    <w:p w14:paraId="77C63B6B" w14:textId="77777777" w:rsidR="006D7C50" w:rsidRDefault="006D7C50" w:rsidP="006D7C50">
      <w:pPr>
        <w:ind w:left="708"/>
        <w:jc w:val="both"/>
        <w:rPr>
          <w:rFonts w:ascii="Arial" w:hAnsi="Arial" w:cs="Arial"/>
          <w:sz w:val="24"/>
        </w:rPr>
      </w:pPr>
    </w:p>
    <w:p w14:paraId="04F37A0B" w14:textId="288B2E6C" w:rsidR="006D7C50" w:rsidRDefault="006D7C50" w:rsidP="006D7C50">
      <w:pPr>
        <w:ind w:left="708"/>
        <w:jc w:val="both"/>
        <w:rPr>
          <w:rFonts w:ascii="Arial" w:hAnsi="Arial" w:cs="Arial"/>
          <w:sz w:val="24"/>
        </w:rPr>
      </w:pPr>
      <w:r w:rsidRPr="006D7C50">
        <w:rPr>
          <w:rFonts w:ascii="Arial" w:hAnsi="Arial" w:cs="Arial"/>
          <w:sz w:val="24"/>
        </w:rPr>
        <w:t>DLR y JCI tienen colas un poco más amplias, lo que muestra una dispersión más alta en los retornos. La volatilidad de DLR está relacionada con la sensibilidad del sector REIT a las variaciones en las tasas de interés y financiación.</w:t>
      </w:r>
    </w:p>
    <w:p w14:paraId="2B5F1716" w14:textId="77777777" w:rsidR="006D7C50" w:rsidRPr="005D586F" w:rsidRDefault="006D7C50" w:rsidP="006D7C50">
      <w:pPr>
        <w:ind w:left="708"/>
        <w:jc w:val="both"/>
        <w:rPr>
          <w:rFonts w:ascii="Arial" w:hAnsi="Arial" w:cs="Arial"/>
          <w:sz w:val="24"/>
        </w:rPr>
      </w:pPr>
    </w:p>
    <w:p w14:paraId="0C5A30F7" w14:textId="7A4F44AF" w:rsidR="005D586F" w:rsidRDefault="006D7C50" w:rsidP="006D7C50">
      <w:pPr>
        <w:ind w:left="708"/>
        <w:jc w:val="both"/>
        <w:rPr>
          <w:rFonts w:ascii="Arial" w:hAnsi="Arial" w:cs="Arial"/>
          <w:sz w:val="24"/>
        </w:rPr>
      </w:pPr>
      <w:r w:rsidRPr="006D7C50">
        <w:rPr>
          <w:rFonts w:ascii="Arial" w:hAnsi="Arial" w:cs="Arial"/>
          <w:sz w:val="24"/>
        </w:rPr>
        <w:t>JPM presenta una distribución que se asienta levemente hacia la izquierda, lo que indica sucesos de descensos más acentuados que los aumentos equivalentes, algo característico de la conducta de activos financieros en periodos de shocks de liquidez (como en marzo del 2020).</w:t>
      </w:r>
    </w:p>
    <w:p w14:paraId="5D5E66CC" w14:textId="77777777" w:rsidR="005D586F" w:rsidRDefault="005D586F" w:rsidP="00BC6686">
      <w:pPr>
        <w:jc w:val="both"/>
        <w:rPr>
          <w:rFonts w:ascii="Arial" w:hAnsi="Arial" w:cs="Arial"/>
          <w:sz w:val="24"/>
        </w:rPr>
      </w:pPr>
    </w:p>
    <w:p w14:paraId="46D51769" w14:textId="7F85B4E8" w:rsidR="005D586F" w:rsidRDefault="006D7C50" w:rsidP="00BC6686">
      <w:pPr>
        <w:jc w:val="both"/>
        <w:rPr>
          <w:rFonts w:ascii="Arial" w:hAnsi="Arial" w:cs="Arial"/>
          <w:sz w:val="24"/>
        </w:rPr>
      </w:pPr>
      <w:r w:rsidRPr="006D7C50">
        <w:rPr>
          <w:rFonts w:ascii="Arial" w:hAnsi="Arial" w:cs="Arial"/>
          <w:sz w:val="24"/>
        </w:rPr>
        <w:t xml:space="preserve">La distribución conjunta demuestra que los activos del portafolio, aunque pertenecen a sectores diferentes, tienen patrones de rendimientos diarios alrededor del cero, pero con la aparición de sucesos grandiosos en ambos extremos. Esto refleja su exposición común a eventos de tipo macroeconómico (COVID-19, inflación y tasas de interés). Por lo tanto, el análisis apoya la necesidad de utilizar modelos que tengan en cuenta la heterocedasticidad y la no normalidad, como ARCH/GARCH o simulaciones de </w:t>
      </w:r>
      <w:r w:rsidRPr="006D7C50">
        <w:rPr>
          <w:rFonts w:ascii="Arial" w:hAnsi="Arial" w:cs="Arial"/>
          <w:sz w:val="24"/>
        </w:rPr>
        <w:lastRenderedPageBreak/>
        <w:t>Monte Carlo, con el fin de capturar apropiadamente cómo se comporta el riesgo en épocas de gran volatilidad.</w:t>
      </w:r>
    </w:p>
    <w:p w14:paraId="760D6629" w14:textId="77777777" w:rsidR="005D586F" w:rsidRDefault="005D586F" w:rsidP="00BC6686">
      <w:pPr>
        <w:jc w:val="both"/>
        <w:rPr>
          <w:rFonts w:ascii="Arial" w:hAnsi="Arial" w:cs="Arial"/>
          <w:sz w:val="24"/>
        </w:rPr>
      </w:pPr>
    </w:p>
    <w:p w14:paraId="747BF8AD" w14:textId="77777777" w:rsidR="005D586F" w:rsidRDefault="005D586F" w:rsidP="00BC6686">
      <w:pPr>
        <w:jc w:val="both"/>
        <w:rPr>
          <w:rFonts w:ascii="Arial" w:hAnsi="Arial" w:cs="Arial"/>
          <w:sz w:val="24"/>
        </w:rPr>
      </w:pPr>
    </w:p>
    <w:p w14:paraId="61CFF9A7" w14:textId="43106B4D" w:rsidR="00121EFB" w:rsidRDefault="00121EFB" w:rsidP="00BC6686">
      <w:pPr>
        <w:jc w:val="both"/>
        <w:rPr>
          <w:rFonts w:ascii="Arial" w:hAnsi="Arial" w:cs="Arial"/>
          <w:b/>
          <w:bCs/>
          <w:sz w:val="28"/>
          <w:szCs w:val="28"/>
        </w:rPr>
      </w:pPr>
      <w:r>
        <w:rPr>
          <w:rFonts w:ascii="Arial" w:hAnsi="Arial" w:cs="Arial"/>
          <w:b/>
          <w:bCs/>
          <w:sz w:val="28"/>
          <w:szCs w:val="28"/>
        </w:rPr>
        <w:t>C</w:t>
      </w:r>
      <w:r w:rsidRPr="00121EFB">
        <w:rPr>
          <w:rFonts w:ascii="Arial" w:hAnsi="Arial" w:cs="Arial"/>
          <w:b/>
          <w:bCs/>
          <w:sz w:val="28"/>
          <w:szCs w:val="28"/>
        </w:rPr>
        <w:t>ambios estructurales (breakpoints)</w:t>
      </w:r>
      <w:r>
        <w:rPr>
          <w:rFonts w:ascii="Arial" w:hAnsi="Arial" w:cs="Arial"/>
          <w:b/>
          <w:bCs/>
          <w:sz w:val="28"/>
          <w:szCs w:val="28"/>
        </w:rPr>
        <w:t xml:space="preserve"> </w:t>
      </w:r>
      <w:r w:rsidRPr="00121EFB">
        <w:rPr>
          <w:rFonts w:ascii="Arial" w:hAnsi="Arial" w:cs="Arial"/>
          <w:b/>
          <w:bCs/>
          <w:sz w:val="28"/>
          <w:szCs w:val="28"/>
        </w:rPr>
        <w:t>y movimientos drásticos</w:t>
      </w:r>
    </w:p>
    <w:p w14:paraId="2DE1EF80" w14:textId="77777777" w:rsidR="00E40C65" w:rsidRDefault="00E40C65" w:rsidP="00E40C65">
      <w:pPr>
        <w:jc w:val="both"/>
        <w:rPr>
          <w:rFonts w:ascii="Arial" w:hAnsi="Arial" w:cs="Arial"/>
          <w:sz w:val="24"/>
        </w:rPr>
      </w:pPr>
      <w:r w:rsidRPr="00E40C65">
        <w:rPr>
          <w:rFonts w:ascii="Arial" w:hAnsi="Arial" w:cs="Arial"/>
          <w:sz w:val="24"/>
        </w:rPr>
        <w:t>A partir de la observación de los gráficos y del contexto histórico, se destacan los siguientes momentos clave con sus fechas y causas asociadas:</w:t>
      </w:r>
    </w:p>
    <w:p w14:paraId="5B3301D3" w14:textId="77777777" w:rsidR="00E40C65" w:rsidRPr="00E40C65" w:rsidRDefault="00E40C65" w:rsidP="00E40C65">
      <w:pPr>
        <w:jc w:val="both"/>
        <w:rPr>
          <w:rFonts w:ascii="Arial" w:hAnsi="Arial" w:cs="Arial"/>
          <w:sz w:val="24"/>
        </w:rPr>
      </w:pPr>
    </w:p>
    <w:p w14:paraId="7926FEAB" w14:textId="51D5E198" w:rsidR="00E40C65" w:rsidRDefault="00E40C65" w:rsidP="00E40C65">
      <w:pPr>
        <w:ind w:firstLine="708"/>
        <w:jc w:val="both"/>
        <w:rPr>
          <w:rFonts w:ascii="Arial" w:hAnsi="Arial" w:cs="Arial"/>
          <w:sz w:val="24"/>
          <w:u w:val="single"/>
        </w:rPr>
      </w:pPr>
      <w:r w:rsidRPr="00E40C65">
        <w:rPr>
          <w:rFonts w:ascii="Arial" w:hAnsi="Arial" w:cs="Arial"/>
          <w:sz w:val="24"/>
          <w:u w:val="single"/>
        </w:rPr>
        <w:t>Marzo de 2020 — Colapso global por COVID-19</w:t>
      </w:r>
    </w:p>
    <w:p w14:paraId="47C064C9" w14:textId="2913FC6F" w:rsidR="00E40C65" w:rsidRDefault="00E40C65" w:rsidP="00E40C65">
      <w:pPr>
        <w:ind w:left="708"/>
        <w:jc w:val="both"/>
        <w:rPr>
          <w:rFonts w:ascii="Arial" w:hAnsi="Arial" w:cs="Arial"/>
          <w:sz w:val="24"/>
        </w:rPr>
      </w:pPr>
      <w:r>
        <w:rPr>
          <w:rFonts w:ascii="Arial" w:hAnsi="Arial" w:cs="Arial"/>
          <w:sz w:val="24"/>
        </w:rPr>
        <w:t>C</w:t>
      </w:r>
      <w:r w:rsidRPr="00E40C65">
        <w:rPr>
          <w:rFonts w:ascii="Arial" w:hAnsi="Arial" w:cs="Arial"/>
          <w:sz w:val="24"/>
        </w:rPr>
        <w:t>aída abrupta en los precios de todos los activos</w:t>
      </w:r>
      <w:r>
        <w:rPr>
          <w:rFonts w:ascii="Arial" w:hAnsi="Arial" w:cs="Arial"/>
          <w:sz w:val="24"/>
        </w:rPr>
        <w:t xml:space="preserve">, por </w:t>
      </w:r>
      <w:r w:rsidRPr="00E40C65">
        <w:rPr>
          <w:rFonts w:ascii="Arial" w:hAnsi="Arial" w:cs="Arial"/>
          <w:sz w:val="24"/>
        </w:rPr>
        <w:t>crisis sanitaria mundial, confinamientos globales y colapso de los mercados financieros entre febrero y marzo de 2020</w:t>
      </w:r>
      <w:r>
        <w:rPr>
          <w:rFonts w:ascii="Arial" w:hAnsi="Arial" w:cs="Arial"/>
          <w:sz w:val="24"/>
        </w:rPr>
        <w:t xml:space="preserve">. Causando </w:t>
      </w:r>
      <w:r w:rsidRPr="00E40C65">
        <w:rPr>
          <w:rFonts w:ascii="Arial" w:hAnsi="Arial" w:cs="Arial"/>
          <w:sz w:val="24"/>
        </w:rPr>
        <w:t>incremento extremo de la volatilidad diaria</w:t>
      </w:r>
      <w:r>
        <w:rPr>
          <w:rFonts w:ascii="Arial" w:hAnsi="Arial" w:cs="Arial"/>
          <w:sz w:val="24"/>
        </w:rPr>
        <w:t xml:space="preserve">, siendo los mayores afectados </w:t>
      </w:r>
      <w:r w:rsidRPr="00E40C65">
        <w:rPr>
          <w:rFonts w:ascii="Arial" w:hAnsi="Arial" w:cs="Arial"/>
          <w:sz w:val="24"/>
        </w:rPr>
        <w:t>JPM (-40%) y JCI (-30%)</w:t>
      </w:r>
      <w:r>
        <w:rPr>
          <w:rFonts w:ascii="Arial" w:hAnsi="Arial" w:cs="Arial"/>
          <w:sz w:val="24"/>
        </w:rPr>
        <w:t>.</w:t>
      </w:r>
    </w:p>
    <w:p w14:paraId="6410C173" w14:textId="1586E18E" w:rsidR="001C21D1" w:rsidRDefault="001C21D1" w:rsidP="001C21D1">
      <w:pPr>
        <w:ind w:firstLine="708"/>
        <w:jc w:val="both"/>
        <w:rPr>
          <w:rFonts w:ascii="Arial" w:hAnsi="Arial" w:cs="Arial"/>
          <w:sz w:val="24"/>
          <w:u w:val="single"/>
        </w:rPr>
      </w:pPr>
      <w:r w:rsidRPr="001C21D1">
        <w:rPr>
          <w:rFonts w:ascii="Arial" w:hAnsi="Arial" w:cs="Arial"/>
          <w:sz w:val="24"/>
          <w:u w:val="single"/>
        </w:rPr>
        <w:t>Enero–Marzo de 2021 — Expansión tecnológica y auge de Pfizer</w:t>
      </w:r>
      <w:r>
        <w:rPr>
          <w:rFonts w:ascii="Arial" w:hAnsi="Arial" w:cs="Arial"/>
          <w:sz w:val="24"/>
          <w:u w:val="single"/>
        </w:rPr>
        <w:t xml:space="preserve"> </w:t>
      </w:r>
    </w:p>
    <w:p w14:paraId="71DA43FF" w14:textId="37A82CCD" w:rsidR="001C21D1" w:rsidRPr="001C21D1" w:rsidRDefault="001C21D1" w:rsidP="001C21D1">
      <w:pPr>
        <w:ind w:left="708"/>
        <w:jc w:val="both"/>
        <w:rPr>
          <w:rFonts w:ascii="Arial" w:hAnsi="Arial" w:cs="Arial"/>
          <w:sz w:val="24"/>
        </w:rPr>
      </w:pPr>
      <w:r w:rsidRPr="001C21D1">
        <w:rPr>
          <w:rFonts w:ascii="Arial" w:hAnsi="Arial" w:cs="Arial"/>
          <w:sz w:val="24"/>
        </w:rPr>
        <w:t>Fuerte ascenso en PFE, alcanzando máximos históricos por la comercialización masiva de su vacuna COVID-</w:t>
      </w:r>
      <w:r>
        <w:rPr>
          <w:rFonts w:ascii="Arial" w:hAnsi="Arial" w:cs="Arial"/>
          <w:sz w:val="24"/>
        </w:rPr>
        <w:t xml:space="preserve">19, </w:t>
      </w:r>
      <w:r w:rsidRPr="001C21D1">
        <w:rPr>
          <w:rFonts w:ascii="Arial" w:hAnsi="Arial" w:cs="Arial"/>
          <w:sz w:val="24"/>
        </w:rPr>
        <w:t>estímulos fiscales en EE. UU. impulsan el mercado accionario, generando rupturas alcistas en COST y DL</w:t>
      </w:r>
      <w:r>
        <w:rPr>
          <w:rFonts w:ascii="Arial" w:hAnsi="Arial" w:cs="Arial"/>
          <w:sz w:val="24"/>
        </w:rPr>
        <w:t>. C</w:t>
      </w:r>
      <w:r w:rsidRPr="001C21D1">
        <w:rPr>
          <w:rFonts w:ascii="Arial" w:hAnsi="Arial" w:cs="Arial"/>
          <w:sz w:val="24"/>
        </w:rPr>
        <w:t>ambio estructural positivo con retornos acumulados significativos y aumento temporal de volatilidad</w:t>
      </w:r>
      <w:r>
        <w:rPr>
          <w:rFonts w:ascii="Arial" w:hAnsi="Arial" w:cs="Arial"/>
          <w:sz w:val="24"/>
        </w:rPr>
        <w:t>.</w:t>
      </w:r>
    </w:p>
    <w:p w14:paraId="69C98264" w14:textId="0F1327C6" w:rsidR="001C21D1" w:rsidRDefault="001C21D1" w:rsidP="001C21D1">
      <w:pPr>
        <w:ind w:firstLine="708"/>
        <w:jc w:val="both"/>
        <w:rPr>
          <w:rFonts w:ascii="Arial" w:hAnsi="Arial" w:cs="Arial"/>
          <w:sz w:val="24"/>
          <w:u w:val="single"/>
        </w:rPr>
      </w:pPr>
      <w:r w:rsidRPr="001C21D1">
        <w:rPr>
          <w:rFonts w:ascii="Arial" w:hAnsi="Arial" w:cs="Arial"/>
          <w:sz w:val="24"/>
          <w:u w:val="single"/>
        </w:rPr>
        <w:t>Marzo–Octubre de 2022 — Incremento de tasas e inflación elevada</w:t>
      </w:r>
      <w:r>
        <w:rPr>
          <w:rFonts w:ascii="Arial" w:hAnsi="Arial" w:cs="Arial"/>
          <w:sz w:val="24"/>
          <w:u w:val="single"/>
        </w:rPr>
        <w:t xml:space="preserve"> </w:t>
      </w:r>
    </w:p>
    <w:p w14:paraId="729C2465" w14:textId="4505316B" w:rsidR="001C21D1" w:rsidRDefault="001C21D1" w:rsidP="001C21D1">
      <w:pPr>
        <w:ind w:left="708"/>
        <w:jc w:val="both"/>
        <w:rPr>
          <w:rFonts w:ascii="Arial" w:hAnsi="Arial" w:cs="Arial"/>
          <w:sz w:val="24"/>
        </w:rPr>
      </w:pPr>
      <w:r>
        <w:rPr>
          <w:rFonts w:ascii="Arial" w:hAnsi="Arial" w:cs="Arial"/>
          <w:sz w:val="24"/>
        </w:rPr>
        <w:t>P</w:t>
      </w:r>
      <w:r w:rsidRPr="001C21D1">
        <w:rPr>
          <w:rFonts w:ascii="Arial" w:hAnsi="Arial" w:cs="Arial"/>
          <w:sz w:val="24"/>
        </w:rPr>
        <w:t>olítica monetaria restrictiva de la Reserva Federal (subidas de tasas de interés de 0.25% a 4.50% en menos de un año)</w:t>
      </w:r>
      <w:r w:rsidR="00296FD0">
        <w:rPr>
          <w:rFonts w:ascii="Arial" w:hAnsi="Arial" w:cs="Arial"/>
          <w:sz w:val="24"/>
        </w:rPr>
        <w:t>.</w:t>
      </w:r>
      <w:r w:rsidR="00296FD0" w:rsidRPr="00296FD0">
        <w:t xml:space="preserve"> </w:t>
      </w:r>
      <w:r w:rsidR="00296FD0">
        <w:rPr>
          <w:rFonts w:ascii="Arial" w:hAnsi="Arial" w:cs="Arial"/>
          <w:sz w:val="24"/>
        </w:rPr>
        <w:t>I</w:t>
      </w:r>
      <w:r w:rsidR="00296FD0" w:rsidRPr="00296FD0">
        <w:rPr>
          <w:rFonts w:ascii="Arial" w:hAnsi="Arial" w:cs="Arial"/>
          <w:sz w:val="24"/>
        </w:rPr>
        <w:t>nflación superior al 8 %, subidas agresivas de tasas y aumento de la volatilidad financiera</w:t>
      </w:r>
      <w:r w:rsidRPr="001C21D1">
        <w:rPr>
          <w:rFonts w:ascii="Arial" w:hAnsi="Arial" w:cs="Arial"/>
          <w:sz w:val="24"/>
        </w:rPr>
        <w:t>.</w:t>
      </w:r>
      <w:r>
        <w:rPr>
          <w:rFonts w:ascii="Arial" w:hAnsi="Arial" w:cs="Arial"/>
          <w:sz w:val="24"/>
        </w:rPr>
        <w:t xml:space="preserve"> R</w:t>
      </w:r>
      <w:r w:rsidRPr="001C21D1">
        <w:rPr>
          <w:rFonts w:ascii="Arial" w:hAnsi="Arial" w:cs="Arial"/>
          <w:sz w:val="24"/>
        </w:rPr>
        <w:t xml:space="preserve">uptura descendente (breakpoint) en los precios de activos sensibles a tasas. </w:t>
      </w:r>
    </w:p>
    <w:p w14:paraId="3ED41B33" w14:textId="0382E4D7" w:rsidR="00296FD0" w:rsidRDefault="00296FD0" w:rsidP="00296FD0">
      <w:pPr>
        <w:ind w:firstLine="708"/>
        <w:jc w:val="both"/>
        <w:rPr>
          <w:rFonts w:ascii="Arial" w:hAnsi="Arial" w:cs="Arial"/>
          <w:sz w:val="24"/>
          <w:u w:val="single"/>
        </w:rPr>
      </w:pPr>
      <w:r w:rsidRPr="00296FD0">
        <w:rPr>
          <w:rFonts w:ascii="Arial" w:hAnsi="Arial" w:cs="Arial"/>
          <w:sz w:val="24"/>
          <w:u w:val="single"/>
        </w:rPr>
        <w:t>2023 — Normalización económica y divergencia sectorial</w:t>
      </w:r>
      <w:r>
        <w:rPr>
          <w:rFonts w:ascii="Arial" w:hAnsi="Arial" w:cs="Arial"/>
          <w:sz w:val="24"/>
          <w:u w:val="single"/>
        </w:rPr>
        <w:t xml:space="preserve"> </w:t>
      </w:r>
    </w:p>
    <w:p w14:paraId="6A244054" w14:textId="7FAD98A3" w:rsidR="00296FD0" w:rsidRPr="001C21D1" w:rsidRDefault="00296FD0" w:rsidP="00296FD0">
      <w:pPr>
        <w:ind w:left="708"/>
        <w:jc w:val="both"/>
        <w:rPr>
          <w:rFonts w:ascii="Arial" w:hAnsi="Arial" w:cs="Arial"/>
          <w:sz w:val="24"/>
        </w:rPr>
      </w:pPr>
      <w:r w:rsidRPr="00296FD0">
        <w:rPr>
          <w:rFonts w:ascii="Arial" w:hAnsi="Arial" w:cs="Arial"/>
          <w:sz w:val="24"/>
        </w:rPr>
        <w:t>Reacomodo sectorial</w:t>
      </w:r>
      <w:r>
        <w:rPr>
          <w:rFonts w:ascii="Arial" w:hAnsi="Arial" w:cs="Arial"/>
          <w:sz w:val="24"/>
        </w:rPr>
        <w:t>,</w:t>
      </w:r>
      <w:r>
        <w:t xml:space="preserve"> </w:t>
      </w:r>
      <w:r w:rsidRPr="001C21D1">
        <w:rPr>
          <w:rFonts w:ascii="Arial" w:hAnsi="Arial" w:cs="Arial"/>
          <w:sz w:val="24"/>
        </w:rPr>
        <w:t>control</w:t>
      </w:r>
      <w:r w:rsidRPr="00296FD0">
        <w:rPr>
          <w:rFonts w:ascii="Arial" w:hAnsi="Arial" w:cs="Arial"/>
          <w:sz w:val="24"/>
        </w:rPr>
        <w:t xml:space="preserve"> parcial de inflación y expectativas de aterrizaje suave de la economía estadounidense. </w:t>
      </w:r>
      <w:r>
        <w:rPr>
          <w:rFonts w:ascii="Arial" w:hAnsi="Arial" w:cs="Arial"/>
          <w:sz w:val="24"/>
        </w:rPr>
        <w:t>R</w:t>
      </w:r>
      <w:r w:rsidRPr="00296FD0">
        <w:rPr>
          <w:rFonts w:ascii="Arial" w:hAnsi="Arial" w:cs="Arial"/>
          <w:sz w:val="24"/>
        </w:rPr>
        <w:t>eportes financieros que muestran una caída en ingresos de productos pandémicos</w:t>
      </w:r>
      <w:r>
        <w:rPr>
          <w:rFonts w:ascii="Arial" w:hAnsi="Arial" w:cs="Arial"/>
          <w:sz w:val="24"/>
        </w:rPr>
        <w:t xml:space="preserve"> (</w:t>
      </w:r>
      <w:r w:rsidRPr="00296FD0">
        <w:rPr>
          <w:rFonts w:ascii="Arial" w:hAnsi="Arial" w:cs="Arial"/>
          <w:sz w:val="24"/>
        </w:rPr>
        <w:t>disminución de ventas relacionadas con COVID-19</w:t>
      </w:r>
      <w:r>
        <w:rPr>
          <w:rFonts w:ascii="Arial" w:hAnsi="Arial" w:cs="Arial"/>
          <w:sz w:val="24"/>
        </w:rPr>
        <w:t>)</w:t>
      </w:r>
      <w:r w:rsidRPr="00296FD0">
        <w:rPr>
          <w:rFonts w:ascii="Arial" w:hAnsi="Arial" w:cs="Arial"/>
          <w:sz w:val="24"/>
        </w:rPr>
        <w:t>; estabilización en consumo básico y finanzas</w:t>
      </w:r>
    </w:p>
    <w:p w14:paraId="1953CC5F" w14:textId="77777777" w:rsidR="00296FD0" w:rsidRPr="001C21D1" w:rsidRDefault="00296FD0" w:rsidP="001C21D1">
      <w:pPr>
        <w:ind w:left="708"/>
        <w:jc w:val="both"/>
        <w:rPr>
          <w:rFonts w:ascii="Arial" w:hAnsi="Arial" w:cs="Arial"/>
          <w:sz w:val="24"/>
        </w:rPr>
      </w:pPr>
    </w:p>
    <w:p w14:paraId="745460C1" w14:textId="77777777" w:rsidR="001C21D1" w:rsidRPr="00E40C65" w:rsidRDefault="001C21D1" w:rsidP="00E40C65">
      <w:pPr>
        <w:ind w:left="708"/>
        <w:jc w:val="both"/>
        <w:rPr>
          <w:rFonts w:ascii="Arial" w:hAnsi="Arial" w:cs="Arial"/>
          <w:sz w:val="24"/>
        </w:rPr>
      </w:pPr>
    </w:p>
    <w:p w14:paraId="624D74BB" w14:textId="77777777" w:rsidR="00121EFB" w:rsidRDefault="00121EFB" w:rsidP="00BC6686">
      <w:pPr>
        <w:jc w:val="both"/>
        <w:rPr>
          <w:rFonts w:ascii="Arial" w:hAnsi="Arial" w:cs="Arial"/>
          <w:sz w:val="24"/>
        </w:rPr>
      </w:pPr>
    </w:p>
    <w:p w14:paraId="74DC25BA" w14:textId="77777777" w:rsidR="00121EFB" w:rsidRDefault="00121EFB" w:rsidP="00BC6686">
      <w:pPr>
        <w:jc w:val="both"/>
        <w:rPr>
          <w:rFonts w:ascii="Arial" w:hAnsi="Arial" w:cs="Arial"/>
          <w:sz w:val="24"/>
        </w:rPr>
      </w:pPr>
    </w:p>
    <w:p w14:paraId="7CCCF63C" w14:textId="77777777" w:rsidR="006431C7" w:rsidRDefault="006431C7" w:rsidP="00BC6686">
      <w:pPr>
        <w:jc w:val="both"/>
        <w:rPr>
          <w:rFonts w:ascii="Arial" w:hAnsi="Arial" w:cs="Arial"/>
          <w:sz w:val="24"/>
        </w:rPr>
      </w:pPr>
    </w:p>
    <w:p w14:paraId="6B2E05C8" w14:textId="77777777" w:rsidR="00121EFB" w:rsidRDefault="00121EFB" w:rsidP="00BC6686">
      <w:pPr>
        <w:jc w:val="both"/>
        <w:rPr>
          <w:rFonts w:ascii="Arial" w:hAnsi="Arial" w:cs="Arial"/>
          <w:sz w:val="24"/>
        </w:rPr>
      </w:pPr>
    </w:p>
    <w:p w14:paraId="5BD7BB20" w14:textId="3E0DB333" w:rsidR="002A23BE" w:rsidRDefault="002A23BE" w:rsidP="00BC6686">
      <w:pPr>
        <w:jc w:val="both"/>
        <w:rPr>
          <w:rFonts w:ascii="Arial" w:hAnsi="Arial" w:cs="Arial"/>
          <w:b/>
          <w:bCs/>
          <w:sz w:val="32"/>
          <w:szCs w:val="32"/>
        </w:rPr>
      </w:pPr>
      <w:r w:rsidRPr="002A23BE">
        <w:rPr>
          <w:rFonts w:ascii="Arial" w:hAnsi="Arial" w:cs="Arial"/>
          <w:b/>
          <w:bCs/>
          <w:sz w:val="32"/>
          <w:szCs w:val="32"/>
        </w:rPr>
        <w:lastRenderedPageBreak/>
        <w:t>Comparación con el índice más adecuado</w:t>
      </w:r>
    </w:p>
    <w:p w14:paraId="0331213D" w14:textId="4B3B6F67" w:rsidR="002A23BE" w:rsidRDefault="006431C7" w:rsidP="00BC6686">
      <w:pPr>
        <w:jc w:val="both"/>
        <w:rPr>
          <w:rFonts w:ascii="Arial" w:hAnsi="Arial" w:cs="Arial"/>
          <w:b/>
          <w:bCs/>
          <w:sz w:val="32"/>
          <w:szCs w:val="32"/>
        </w:rPr>
      </w:pPr>
      <w:r w:rsidRPr="006431C7">
        <w:rPr>
          <w:rFonts w:ascii="Arial" w:hAnsi="Arial" w:cs="Arial"/>
          <w:b/>
          <w:bCs/>
          <w:sz w:val="32"/>
          <w:szCs w:val="32"/>
        </w:rPr>
        <w:drawing>
          <wp:inline distT="0" distB="0" distL="0" distR="0" wp14:anchorId="422D9E81" wp14:editId="6741BF86">
            <wp:extent cx="5780405" cy="3089275"/>
            <wp:effectExtent l="0" t="0" r="0" b="0"/>
            <wp:docPr id="2126811924"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11924" name="Imagen 1" descr="Gráfico, Gráfico de líneas&#10;&#10;El contenido generado por IA puede ser incorrecto."/>
                    <pic:cNvPicPr/>
                  </pic:nvPicPr>
                  <pic:blipFill>
                    <a:blip r:embed="rId13"/>
                    <a:stretch>
                      <a:fillRect/>
                    </a:stretch>
                  </pic:blipFill>
                  <pic:spPr>
                    <a:xfrm>
                      <a:off x="0" y="0"/>
                      <a:ext cx="5780405" cy="3089275"/>
                    </a:xfrm>
                    <a:prstGeom prst="rect">
                      <a:avLst/>
                    </a:prstGeom>
                  </pic:spPr>
                </pic:pic>
              </a:graphicData>
            </a:graphic>
          </wp:inline>
        </w:drawing>
      </w:r>
    </w:p>
    <w:p w14:paraId="55A4D04E" w14:textId="77777777" w:rsidR="00FB2448" w:rsidRPr="00FB2448" w:rsidRDefault="00FB2448" w:rsidP="00FB2448">
      <w:pPr>
        <w:jc w:val="both"/>
        <w:rPr>
          <w:rFonts w:ascii="Arial" w:hAnsi="Arial" w:cs="Arial"/>
          <w:sz w:val="24"/>
          <w:lang w:val="es-MX"/>
        </w:rPr>
      </w:pPr>
      <w:r w:rsidRPr="00FB2448">
        <w:rPr>
          <w:rFonts w:ascii="Arial" w:hAnsi="Arial" w:cs="Arial"/>
          <w:sz w:val="24"/>
          <w:lang w:val="es-MX"/>
        </w:rPr>
        <w:t xml:space="preserve">Se elige el índice S&amp;P 500 (Standard &amp; </w:t>
      </w:r>
      <w:proofErr w:type="spellStart"/>
      <w:r w:rsidRPr="00FB2448">
        <w:rPr>
          <w:rFonts w:ascii="Arial" w:hAnsi="Arial" w:cs="Arial"/>
          <w:sz w:val="24"/>
          <w:lang w:val="es-MX"/>
        </w:rPr>
        <w:t>Poor’s</w:t>
      </w:r>
      <w:proofErr w:type="spellEnd"/>
      <w:r w:rsidRPr="00FB2448">
        <w:rPr>
          <w:rFonts w:ascii="Arial" w:hAnsi="Arial" w:cs="Arial"/>
          <w:sz w:val="24"/>
          <w:lang w:val="es-MX"/>
        </w:rPr>
        <w:t xml:space="preserve"> 500 </w:t>
      </w:r>
      <w:proofErr w:type="spellStart"/>
      <w:r w:rsidRPr="00FB2448">
        <w:rPr>
          <w:rFonts w:ascii="Arial" w:hAnsi="Arial" w:cs="Arial"/>
          <w:sz w:val="24"/>
          <w:lang w:val="es-MX"/>
        </w:rPr>
        <w:t>Index</w:t>
      </w:r>
      <w:proofErr w:type="spellEnd"/>
      <w:r w:rsidRPr="00FB2448">
        <w:rPr>
          <w:rFonts w:ascii="Arial" w:hAnsi="Arial" w:cs="Arial"/>
          <w:sz w:val="24"/>
          <w:lang w:val="es-MX"/>
        </w:rPr>
        <w:t>) como referencia para comparar el desempeño del portafolio, debido a su representatividad, amplitud sectorial y relevancia dentro del mercado financiero de Estados Unidos.</w:t>
      </w:r>
    </w:p>
    <w:p w14:paraId="2ED81E26" w14:textId="77777777" w:rsidR="00FB2448" w:rsidRPr="00FB2448" w:rsidRDefault="00FB2448" w:rsidP="00FB2448">
      <w:pPr>
        <w:jc w:val="both"/>
        <w:rPr>
          <w:rFonts w:ascii="Arial" w:hAnsi="Arial" w:cs="Arial"/>
          <w:sz w:val="24"/>
          <w:lang w:val="es-MX"/>
        </w:rPr>
      </w:pPr>
      <w:r w:rsidRPr="00FB2448">
        <w:rPr>
          <w:rFonts w:ascii="Arial" w:hAnsi="Arial" w:cs="Arial"/>
          <w:sz w:val="24"/>
          <w:lang w:val="es-MX"/>
        </w:rPr>
        <w:t>La gráfica muestra la evolución del índice entre 2018 y 2025, donde se observan con claridad eventos significativos que impactaron los precios: la caída abrupta de 2020 producto de la pandemia por COVID-19, seguida de una recuperación sostenida impulsada por la política monetaria expansiva y el crecimiento tecnológico. En años posteriores, se aprecian episodios de volatilidad ligados a la inflación y los ajustes en las tasas de interés de la Reserva Federal.</w:t>
      </w:r>
    </w:p>
    <w:p w14:paraId="34095B2B" w14:textId="77777777" w:rsidR="00FB2448" w:rsidRPr="00FB2448" w:rsidRDefault="00FB2448" w:rsidP="00FB2448">
      <w:pPr>
        <w:jc w:val="both"/>
        <w:rPr>
          <w:rFonts w:ascii="Arial" w:hAnsi="Arial" w:cs="Arial"/>
          <w:sz w:val="24"/>
          <w:lang w:val="es-MX"/>
        </w:rPr>
      </w:pPr>
      <w:r w:rsidRPr="00FB2448">
        <w:rPr>
          <w:rFonts w:ascii="Arial" w:hAnsi="Arial" w:cs="Arial"/>
          <w:sz w:val="24"/>
          <w:lang w:val="es-MX"/>
        </w:rPr>
        <w:t xml:space="preserve">Las compañías seleccionadas en el portafolio —DLR (infraestructura y tecnología), JCI (industria), PFE (salud), COST (consumo básico) y JPM (finanzas)— coinciden </w:t>
      </w:r>
      <w:proofErr w:type="gramStart"/>
      <w:r w:rsidRPr="00FB2448">
        <w:rPr>
          <w:rFonts w:ascii="Arial" w:hAnsi="Arial" w:cs="Arial"/>
          <w:sz w:val="24"/>
          <w:lang w:val="es-MX"/>
        </w:rPr>
        <w:t>geográficamente y sectorialmente</w:t>
      </w:r>
      <w:proofErr w:type="gramEnd"/>
      <w:r w:rsidRPr="00FB2448">
        <w:rPr>
          <w:rFonts w:ascii="Arial" w:hAnsi="Arial" w:cs="Arial"/>
          <w:sz w:val="24"/>
          <w:lang w:val="es-MX"/>
        </w:rPr>
        <w:t xml:space="preserve"> con los principales componentes del S&amp;P 500.</w:t>
      </w:r>
    </w:p>
    <w:p w14:paraId="65FB3F69" w14:textId="77777777" w:rsidR="00FB2448" w:rsidRPr="00FB2448" w:rsidRDefault="00FB2448" w:rsidP="00FB2448">
      <w:pPr>
        <w:jc w:val="both"/>
        <w:rPr>
          <w:rFonts w:ascii="Arial" w:hAnsi="Arial" w:cs="Arial"/>
          <w:sz w:val="24"/>
          <w:lang w:val="es-MX"/>
        </w:rPr>
      </w:pPr>
      <w:r w:rsidRPr="00FB2448">
        <w:rPr>
          <w:rFonts w:ascii="Arial" w:hAnsi="Arial" w:cs="Arial"/>
          <w:sz w:val="24"/>
          <w:lang w:val="es-MX"/>
        </w:rPr>
        <w:t xml:space="preserve">Por lo tanto, este índice constituye el </w:t>
      </w:r>
      <w:proofErr w:type="spellStart"/>
      <w:r w:rsidRPr="00FB2448">
        <w:rPr>
          <w:rFonts w:ascii="Arial" w:hAnsi="Arial" w:cs="Arial"/>
          <w:sz w:val="24"/>
          <w:lang w:val="es-MX"/>
        </w:rPr>
        <w:t>benchmark</w:t>
      </w:r>
      <w:proofErr w:type="spellEnd"/>
      <w:r w:rsidRPr="00FB2448">
        <w:rPr>
          <w:rFonts w:ascii="Arial" w:hAnsi="Arial" w:cs="Arial"/>
          <w:sz w:val="24"/>
          <w:lang w:val="es-MX"/>
        </w:rPr>
        <w:t xml:space="preserve"> más adecuado para analizar el rendimiento relativo del portafolio, ya que refleja las condiciones económicas y monetarias bajo las cuales operan las empresas seleccionadas, así como la eficiencia del riesgo y la rentabilidad en el mercado estadounidense.</w:t>
      </w:r>
    </w:p>
    <w:p w14:paraId="3577A964" w14:textId="3755121E" w:rsidR="002A23BE" w:rsidRPr="002A23BE" w:rsidRDefault="002A23BE" w:rsidP="002A23BE">
      <w:pPr>
        <w:jc w:val="both"/>
        <w:rPr>
          <w:rFonts w:ascii="Arial" w:hAnsi="Arial" w:cs="Arial"/>
          <w:sz w:val="24"/>
        </w:rPr>
      </w:pPr>
      <w:r w:rsidRPr="002A23BE">
        <w:rPr>
          <w:rFonts w:ascii="Arial" w:hAnsi="Arial" w:cs="Arial"/>
          <w:b/>
          <w:bCs/>
          <w:sz w:val="32"/>
          <w:szCs w:val="32"/>
        </w:rPr>
        <w:br/>
      </w:r>
    </w:p>
    <w:p w14:paraId="5F905D8F" w14:textId="43A4CE3D" w:rsidR="002A23BE" w:rsidRDefault="00A64818" w:rsidP="00BC6686">
      <w:pPr>
        <w:jc w:val="both"/>
        <w:rPr>
          <w:rFonts w:ascii="Arial" w:hAnsi="Arial" w:cs="Arial"/>
          <w:b/>
          <w:bCs/>
          <w:sz w:val="32"/>
          <w:szCs w:val="32"/>
        </w:rPr>
      </w:pPr>
      <w:r>
        <w:rPr>
          <w:rFonts w:ascii="Arial" w:hAnsi="Arial" w:cs="Arial"/>
          <w:b/>
          <w:bCs/>
          <w:sz w:val="32"/>
          <w:szCs w:val="32"/>
        </w:rPr>
        <w:t xml:space="preserve">Análisis de </w:t>
      </w:r>
      <w:proofErr w:type="spellStart"/>
      <w:r>
        <w:rPr>
          <w:rFonts w:ascii="Arial" w:hAnsi="Arial" w:cs="Arial"/>
          <w:b/>
          <w:bCs/>
          <w:sz w:val="32"/>
          <w:szCs w:val="32"/>
        </w:rPr>
        <w:t>drawdown</w:t>
      </w:r>
      <w:proofErr w:type="spellEnd"/>
    </w:p>
    <w:p w14:paraId="163EBF45" w14:textId="37D2F940" w:rsidR="002A23BE" w:rsidRPr="00A64818" w:rsidRDefault="00A64818" w:rsidP="00BC6686">
      <w:pPr>
        <w:jc w:val="both"/>
        <w:rPr>
          <w:rFonts w:ascii="Arial" w:hAnsi="Arial" w:cs="Arial"/>
          <w:sz w:val="24"/>
        </w:rPr>
      </w:pPr>
      <w:r w:rsidRPr="00A64818">
        <w:rPr>
          <w:rFonts w:ascii="Arial" w:hAnsi="Arial" w:cs="Arial"/>
          <w:sz w:val="24"/>
        </w:rPr>
        <w:t xml:space="preserve">El análisis del </w:t>
      </w:r>
      <w:proofErr w:type="spellStart"/>
      <w:r w:rsidRPr="00A64818">
        <w:rPr>
          <w:rFonts w:ascii="Arial" w:hAnsi="Arial" w:cs="Arial"/>
          <w:sz w:val="24"/>
        </w:rPr>
        <w:t>drawdown</w:t>
      </w:r>
      <w:proofErr w:type="spellEnd"/>
      <w:r w:rsidRPr="00A64818">
        <w:rPr>
          <w:rFonts w:ascii="Arial" w:hAnsi="Arial" w:cs="Arial"/>
          <w:sz w:val="24"/>
        </w:rPr>
        <w:t xml:space="preserve"> máximo muestra que el portafolio alcanzó una pérdida máxima de –31.8%, mientras que el S&amp;P 500 registró un –33.9% en el mismo periodo. Esto sugiere que, aunque ambos activos experimentaron caídas significativas, el portafolio presentó una mayor capacidad de recuperación y menor vulnerabilidad durante los episodios de estrés del mercado.</w:t>
      </w:r>
    </w:p>
    <w:p w14:paraId="02392EF0" w14:textId="57771B74" w:rsidR="00A544C5" w:rsidRDefault="00000000" w:rsidP="00A8214E">
      <w:pPr>
        <w:pStyle w:val="Ttulo2"/>
        <w:ind w:left="-5"/>
        <w:jc w:val="both"/>
      </w:pPr>
      <w:r>
        <w:lastRenderedPageBreak/>
        <w:t>Bibliografía</w:t>
      </w:r>
    </w:p>
    <w:p w14:paraId="65B20552" w14:textId="77777777" w:rsidR="00165E1D" w:rsidRPr="00165E1D" w:rsidRDefault="00165E1D" w:rsidP="00165E1D">
      <w:pPr>
        <w:numPr>
          <w:ilvl w:val="0"/>
          <w:numId w:val="15"/>
        </w:numPr>
        <w:spacing w:after="254"/>
        <w:jc w:val="both"/>
        <w:rPr>
          <w:rFonts w:ascii="Arial" w:hAnsi="Arial" w:cs="Arial"/>
          <w:sz w:val="24"/>
        </w:rPr>
      </w:pPr>
      <w:r w:rsidRPr="00165E1D">
        <w:rPr>
          <w:rFonts w:ascii="Arial" w:hAnsi="Arial" w:cs="Arial"/>
          <w:sz w:val="24"/>
          <w:lang w:val="en-US"/>
        </w:rPr>
        <w:t xml:space="preserve">Yahoo Finance. (2024). </w:t>
      </w:r>
      <w:r w:rsidRPr="00165E1D">
        <w:rPr>
          <w:rFonts w:ascii="Arial" w:hAnsi="Arial" w:cs="Arial"/>
          <w:i/>
          <w:iCs/>
          <w:sz w:val="24"/>
          <w:lang w:val="en-US"/>
        </w:rPr>
        <w:t>Historical Market Data for DLR, JCI, COST, PFE, JPM, and S&amp;P500.</w:t>
      </w:r>
      <w:r w:rsidRPr="00165E1D">
        <w:rPr>
          <w:rFonts w:ascii="Arial" w:hAnsi="Arial" w:cs="Arial"/>
          <w:sz w:val="24"/>
          <w:lang w:val="en-US"/>
        </w:rPr>
        <w:t xml:space="preserve"> </w:t>
      </w:r>
      <w:r w:rsidRPr="00165E1D">
        <w:rPr>
          <w:rFonts w:ascii="Arial" w:hAnsi="Arial" w:cs="Arial"/>
          <w:sz w:val="24"/>
        </w:rPr>
        <w:t xml:space="preserve">Recuperado de </w:t>
      </w:r>
      <w:hyperlink r:id="rId14" w:tgtFrame="_new" w:history="1">
        <w:r w:rsidRPr="00165E1D">
          <w:rPr>
            <w:rStyle w:val="Hipervnculo"/>
            <w:rFonts w:ascii="Arial" w:hAnsi="Arial" w:cs="Arial"/>
            <w:sz w:val="24"/>
          </w:rPr>
          <w:t>https://finance.yahoo.com</w:t>
        </w:r>
      </w:hyperlink>
    </w:p>
    <w:p w14:paraId="7982FC6B" w14:textId="77777777" w:rsidR="00165E1D" w:rsidRPr="00165E1D" w:rsidRDefault="00165E1D" w:rsidP="00165E1D">
      <w:pPr>
        <w:numPr>
          <w:ilvl w:val="0"/>
          <w:numId w:val="15"/>
        </w:numPr>
        <w:spacing w:after="254"/>
        <w:jc w:val="both"/>
        <w:rPr>
          <w:rFonts w:ascii="Arial" w:hAnsi="Arial" w:cs="Arial"/>
          <w:sz w:val="24"/>
        </w:rPr>
      </w:pPr>
      <w:r w:rsidRPr="00165E1D">
        <w:rPr>
          <w:rFonts w:ascii="Arial" w:hAnsi="Arial" w:cs="Arial"/>
          <w:sz w:val="24"/>
          <w:lang w:val="en-US"/>
        </w:rPr>
        <w:t xml:space="preserve">Digital Realty Trust Inc. (DLR). </w:t>
      </w:r>
      <w:r w:rsidRPr="00165E1D">
        <w:rPr>
          <w:rFonts w:ascii="Arial" w:hAnsi="Arial" w:cs="Arial"/>
          <w:sz w:val="24"/>
        </w:rPr>
        <w:t xml:space="preserve">(2023). </w:t>
      </w:r>
      <w:r w:rsidRPr="00165E1D">
        <w:rPr>
          <w:rFonts w:ascii="Arial" w:hAnsi="Arial" w:cs="Arial"/>
          <w:i/>
          <w:iCs/>
          <w:sz w:val="24"/>
        </w:rPr>
        <w:t>Annual Report 2023.</w:t>
      </w:r>
      <w:r w:rsidRPr="00165E1D">
        <w:rPr>
          <w:rFonts w:ascii="Arial" w:hAnsi="Arial" w:cs="Arial"/>
          <w:sz w:val="24"/>
        </w:rPr>
        <w:t xml:space="preserve"> Recuperado de </w:t>
      </w:r>
      <w:hyperlink r:id="rId15" w:tgtFrame="_new" w:history="1">
        <w:r w:rsidRPr="00165E1D">
          <w:rPr>
            <w:rStyle w:val="Hipervnculo"/>
            <w:rFonts w:ascii="Arial" w:hAnsi="Arial" w:cs="Arial"/>
            <w:sz w:val="24"/>
          </w:rPr>
          <w:t>https://investor.digitalrealty.com</w:t>
        </w:r>
      </w:hyperlink>
    </w:p>
    <w:p w14:paraId="311A88B6" w14:textId="77777777" w:rsidR="00165E1D" w:rsidRPr="00165E1D" w:rsidRDefault="00165E1D" w:rsidP="00165E1D">
      <w:pPr>
        <w:numPr>
          <w:ilvl w:val="0"/>
          <w:numId w:val="15"/>
        </w:numPr>
        <w:spacing w:after="254"/>
        <w:jc w:val="both"/>
        <w:rPr>
          <w:rFonts w:ascii="Arial" w:hAnsi="Arial" w:cs="Arial"/>
          <w:sz w:val="24"/>
        </w:rPr>
      </w:pPr>
      <w:r w:rsidRPr="00165E1D">
        <w:rPr>
          <w:rFonts w:ascii="Arial" w:hAnsi="Arial" w:cs="Arial"/>
          <w:sz w:val="24"/>
        </w:rPr>
        <w:t xml:space="preserve">Johnson Controls International plc (JCI). (2023). </w:t>
      </w:r>
      <w:r w:rsidRPr="00165E1D">
        <w:rPr>
          <w:rFonts w:ascii="Arial" w:hAnsi="Arial" w:cs="Arial"/>
          <w:i/>
          <w:iCs/>
          <w:sz w:val="24"/>
        </w:rPr>
        <w:t>Investor Relations – Annual Report 2023.</w:t>
      </w:r>
      <w:r w:rsidRPr="00165E1D">
        <w:rPr>
          <w:rFonts w:ascii="Arial" w:hAnsi="Arial" w:cs="Arial"/>
          <w:sz w:val="24"/>
        </w:rPr>
        <w:t xml:space="preserve"> Recuperado de </w:t>
      </w:r>
      <w:hyperlink r:id="rId16" w:tgtFrame="_new" w:history="1">
        <w:r w:rsidRPr="00165E1D">
          <w:rPr>
            <w:rStyle w:val="Hipervnculo"/>
            <w:rFonts w:ascii="Arial" w:hAnsi="Arial" w:cs="Arial"/>
            <w:sz w:val="24"/>
          </w:rPr>
          <w:t>https://investors.johnsoncontrols.com</w:t>
        </w:r>
      </w:hyperlink>
    </w:p>
    <w:p w14:paraId="61FB8110" w14:textId="77777777" w:rsidR="00165E1D" w:rsidRPr="00165E1D" w:rsidRDefault="00165E1D" w:rsidP="00165E1D">
      <w:pPr>
        <w:numPr>
          <w:ilvl w:val="0"/>
          <w:numId w:val="15"/>
        </w:numPr>
        <w:spacing w:after="254"/>
        <w:jc w:val="both"/>
        <w:rPr>
          <w:rFonts w:ascii="Arial" w:hAnsi="Arial" w:cs="Arial"/>
          <w:sz w:val="24"/>
        </w:rPr>
      </w:pPr>
      <w:r w:rsidRPr="00165E1D">
        <w:rPr>
          <w:rFonts w:ascii="Arial" w:hAnsi="Arial" w:cs="Arial"/>
          <w:sz w:val="24"/>
          <w:lang w:val="en-US"/>
        </w:rPr>
        <w:t xml:space="preserve">JPMorgan Chase &amp; Co. (JPM). (2023). </w:t>
      </w:r>
      <w:r w:rsidRPr="00165E1D">
        <w:rPr>
          <w:rFonts w:ascii="Arial" w:hAnsi="Arial" w:cs="Arial"/>
          <w:i/>
          <w:iCs/>
          <w:sz w:val="24"/>
          <w:lang w:val="en-US"/>
        </w:rPr>
        <w:t>Annual Report and Financial Statements.</w:t>
      </w:r>
      <w:r w:rsidRPr="00165E1D">
        <w:rPr>
          <w:rFonts w:ascii="Arial" w:hAnsi="Arial" w:cs="Arial"/>
          <w:sz w:val="24"/>
          <w:lang w:val="en-US"/>
        </w:rPr>
        <w:t xml:space="preserve"> </w:t>
      </w:r>
      <w:r w:rsidRPr="00165E1D">
        <w:rPr>
          <w:rFonts w:ascii="Arial" w:hAnsi="Arial" w:cs="Arial"/>
          <w:sz w:val="24"/>
        </w:rPr>
        <w:t xml:space="preserve">Recuperado de </w:t>
      </w:r>
      <w:hyperlink r:id="rId17" w:tgtFrame="_new" w:history="1">
        <w:r w:rsidRPr="00165E1D">
          <w:rPr>
            <w:rStyle w:val="Hipervnculo"/>
            <w:rFonts w:ascii="Arial" w:hAnsi="Arial" w:cs="Arial"/>
            <w:sz w:val="24"/>
          </w:rPr>
          <w:t>https://www.jpmorganchase.com</w:t>
        </w:r>
      </w:hyperlink>
    </w:p>
    <w:p w14:paraId="08931F94" w14:textId="77777777" w:rsidR="00165E1D" w:rsidRPr="00165E1D" w:rsidRDefault="00165E1D" w:rsidP="00165E1D">
      <w:pPr>
        <w:numPr>
          <w:ilvl w:val="0"/>
          <w:numId w:val="15"/>
        </w:numPr>
        <w:spacing w:after="254"/>
        <w:jc w:val="both"/>
        <w:rPr>
          <w:rFonts w:ascii="Arial" w:hAnsi="Arial" w:cs="Arial"/>
          <w:sz w:val="24"/>
        </w:rPr>
      </w:pPr>
      <w:r w:rsidRPr="00165E1D">
        <w:rPr>
          <w:rFonts w:ascii="Arial" w:hAnsi="Arial" w:cs="Arial"/>
          <w:sz w:val="24"/>
          <w:lang w:val="en-US"/>
        </w:rPr>
        <w:t xml:space="preserve">Costco Wholesale Corporation (COST). (2023). </w:t>
      </w:r>
      <w:r w:rsidRPr="00165E1D">
        <w:rPr>
          <w:rFonts w:ascii="Arial" w:hAnsi="Arial" w:cs="Arial"/>
          <w:i/>
          <w:iCs/>
          <w:sz w:val="24"/>
          <w:lang w:val="en-US"/>
        </w:rPr>
        <w:t>Annual Report and Financial Review.</w:t>
      </w:r>
      <w:r w:rsidRPr="00165E1D">
        <w:rPr>
          <w:rFonts w:ascii="Arial" w:hAnsi="Arial" w:cs="Arial"/>
          <w:sz w:val="24"/>
          <w:lang w:val="en-US"/>
        </w:rPr>
        <w:t xml:space="preserve"> </w:t>
      </w:r>
      <w:r w:rsidRPr="00165E1D">
        <w:rPr>
          <w:rFonts w:ascii="Arial" w:hAnsi="Arial" w:cs="Arial"/>
          <w:sz w:val="24"/>
        </w:rPr>
        <w:t>Recuperado de https://investor.costco.com</w:t>
      </w:r>
    </w:p>
    <w:p w14:paraId="0F2F1F4D" w14:textId="77777777" w:rsidR="00165E1D" w:rsidRPr="004F7B45" w:rsidRDefault="00165E1D" w:rsidP="00165E1D">
      <w:pPr>
        <w:numPr>
          <w:ilvl w:val="0"/>
          <w:numId w:val="15"/>
        </w:numPr>
        <w:spacing w:after="254"/>
        <w:jc w:val="both"/>
        <w:rPr>
          <w:rFonts w:ascii="Arial" w:hAnsi="Arial" w:cs="Arial"/>
          <w:sz w:val="24"/>
        </w:rPr>
      </w:pPr>
      <w:r w:rsidRPr="00165E1D">
        <w:rPr>
          <w:rFonts w:ascii="Arial" w:hAnsi="Arial" w:cs="Arial"/>
          <w:sz w:val="24"/>
          <w:lang w:val="en-US"/>
        </w:rPr>
        <w:t xml:space="preserve">Pfizer Inc. (PFE). (2023). </w:t>
      </w:r>
      <w:r w:rsidRPr="00165E1D">
        <w:rPr>
          <w:rFonts w:ascii="Arial" w:hAnsi="Arial" w:cs="Arial"/>
          <w:i/>
          <w:iCs/>
          <w:sz w:val="24"/>
          <w:lang w:val="en-US"/>
        </w:rPr>
        <w:t>Annual Report and Corporate Filings.</w:t>
      </w:r>
      <w:r w:rsidRPr="00165E1D">
        <w:rPr>
          <w:rFonts w:ascii="Arial" w:hAnsi="Arial" w:cs="Arial"/>
          <w:sz w:val="24"/>
          <w:lang w:val="en-US"/>
        </w:rPr>
        <w:t xml:space="preserve"> </w:t>
      </w:r>
      <w:r w:rsidRPr="00165E1D">
        <w:rPr>
          <w:rFonts w:ascii="Arial" w:hAnsi="Arial" w:cs="Arial"/>
          <w:sz w:val="24"/>
        </w:rPr>
        <w:t xml:space="preserve">Recuperado de </w:t>
      </w:r>
      <w:hyperlink r:id="rId18" w:tgtFrame="_new" w:history="1">
        <w:r w:rsidRPr="00165E1D">
          <w:rPr>
            <w:rStyle w:val="Hipervnculo"/>
            <w:rFonts w:ascii="Arial" w:hAnsi="Arial" w:cs="Arial"/>
            <w:sz w:val="24"/>
          </w:rPr>
          <w:t>https://investors.pfizer.com</w:t>
        </w:r>
      </w:hyperlink>
    </w:p>
    <w:p w14:paraId="330B331E" w14:textId="77777777" w:rsidR="004F7B45" w:rsidRDefault="004F7B45" w:rsidP="004F7B45">
      <w:pPr>
        <w:spacing w:after="254"/>
        <w:jc w:val="both"/>
      </w:pPr>
    </w:p>
    <w:p w14:paraId="679C56FA" w14:textId="45B154A4" w:rsidR="004F7B45" w:rsidRDefault="004F7B45" w:rsidP="004F7B45">
      <w:pPr>
        <w:spacing w:after="254"/>
        <w:jc w:val="both"/>
        <w:rPr>
          <w:sz w:val="34"/>
          <w:szCs w:val="34"/>
        </w:rPr>
      </w:pPr>
      <w:r w:rsidRPr="004F7B45">
        <w:rPr>
          <w:sz w:val="34"/>
          <w:szCs w:val="34"/>
        </w:rPr>
        <w:t>Repositorio</w:t>
      </w:r>
      <w:r>
        <w:rPr>
          <w:sz w:val="34"/>
          <w:szCs w:val="34"/>
        </w:rPr>
        <w:t>:</w:t>
      </w:r>
    </w:p>
    <w:p w14:paraId="579DAAF6" w14:textId="1D95164A" w:rsidR="004F7B45" w:rsidRPr="004F7B45" w:rsidRDefault="004F7B45" w:rsidP="004F7B45">
      <w:pPr>
        <w:spacing w:after="254"/>
        <w:jc w:val="both"/>
        <w:rPr>
          <w:rFonts w:ascii="Arial" w:hAnsi="Arial" w:cs="Arial"/>
          <w:sz w:val="24"/>
        </w:rPr>
      </w:pPr>
      <w:hyperlink r:id="rId19" w:history="1">
        <w:r w:rsidRPr="004F7B45">
          <w:rPr>
            <w:rStyle w:val="Hipervnculo"/>
            <w:rFonts w:ascii="Arial" w:hAnsi="Arial" w:cs="Arial"/>
            <w:sz w:val="24"/>
          </w:rPr>
          <w:t>Sara-8a/PROYECTO-ANALISIS-DEL-RIESGO</w:t>
        </w:r>
      </w:hyperlink>
    </w:p>
    <w:p w14:paraId="5132EF62" w14:textId="77777777" w:rsidR="00FB2448" w:rsidRPr="004F7B45" w:rsidRDefault="00FB2448" w:rsidP="00FB2448">
      <w:pPr>
        <w:spacing w:after="254"/>
        <w:jc w:val="both"/>
        <w:rPr>
          <w:rFonts w:ascii="Arial" w:hAnsi="Arial" w:cs="Arial"/>
          <w:sz w:val="24"/>
        </w:rPr>
      </w:pPr>
    </w:p>
    <w:p w14:paraId="7B056149" w14:textId="34F2735F" w:rsidR="00A544C5" w:rsidRDefault="00A544C5" w:rsidP="00A8214E">
      <w:pPr>
        <w:spacing w:after="254"/>
        <w:jc w:val="both"/>
      </w:pPr>
    </w:p>
    <w:p w14:paraId="187223D6" w14:textId="5440CA05" w:rsidR="00A544C5" w:rsidRDefault="00A544C5" w:rsidP="00A8214E">
      <w:pPr>
        <w:spacing w:after="254"/>
        <w:jc w:val="both"/>
      </w:pPr>
    </w:p>
    <w:p w14:paraId="6DD57506" w14:textId="5492F8BB" w:rsidR="00A544C5" w:rsidRDefault="00A544C5" w:rsidP="00A8214E">
      <w:pPr>
        <w:spacing w:after="254"/>
        <w:jc w:val="both"/>
      </w:pPr>
    </w:p>
    <w:p w14:paraId="30F74E6F" w14:textId="255D12C0" w:rsidR="00A544C5" w:rsidRDefault="00A544C5" w:rsidP="00A8214E">
      <w:pPr>
        <w:spacing w:after="254"/>
        <w:jc w:val="both"/>
      </w:pPr>
    </w:p>
    <w:p w14:paraId="1A88B77E" w14:textId="7EA50A0A" w:rsidR="00A544C5" w:rsidRDefault="00A544C5" w:rsidP="00A8214E">
      <w:pPr>
        <w:spacing w:after="254"/>
        <w:jc w:val="both"/>
      </w:pPr>
    </w:p>
    <w:p w14:paraId="09F414F9" w14:textId="1C7F2DFA" w:rsidR="00A544C5" w:rsidRDefault="00A544C5" w:rsidP="00A8214E">
      <w:pPr>
        <w:spacing w:after="254"/>
        <w:jc w:val="both"/>
      </w:pPr>
    </w:p>
    <w:p w14:paraId="73D550C5" w14:textId="77777777" w:rsidR="00A544C5" w:rsidRDefault="00000000">
      <w:pPr>
        <w:spacing w:after="235"/>
      </w:pPr>
      <w:r>
        <w:rPr>
          <w:rFonts w:ascii="Arial" w:eastAsia="Arial" w:hAnsi="Arial" w:cs="Arial"/>
          <w:sz w:val="24"/>
        </w:rPr>
        <w:t xml:space="preserve"> </w:t>
      </w:r>
    </w:p>
    <w:p w14:paraId="59889E3C" w14:textId="77777777" w:rsidR="00A544C5" w:rsidRDefault="00000000">
      <w:pPr>
        <w:spacing w:after="18"/>
      </w:pPr>
      <w:r>
        <w:rPr>
          <w:rFonts w:ascii="Arial" w:eastAsia="Arial" w:hAnsi="Arial" w:cs="Arial"/>
        </w:rPr>
        <w:t xml:space="preserve"> </w:t>
      </w:r>
    </w:p>
    <w:p w14:paraId="692B499F" w14:textId="77777777" w:rsidR="00A544C5" w:rsidRDefault="00000000">
      <w:pPr>
        <w:spacing w:after="18"/>
      </w:pPr>
      <w:r>
        <w:rPr>
          <w:rFonts w:ascii="Arial" w:eastAsia="Arial" w:hAnsi="Arial" w:cs="Arial"/>
        </w:rPr>
        <w:t xml:space="preserve"> </w:t>
      </w:r>
    </w:p>
    <w:p w14:paraId="3CB45332" w14:textId="77777777" w:rsidR="00A544C5" w:rsidRDefault="00000000">
      <w:pPr>
        <w:spacing w:after="18"/>
      </w:pPr>
      <w:r>
        <w:rPr>
          <w:rFonts w:ascii="Arial" w:eastAsia="Arial" w:hAnsi="Arial" w:cs="Arial"/>
        </w:rPr>
        <w:t xml:space="preserve"> </w:t>
      </w:r>
    </w:p>
    <w:p w14:paraId="6CE8775C" w14:textId="77777777" w:rsidR="00A544C5" w:rsidRDefault="00000000">
      <w:pPr>
        <w:spacing w:after="18"/>
      </w:pPr>
      <w:r>
        <w:rPr>
          <w:rFonts w:ascii="Arial" w:eastAsia="Arial" w:hAnsi="Arial" w:cs="Arial"/>
        </w:rPr>
        <w:t xml:space="preserve"> </w:t>
      </w:r>
    </w:p>
    <w:p w14:paraId="2D37E83A" w14:textId="77777777" w:rsidR="00A544C5" w:rsidRDefault="00000000">
      <w:pPr>
        <w:spacing w:after="18"/>
      </w:pPr>
      <w:r>
        <w:rPr>
          <w:rFonts w:ascii="Arial" w:eastAsia="Arial" w:hAnsi="Arial" w:cs="Arial"/>
        </w:rPr>
        <w:t xml:space="preserve"> </w:t>
      </w:r>
    </w:p>
    <w:p w14:paraId="54D4D0CF" w14:textId="77777777" w:rsidR="00A544C5" w:rsidRDefault="00000000">
      <w:pPr>
        <w:spacing w:after="18"/>
      </w:pPr>
      <w:r>
        <w:rPr>
          <w:rFonts w:ascii="Arial" w:eastAsia="Arial" w:hAnsi="Arial" w:cs="Arial"/>
        </w:rPr>
        <w:t xml:space="preserve"> </w:t>
      </w:r>
    </w:p>
    <w:p w14:paraId="675595EC" w14:textId="696B2251" w:rsidR="00CD1940" w:rsidRPr="00CD1940" w:rsidRDefault="00000000" w:rsidP="00CD1940">
      <w:pPr>
        <w:spacing w:after="18"/>
        <w:rPr>
          <w:rFonts w:ascii="Segoe UI" w:eastAsia="Times New Roman" w:hAnsi="Segoe UI" w:cs="Segoe UI"/>
          <w:color w:val="056EB2"/>
          <w:kern w:val="0"/>
          <w:sz w:val="19"/>
          <w:szCs w:val="19"/>
          <w:lang w:val="es-MX"/>
        </w:rPr>
      </w:pPr>
      <w:r>
        <w:rPr>
          <w:rFonts w:ascii="Arial" w:eastAsia="Arial" w:hAnsi="Arial" w:cs="Arial"/>
        </w:rPr>
        <w:t xml:space="preserve"> </w:t>
      </w:r>
    </w:p>
    <w:p w14:paraId="62E85230" w14:textId="77777777" w:rsidR="00CD1940" w:rsidRDefault="00CD1940">
      <w:pPr>
        <w:spacing w:after="0"/>
      </w:pPr>
    </w:p>
    <w:sectPr w:rsidR="00CD1940">
      <w:pgSz w:w="11920" w:h="16840"/>
      <w:pgMar w:top="1470" w:right="1377" w:bottom="144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0540"/>
    <w:multiLevelType w:val="hybridMultilevel"/>
    <w:tmpl w:val="148EF7B2"/>
    <w:lvl w:ilvl="0" w:tplc="0FB269B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40228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A8AF50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640141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EF626C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CA828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CE6D22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6A455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D7CC23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3273C3"/>
    <w:multiLevelType w:val="hybridMultilevel"/>
    <w:tmpl w:val="AEEAD7A6"/>
    <w:lvl w:ilvl="0" w:tplc="B91CFD3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F8A67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F54DE7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416FFC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2C041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4C099D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90E9B7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DC7E2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586C37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DE5422A"/>
    <w:multiLevelType w:val="multilevel"/>
    <w:tmpl w:val="EEA2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B54BF"/>
    <w:multiLevelType w:val="multilevel"/>
    <w:tmpl w:val="C0DA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74E54"/>
    <w:multiLevelType w:val="hybridMultilevel"/>
    <w:tmpl w:val="6DA6E976"/>
    <w:lvl w:ilvl="0" w:tplc="FA6457D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8A8A50E">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EFA277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EC2F8E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C6E806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BBE2B6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890AEF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6D2CA6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5EE085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10522ED"/>
    <w:multiLevelType w:val="multilevel"/>
    <w:tmpl w:val="242C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9515AB"/>
    <w:multiLevelType w:val="hybridMultilevel"/>
    <w:tmpl w:val="04F47CFA"/>
    <w:lvl w:ilvl="0" w:tplc="F36E7A32">
      <w:start w:val="1"/>
      <w:numFmt w:val="bullet"/>
      <w:lvlText w:val="●"/>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B7032F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7E8658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BA0323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304032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8E4C7B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FCA39F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B340AE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8F0211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E221AE0"/>
    <w:multiLevelType w:val="multilevel"/>
    <w:tmpl w:val="6984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E56A0"/>
    <w:multiLevelType w:val="hybridMultilevel"/>
    <w:tmpl w:val="1E2C00D8"/>
    <w:lvl w:ilvl="0" w:tplc="B4DCF09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38A7D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BB0F45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15EA35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ECD1D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804292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F28C8D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D63F2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EA8739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FC813BA"/>
    <w:multiLevelType w:val="hybridMultilevel"/>
    <w:tmpl w:val="18E8C6D4"/>
    <w:lvl w:ilvl="0" w:tplc="4830A62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06026D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816B0F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CC65D2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503A1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428C79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D52527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22DD0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4BED56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BD602F7"/>
    <w:multiLevelType w:val="hybridMultilevel"/>
    <w:tmpl w:val="F85217C4"/>
    <w:lvl w:ilvl="0" w:tplc="0526C3D4">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19651AC">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4FEDFC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678232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6E003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D5CC39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C8CAB3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100C86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576909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5D34D85"/>
    <w:multiLevelType w:val="multilevel"/>
    <w:tmpl w:val="4B4E6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BA1ABB"/>
    <w:multiLevelType w:val="hybridMultilevel"/>
    <w:tmpl w:val="CE48309A"/>
    <w:lvl w:ilvl="0" w:tplc="7C66EC24">
      <w:numFmt w:val="bullet"/>
      <w:lvlText w:val="-"/>
      <w:lvlJc w:val="left"/>
      <w:pPr>
        <w:ind w:left="420" w:hanging="360"/>
      </w:pPr>
      <w:rPr>
        <w:rFonts w:ascii="Arial" w:eastAsia="Arial" w:hAnsi="Arial" w:cs="Arial" w:hint="default"/>
      </w:rPr>
    </w:lvl>
    <w:lvl w:ilvl="1" w:tplc="0C0A0003" w:tentative="1">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abstractNum w:abstractNumId="13" w15:restartNumberingAfterBreak="0">
    <w:nsid w:val="63934472"/>
    <w:multiLevelType w:val="multilevel"/>
    <w:tmpl w:val="3A22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6649C8"/>
    <w:multiLevelType w:val="hybridMultilevel"/>
    <w:tmpl w:val="67128E1A"/>
    <w:lvl w:ilvl="0" w:tplc="7C66EC24">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C5942D2"/>
    <w:multiLevelType w:val="multilevel"/>
    <w:tmpl w:val="7160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821388"/>
    <w:multiLevelType w:val="multilevel"/>
    <w:tmpl w:val="E958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274520">
    <w:abstractNumId w:val="8"/>
  </w:num>
  <w:num w:numId="2" w16cid:durableId="1248733591">
    <w:abstractNumId w:val="9"/>
  </w:num>
  <w:num w:numId="3" w16cid:durableId="1559052318">
    <w:abstractNumId w:val="10"/>
  </w:num>
  <w:num w:numId="4" w16cid:durableId="2022079084">
    <w:abstractNumId w:val="1"/>
  </w:num>
  <w:num w:numId="5" w16cid:durableId="1430001652">
    <w:abstractNumId w:val="0"/>
  </w:num>
  <w:num w:numId="6" w16cid:durableId="911769056">
    <w:abstractNumId w:val="6"/>
  </w:num>
  <w:num w:numId="7" w16cid:durableId="1213494726">
    <w:abstractNumId w:val="4"/>
  </w:num>
  <w:num w:numId="8" w16cid:durableId="1417168341">
    <w:abstractNumId w:val="12"/>
  </w:num>
  <w:num w:numId="9" w16cid:durableId="945385439">
    <w:abstractNumId w:val="13"/>
  </w:num>
  <w:num w:numId="10" w16cid:durableId="1820537325">
    <w:abstractNumId w:val="2"/>
  </w:num>
  <w:num w:numId="11" w16cid:durableId="388267811">
    <w:abstractNumId w:val="16"/>
  </w:num>
  <w:num w:numId="12" w16cid:durableId="312755848">
    <w:abstractNumId w:val="5"/>
  </w:num>
  <w:num w:numId="13" w16cid:durableId="1470246628">
    <w:abstractNumId w:val="3"/>
  </w:num>
  <w:num w:numId="14" w16cid:durableId="335772484">
    <w:abstractNumId w:val="7"/>
  </w:num>
  <w:num w:numId="15" w16cid:durableId="707343305">
    <w:abstractNumId w:val="15"/>
  </w:num>
  <w:num w:numId="16" w16cid:durableId="1359309391">
    <w:abstractNumId w:val="11"/>
  </w:num>
  <w:num w:numId="17" w16cid:durableId="1250067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4C5"/>
    <w:rsid w:val="00121EFB"/>
    <w:rsid w:val="00165E1D"/>
    <w:rsid w:val="001C21D1"/>
    <w:rsid w:val="00220DD2"/>
    <w:rsid w:val="00296FD0"/>
    <w:rsid w:val="002A23BE"/>
    <w:rsid w:val="00335660"/>
    <w:rsid w:val="00362F97"/>
    <w:rsid w:val="003B1A0B"/>
    <w:rsid w:val="004F7B45"/>
    <w:rsid w:val="005D586F"/>
    <w:rsid w:val="006431C7"/>
    <w:rsid w:val="006D7C50"/>
    <w:rsid w:val="0082303C"/>
    <w:rsid w:val="008D130E"/>
    <w:rsid w:val="00A544C5"/>
    <w:rsid w:val="00A573FD"/>
    <w:rsid w:val="00A64818"/>
    <w:rsid w:val="00A8214E"/>
    <w:rsid w:val="00AB233C"/>
    <w:rsid w:val="00AC1B00"/>
    <w:rsid w:val="00AC61CF"/>
    <w:rsid w:val="00B721B3"/>
    <w:rsid w:val="00BC6686"/>
    <w:rsid w:val="00CD1940"/>
    <w:rsid w:val="00D15DD7"/>
    <w:rsid w:val="00D2481E"/>
    <w:rsid w:val="00E40C65"/>
    <w:rsid w:val="00EA6B80"/>
    <w:rsid w:val="00F81D66"/>
    <w:rsid w:val="00FB244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93641"/>
  <w15:docId w15:val="{6C98D125-D77D-4E0C-8FDF-31F36A47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A0B"/>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10" w:hanging="10"/>
      <w:outlineLvl w:val="0"/>
    </w:pPr>
    <w:rPr>
      <w:rFonts w:ascii="Arial" w:eastAsia="Arial" w:hAnsi="Arial" w:cs="Arial"/>
      <w:b/>
      <w:color w:val="000000"/>
      <w:sz w:val="32"/>
    </w:rPr>
  </w:style>
  <w:style w:type="paragraph" w:styleId="Ttulo2">
    <w:name w:val="heading 2"/>
    <w:next w:val="Normal"/>
    <w:link w:val="Ttulo2Car"/>
    <w:uiPriority w:val="9"/>
    <w:unhideWhenUsed/>
    <w:qFormat/>
    <w:pPr>
      <w:keepNext/>
      <w:keepLines/>
      <w:spacing w:after="14" w:line="259" w:lineRule="auto"/>
      <w:ind w:left="10" w:hanging="10"/>
      <w:outlineLvl w:val="1"/>
    </w:pPr>
    <w:rPr>
      <w:rFonts w:ascii="Arial" w:eastAsia="Arial" w:hAnsi="Arial" w:cs="Arial"/>
      <w:b/>
      <w:color w:val="000000"/>
      <w:sz w:val="34"/>
    </w:rPr>
  </w:style>
  <w:style w:type="paragraph" w:styleId="Ttulo3">
    <w:name w:val="heading 3"/>
    <w:basedOn w:val="Normal"/>
    <w:next w:val="Normal"/>
    <w:link w:val="Ttulo3Car"/>
    <w:uiPriority w:val="9"/>
    <w:semiHidden/>
    <w:unhideWhenUsed/>
    <w:qFormat/>
    <w:rsid w:val="00B721B3"/>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32"/>
    </w:rPr>
  </w:style>
  <w:style w:type="character" w:customStyle="1" w:styleId="Ttulo2Car">
    <w:name w:val="Título 2 Car"/>
    <w:link w:val="Ttulo2"/>
    <w:rPr>
      <w:rFonts w:ascii="Arial" w:eastAsia="Arial" w:hAnsi="Arial" w:cs="Arial"/>
      <w:b/>
      <w:color w:val="000000"/>
      <w:sz w:val="34"/>
    </w:rPr>
  </w:style>
  <w:style w:type="paragraph" w:styleId="Sinespaciado">
    <w:name w:val="No Spacing"/>
    <w:uiPriority w:val="1"/>
    <w:qFormat/>
    <w:rsid w:val="00AC61CF"/>
    <w:pPr>
      <w:spacing w:after="0" w:line="240" w:lineRule="auto"/>
    </w:pPr>
    <w:rPr>
      <w:rFonts w:ascii="Calibri" w:eastAsia="Calibri" w:hAnsi="Calibri" w:cs="Calibri"/>
      <w:color w:val="000000"/>
      <w:sz w:val="22"/>
    </w:rPr>
  </w:style>
  <w:style w:type="paragraph" w:styleId="Prrafodelista">
    <w:name w:val="List Paragraph"/>
    <w:basedOn w:val="Normal"/>
    <w:uiPriority w:val="34"/>
    <w:qFormat/>
    <w:rsid w:val="00AC61CF"/>
    <w:pPr>
      <w:ind w:left="720"/>
      <w:contextualSpacing/>
    </w:pPr>
  </w:style>
  <w:style w:type="character" w:customStyle="1" w:styleId="Ttulo3Car">
    <w:name w:val="Título 3 Car"/>
    <w:basedOn w:val="Fuentedeprrafopredeter"/>
    <w:link w:val="Ttulo3"/>
    <w:uiPriority w:val="9"/>
    <w:semiHidden/>
    <w:rsid w:val="00B721B3"/>
    <w:rPr>
      <w:rFonts w:asciiTheme="majorHAnsi" w:eastAsiaTheme="majorEastAsia" w:hAnsiTheme="majorHAnsi" w:cstheme="majorBidi"/>
      <w:color w:val="0A2F40" w:themeColor="accent1" w:themeShade="7F"/>
    </w:rPr>
  </w:style>
  <w:style w:type="character" w:styleId="Hipervnculo">
    <w:name w:val="Hyperlink"/>
    <w:basedOn w:val="Fuentedeprrafopredeter"/>
    <w:uiPriority w:val="99"/>
    <w:unhideWhenUsed/>
    <w:rsid w:val="00165E1D"/>
    <w:rPr>
      <w:color w:val="467886" w:themeColor="hyperlink"/>
      <w:u w:val="single"/>
    </w:rPr>
  </w:style>
  <w:style w:type="character" w:styleId="Mencinsinresolver">
    <w:name w:val="Unresolved Mention"/>
    <w:basedOn w:val="Fuentedeprrafopredeter"/>
    <w:uiPriority w:val="99"/>
    <w:semiHidden/>
    <w:unhideWhenUsed/>
    <w:rsid w:val="00165E1D"/>
    <w:rPr>
      <w:color w:val="605E5C"/>
      <w:shd w:val="clear" w:color="auto" w:fill="E1DFDD"/>
    </w:rPr>
  </w:style>
  <w:style w:type="character" w:styleId="Hipervnculovisitado">
    <w:name w:val="FollowedHyperlink"/>
    <w:basedOn w:val="Fuentedeprrafopredeter"/>
    <w:uiPriority w:val="99"/>
    <w:semiHidden/>
    <w:unhideWhenUsed/>
    <w:rsid w:val="00165E1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investors.pfizer.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jpmorganchase.com" TargetMode="External"/><Relationship Id="rId2" Type="http://schemas.openxmlformats.org/officeDocument/2006/relationships/styles" Target="styles.xml"/><Relationship Id="rId16" Type="http://schemas.openxmlformats.org/officeDocument/2006/relationships/hyperlink" Target="https://investors.johnsoncontrols.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investor.digitalrealty.com" TargetMode="External"/><Relationship Id="rId10" Type="http://schemas.openxmlformats.org/officeDocument/2006/relationships/image" Target="media/image6.jpeg"/><Relationship Id="rId19" Type="http://schemas.openxmlformats.org/officeDocument/2006/relationships/hyperlink" Target="https://github.com/Sara-8a/PROYECTO-ANALISIS-DEL-RIESGO"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finance.yahoo.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13</Pages>
  <Words>2317</Words>
  <Characters>12745</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Reporte Entrega 3</vt:lpstr>
    </vt:vector>
  </TitlesOfParts>
  <Company/>
  <LinksUpToDate>false</LinksUpToDate>
  <CharactersWithSpaces>15032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Entrega 3</dc:title>
  <dc:subject/>
  <dc:creator>GOMEZ LOPEZ, MICHELLE</dc:creator>
  <cp:keywords/>
  <cp:lastModifiedBy>HERNANDEZ OCHOA, SARA</cp:lastModifiedBy>
  <cp:revision>3</cp:revision>
  <dcterms:created xsi:type="dcterms:W3CDTF">2025-11-05T06:04:00Z</dcterms:created>
  <dcterms:modified xsi:type="dcterms:W3CDTF">2025-11-05T06:52:00Z</dcterms:modified>
</cp:coreProperties>
</file>