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Analyse d'incertitude sur les valeurs annuelles du GHI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Yearly average (kWh/m²)</w:t>
            </w:r>
          </w:p>
        </w:tc>
        <w:tc>
          <w:tcPr>
            <w:tcW w:type="dxa" w:w="4320"/>
          </w:tcPr>
          <w:p>
            <w:r>
              <w:t>Standard deviation (%)</w:t>
            </w:r>
          </w:p>
        </w:tc>
      </w:tr>
      <w:tr>
        <w:tc>
          <w:tcPr>
            <w:tcW w:type="dxa" w:w="4320"/>
          </w:tcPr>
          <w:p>
            <w:r>
              <w:t>2087.0</w:t>
            </w:r>
          </w:p>
        </w:tc>
        <w:tc>
          <w:tcPr>
            <w:tcW w:type="dxa" w:w="4320"/>
          </w:tcPr>
          <w:p>
            <w:r>
              <w:t>2.2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annual Variability_GH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: Les valeurs annuelles du GHI (points jaunes) et leur valeur moyenne (ligne rouge), en kWh/m². La variabilité interannuelle est illustrée par les bornes supérieure et inférieure (lignes rouges en pointillés).</w:t>
      </w:r>
    </w:p>
    <w:p>
      <w:r>
        <w:t>Le tableau suivant propose une analyse statistique de la variabilité interannuelle en fonction du nombre d’années utilisées pour cette estimation.</w:t>
      </w:r>
    </w:p>
    <w:p>
      <w:r>
        <w:t>Ce tableau montre que plus le nombre d’années disponibles est élevé, plus la variabilité est faible.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Years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Variability (+/%)</w:t>
            </w:r>
          </w:p>
        </w:tc>
        <w:tc>
          <w:tcPr>
            <w:tcW w:type="dxa" w:w="785"/>
          </w:tcPr>
          <w:p>
            <w:r>
              <w:t>2.2</w:t>
            </w:r>
          </w:p>
        </w:tc>
        <w:tc>
          <w:tcPr>
            <w:tcW w:type="dxa" w:w="785"/>
          </w:tcPr>
          <w:p>
            <w:r>
              <w:t>1.5</w:t>
            </w:r>
          </w:p>
        </w:tc>
        <w:tc>
          <w:tcPr>
            <w:tcW w:type="dxa" w:w="785"/>
          </w:tcPr>
          <w:p>
            <w:r>
              <w:t>1.3</w:t>
            </w:r>
          </w:p>
        </w:tc>
        <w:tc>
          <w:tcPr>
            <w:tcW w:type="dxa" w:w="785"/>
          </w:tcPr>
          <w:p>
            <w:r>
              <w:t>1.1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0.7</w:t>
            </w:r>
          </w:p>
        </w:tc>
      </w:tr>
      <w:tr>
        <w:tc>
          <w:tcPr>
            <w:tcW w:type="dxa" w:w="785"/>
          </w:tcPr>
          <w:p>
            <w:r>
              <w:t>Uncertainty (+/%)</w:t>
            </w:r>
          </w:p>
        </w:tc>
        <w:tc>
          <w:tcPr>
            <w:tcW w:type="dxa" w:w="785"/>
          </w:tcPr>
          <w:p>
            <w:r>
              <w:t>2.8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1.6</w:t>
            </w:r>
          </w:p>
        </w:tc>
        <w:tc>
          <w:tcPr>
            <w:tcW w:type="dxa" w:w="785"/>
          </w:tcPr>
          <w:p>
            <w:r>
              <w:t>1.4</w:t>
            </w:r>
          </w:p>
        </w:tc>
        <w:tc>
          <w:tcPr>
            <w:tcW w:type="dxa" w:w="785"/>
          </w:tcPr>
          <w:p>
            <w:r>
              <w:t>1.2</w:t>
            </w:r>
          </w:p>
        </w:tc>
        <w:tc>
          <w:tcPr>
            <w:tcW w:type="dxa" w:w="785"/>
          </w:tcPr>
          <w:p>
            <w:r>
              <w:t>1.1</w:t>
            </w:r>
          </w:p>
        </w:tc>
        <w:tc>
          <w:tcPr>
            <w:tcW w:type="dxa" w:w="785"/>
          </w:tcPr>
          <w:p>
            <w:r>
              <w:t>1.1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0.9</w:t>
            </w:r>
          </w:p>
        </w:tc>
      </w:tr>
      <w:tr>
        <w:tc>
          <w:tcPr>
            <w:tcW w:type="dxa" w:w="785"/>
          </w:tcPr>
          <w:p>
            <w:r>
              <w:t>Lower Bound (P90)</w:t>
            </w:r>
          </w:p>
        </w:tc>
        <w:tc>
          <w:tcPr>
            <w:tcW w:type="dxa" w:w="785"/>
          </w:tcPr>
          <w:p>
            <w:r>
              <w:t>2028</w:t>
            </w:r>
          </w:p>
        </w:tc>
        <w:tc>
          <w:tcPr>
            <w:tcW w:type="dxa" w:w="785"/>
          </w:tcPr>
          <w:p>
            <w:r>
              <w:t>2045</w:t>
            </w:r>
          </w:p>
        </w:tc>
        <w:tc>
          <w:tcPr>
            <w:tcW w:type="dxa" w:w="785"/>
          </w:tcPr>
          <w:p>
            <w:r>
              <w:t>2053</w:t>
            </w:r>
          </w:p>
        </w:tc>
        <w:tc>
          <w:tcPr>
            <w:tcW w:type="dxa" w:w="785"/>
          </w:tcPr>
          <w:p>
            <w:r>
              <w:t>2057</w:t>
            </w:r>
          </w:p>
        </w:tc>
        <w:tc>
          <w:tcPr>
            <w:tcW w:type="dxa" w:w="785"/>
          </w:tcPr>
          <w:p>
            <w:r>
              <w:t>2060</w:t>
            </w:r>
          </w:p>
        </w:tc>
        <w:tc>
          <w:tcPr>
            <w:tcW w:type="dxa" w:w="785"/>
          </w:tcPr>
          <w:p>
            <w:r>
              <w:t>2062</w:t>
            </w:r>
          </w:p>
        </w:tc>
        <w:tc>
          <w:tcPr>
            <w:tcW w:type="dxa" w:w="785"/>
          </w:tcPr>
          <w:p>
            <w:r>
              <w:t>2064</w:t>
            </w:r>
          </w:p>
        </w:tc>
        <w:tc>
          <w:tcPr>
            <w:tcW w:type="dxa" w:w="785"/>
          </w:tcPr>
          <w:p>
            <w:r>
              <w:t>2066</w:t>
            </w:r>
          </w:p>
        </w:tc>
        <w:tc>
          <w:tcPr>
            <w:tcW w:type="dxa" w:w="785"/>
          </w:tcPr>
          <w:p>
            <w:r>
              <w:t>2067</w:t>
            </w:r>
          </w:p>
        </w:tc>
        <w:tc>
          <w:tcPr>
            <w:tcW w:type="dxa" w:w="785"/>
          </w:tcPr>
          <w:p>
            <w:r>
              <w:t>2068</w:t>
            </w:r>
          </w:p>
        </w:tc>
      </w:tr>
      <w:tr>
        <w:tc>
          <w:tcPr>
            <w:tcW w:type="dxa" w:w="785"/>
          </w:tcPr>
          <w:p>
            <w:r>
              <w:t>Upper Bound (P10)</w:t>
            </w:r>
          </w:p>
        </w:tc>
        <w:tc>
          <w:tcPr>
            <w:tcW w:type="dxa" w:w="785"/>
          </w:tcPr>
          <w:p>
            <w:r>
              <w:t>2144</w:t>
            </w:r>
          </w:p>
        </w:tc>
        <w:tc>
          <w:tcPr>
            <w:tcW w:type="dxa" w:w="785"/>
          </w:tcPr>
          <w:p>
            <w:r>
              <w:t>2127</w:t>
            </w:r>
          </w:p>
        </w:tc>
        <w:tc>
          <w:tcPr>
            <w:tcW w:type="dxa" w:w="785"/>
          </w:tcPr>
          <w:p>
            <w:r>
              <w:t>2120</w:t>
            </w:r>
          </w:p>
        </w:tc>
        <w:tc>
          <w:tcPr>
            <w:tcW w:type="dxa" w:w="785"/>
          </w:tcPr>
          <w:p>
            <w:r>
              <w:t>2115</w:t>
            </w:r>
          </w:p>
        </w:tc>
        <w:tc>
          <w:tcPr>
            <w:tcW w:type="dxa" w:w="785"/>
          </w:tcPr>
          <w:p>
            <w:r>
              <w:t>2112</w:t>
            </w:r>
          </w:p>
        </w:tc>
        <w:tc>
          <w:tcPr>
            <w:tcW w:type="dxa" w:w="785"/>
          </w:tcPr>
          <w:p>
            <w:r>
              <w:t>2110</w:t>
            </w:r>
          </w:p>
        </w:tc>
        <w:tc>
          <w:tcPr>
            <w:tcW w:type="dxa" w:w="785"/>
          </w:tcPr>
          <w:p>
            <w:r>
              <w:t>2108</w:t>
            </w:r>
          </w:p>
        </w:tc>
        <w:tc>
          <w:tcPr>
            <w:tcW w:type="dxa" w:w="785"/>
          </w:tcPr>
          <w:p>
            <w:r>
              <w:t>2107</w:t>
            </w:r>
          </w:p>
        </w:tc>
        <w:tc>
          <w:tcPr>
            <w:tcW w:type="dxa" w:w="785"/>
          </w:tcPr>
          <w:p>
            <w:r>
              <w:t>2106</w:t>
            </w:r>
          </w:p>
        </w:tc>
        <w:tc>
          <w:tcPr>
            <w:tcW w:type="dxa" w:w="785"/>
          </w:tcPr>
          <w:p>
            <w:r>
              <w:t>2105</w:t>
            </w:r>
          </w:p>
        </w:tc>
      </w:tr>
    </w:tbl>
    <w:p/>
    <w:p/>
    <w:p>
      <w:pPr>
        <w:pStyle w:val="Heading2"/>
      </w:pPr>
      <w:r>
        <w:t>Analyse d'incertitude sur les valeurs annuelles du DNI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Yearly average (kWh/m²)</w:t>
            </w:r>
          </w:p>
        </w:tc>
        <w:tc>
          <w:tcPr>
            <w:tcW w:type="dxa" w:w="4320"/>
          </w:tcPr>
          <w:p>
            <w:r>
              <w:t>Standard deviation (%)</w:t>
            </w:r>
          </w:p>
        </w:tc>
      </w:tr>
      <w:tr>
        <w:tc>
          <w:tcPr>
            <w:tcW w:type="dxa" w:w="4320"/>
          </w:tcPr>
          <w:p>
            <w:r>
              <w:t>2340.0</w:t>
            </w:r>
          </w:p>
        </w:tc>
        <w:tc>
          <w:tcPr>
            <w:tcW w:type="dxa" w:w="4320"/>
          </w:tcPr>
          <w:p>
            <w:r>
              <w:t>5.6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annual Variability_DN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: Les valeurs annuelles du DNI (points jaunes) et leur valeur moyenne (ligne rouge), en kWh/m². La variabilité interannuelle est illustrée par les bornes supérieure et inférieure (lignes rouges en pointillés).</w:t>
      </w:r>
    </w:p>
    <w:p>
      <w:r>
        <w:t>Le tableau suivant propose une analyse statistique de la variabilité interannuelle en fonction du nombre d’années utilisées pour cette estimation.</w:t>
      </w:r>
    </w:p>
    <w:p>
      <w:r>
        <w:t>Ce tableau montre que plus le nombre d’années disponibles est élevé, plus la variabilité est faible.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Years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Variability (+/%)</w:t>
            </w:r>
          </w:p>
        </w:tc>
        <w:tc>
          <w:tcPr>
            <w:tcW w:type="dxa" w:w="785"/>
          </w:tcPr>
          <w:p>
            <w:r>
              <w:t>5.6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3.3</w:t>
            </w:r>
          </w:p>
        </w:tc>
        <w:tc>
          <w:tcPr>
            <w:tcW w:type="dxa" w:w="785"/>
          </w:tcPr>
          <w:p>
            <w:r>
              <w:t>2.8</w:t>
            </w:r>
          </w:p>
        </w:tc>
        <w:tc>
          <w:tcPr>
            <w:tcW w:type="dxa" w:w="785"/>
          </w:tcPr>
          <w:p>
            <w:r>
              <w:t>2.5</w:t>
            </w:r>
          </w:p>
        </w:tc>
        <w:tc>
          <w:tcPr>
            <w:tcW w:type="dxa" w:w="785"/>
          </w:tcPr>
          <w:p>
            <w:r>
              <w:t>2.3</w:t>
            </w:r>
          </w:p>
        </w:tc>
        <w:tc>
          <w:tcPr>
            <w:tcW w:type="dxa" w:w="785"/>
          </w:tcPr>
          <w:p>
            <w:r>
              <w:t>2.1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1.9</w:t>
            </w:r>
          </w:p>
        </w:tc>
        <w:tc>
          <w:tcPr>
            <w:tcW w:type="dxa" w:w="785"/>
          </w:tcPr>
          <w:p>
            <w:r>
              <w:t>1.8</w:t>
            </w:r>
          </w:p>
        </w:tc>
      </w:tr>
      <w:tr>
        <w:tc>
          <w:tcPr>
            <w:tcW w:type="dxa" w:w="785"/>
          </w:tcPr>
          <w:p>
            <w:r>
              <w:t>Uncertainty (+/%)</w:t>
            </w:r>
          </w:p>
        </w:tc>
        <w:tc>
          <w:tcPr>
            <w:tcW w:type="dxa" w:w="785"/>
          </w:tcPr>
          <w:p>
            <w:r>
              <w:t>7.2</w:t>
            </w:r>
          </w:p>
        </w:tc>
        <w:tc>
          <w:tcPr>
            <w:tcW w:type="dxa" w:w="785"/>
          </w:tcPr>
          <w:p>
            <w:r>
              <w:t>5.1</w:t>
            </w:r>
          </w:p>
        </w:tc>
        <w:tc>
          <w:tcPr>
            <w:tcW w:type="dxa" w:w="785"/>
          </w:tcPr>
          <w:p>
            <w:r>
              <w:t>4.2</w:t>
            </w:r>
          </w:p>
        </w:tc>
        <w:tc>
          <w:tcPr>
            <w:tcW w:type="dxa" w:w="785"/>
          </w:tcPr>
          <w:p>
            <w:r>
              <w:t>3.6</w:t>
            </w:r>
          </w:p>
        </w:tc>
        <w:tc>
          <w:tcPr>
            <w:tcW w:type="dxa" w:w="785"/>
          </w:tcPr>
          <w:p>
            <w:r>
              <w:t>3.2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2.7</w:t>
            </w:r>
          </w:p>
        </w:tc>
        <w:tc>
          <w:tcPr>
            <w:tcW w:type="dxa" w:w="785"/>
          </w:tcPr>
          <w:p>
            <w:r>
              <w:t>2.6</w:t>
            </w:r>
          </w:p>
        </w:tc>
        <w:tc>
          <w:tcPr>
            <w:tcW w:type="dxa" w:w="785"/>
          </w:tcPr>
          <w:p>
            <w:r>
              <w:t>2.4</w:t>
            </w:r>
          </w:p>
        </w:tc>
        <w:tc>
          <w:tcPr>
            <w:tcW w:type="dxa" w:w="785"/>
          </w:tcPr>
          <w:p>
            <w:r>
              <w:t>2.3</w:t>
            </w:r>
          </w:p>
        </w:tc>
      </w:tr>
      <w:tr>
        <w:tc>
          <w:tcPr>
            <w:tcW w:type="dxa" w:w="785"/>
          </w:tcPr>
          <w:p>
            <w:r>
              <w:t>Lower Bound (P90)</w:t>
            </w:r>
          </w:p>
        </w:tc>
        <w:tc>
          <w:tcPr>
            <w:tcW w:type="dxa" w:w="785"/>
          </w:tcPr>
          <w:p>
            <w:r>
              <w:t>2171</w:t>
            </w:r>
          </w:p>
        </w:tc>
        <w:tc>
          <w:tcPr>
            <w:tcW w:type="dxa" w:w="785"/>
          </w:tcPr>
          <w:p>
            <w:r>
              <w:t>2220</w:t>
            </w:r>
          </w:p>
        </w:tc>
        <w:tc>
          <w:tcPr>
            <w:tcW w:type="dxa" w:w="785"/>
          </w:tcPr>
          <w:p>
            <w:r>
              <w:t>2242</w:t>
            </w:r>
          </w:p>
        </w:tc>
        <w:tc>
          <w:tcPr>
            <w:tcW w:type="dxa" w:w="785"/>
          </w:tcPr>
          <w:p>
            <w:r>
              <w:t>2255</w:t>
            </w:r>
          </w:p>
        </w:tc>
        <w:tc>
          <w:tcPr>
            <w:tcW w:type="dxa" w:w="785"/>
          </w:tcPr>
          <w:p>
            <w:r>
              <w:t>2264</w:t>
            </w:r>
          </w:p>
        </w:tc>
        <w:tc>
          <w:tcPr>
            <w:tcW w:type="dxa" w:w="785"/>
          </w:tcPr>
          <w:p>
            <w:r>
              <w:t>2271</w:t>
            </w:r>
          </w:p>
        </w:tc>
        <w:tc>
          <w:tcPr>
            <w:tcW w:type="dxa" w:w="785"/>
          </w:tcPr>
          <w:p>
            <w:r>
              <w:t>2276</w:t>
            </w:r>
          </w:p>
        </w:tc>
        <w:tc>
          <w:tcPr>
            <w:tcW w:type="dxa" w:w="785"/>
          </w:tcPr>
          <w:p>
            <w:r>
              <w:t>2280</w:t>
            </w:r>
          </w:p>
        </w:tc>
        <w:tc>
          <w:tcPr>
            <w:tcW w:type="dxa" w:w="785"/>
          </w:tcPr>
          <w:p>
            <w:r>
              <w:t>2283</w:t>
            </w:r>
          </w:p>
        </w:tc>
        <w:tc>
          <w:tcPr>
            <w:tcW w:type="dxa" w:w="785"/>
          </w:tcPr>
          <w:p>
            <w:r>
              <w:t>2286</w:t>
            </w:r>
          </w:p>
        </w:tc>
      </w:tr>
      <w:tr>
        <w:tc>
          <w:tcPr>
            <w:tcW w:type="dxa" w:w="785"/>
          </w:tcPr>
          <w:p>
            <w:r>
              <w:t>Upper Bound (P10)</w:t>
            </w:r>
          </w:p>
        </w:tc>
        <w:tc>
          <w:tcPr>
            <w:tcW w:type="dxa" w:w="785"/>
          </w:tcPr>
          <w:p>
            <w:r>
              <w:t>2509</w:t>
            </w:r>
          </w:p>
        </w:tc>
        <w:tc>
          <w:tcPr>
            <w:tcW w:type="dxa" w:w="785"/>
          </w:tcPr>
          <w:p>
            <w:r>
              <w:t>2459</w:t>
            </w:r>
          </w:p>
        </w:tc>
        <w:tc>
          <w:tcPr>
            <w:tcW w:type="dxa" w:w="785"/>
          </w:tcPr>
          <w:p>
            <w:r>
              <w:t>2437</w:t>
            </w:r>
          </w:p>
        </w:tc>
        <w:tc>
          <w:tcPr>
            <w:tcW w:type="dxa" w:w="785"/>
          </w:tcPr>
          <w:p>
            <w:r>
              <w:t>2424</w:t>
            </w:r>
          </w:p>
        </w:tc>
        <w:tc>
          <w:tcPr>
            <w:tcW w:type="dxa" w:w="785"/>
          </w:tcPr>
          <w:p>
            <w:r>
              <w:t>2415</w:t>
            </w:r>
          </w:p>
        </w:tc>
        <w:tc>
          <w:tcPr>
            <w:tcW w:type="dxa" w:w="785"/>
          </w:tcPr>
          <w:p>
            <w:r>
              <w:t>2409</w:t>
            </w:r>
          </w:p>
        </w:tc>
        <w:tc>
          <w:tcPr>
            <w:tcW w:type="dxa" w:w="785"/>
          </w:tcPr>
          <w:p>
            <w:r>
              <w:t>2404</w:t>
            </w:r>
          </w:p>
        </w:tc>
        <w:tc>
          <w:tcPr>
            <w:tcW w:type="dxa" w:w="785"/>
          </w:tcPr>
          <w:p>
            <w:r>
              <w:t>2400</w:t>
            </w:r>
          </w:p>
        </w:tc>
        <w:tc>
          <w:tcPr>
            <w:tcW w:type="dxa" w:w="785"/>
          </w:tcPr>
          <w:p>
            <w:r>
              <w:t>2396</w:t>
            </w:r>
          </w:p>
        </w:tc>
        <w:tc>
          <w:tcPr>
            <w:tcW w:type="dxa" w:w="785"/>
          </w:tcPr>
          <w:p>
            <w:r>
              <w:t>2393</w:t>
            </w:r>
          </w:p>
        </w:tc>
      </w:tr>
    </w:tbl>
    <w:p/>
    <w:p/>
    <w:p>
      <w:pPr>
        <w:pStyle w:val="Heading2"/>
      </w:pPr>
      <w:r>
        <w:t>Analyse d'incertitude sur les valeurs annuelles du GTI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Yearly average (kWh/m²)</w:t>
            </w:r>
          </w:p>
        </w:tc>
        <w:tc>
          <w:tcPr>
            <w:tcW w:type="dxa" w:w="4320"/>
          </w:tcPr>
          <w:p>
            <w:r>
              <w:t>Standard deviation (%)</w:t>
            </w:r>
          </w:p>
        </w:tc>
      </w:tr>
      <w:tr>
        <w:tc>
          <w:tcPr>
            <w:tcW w:type="dxa" w:w="4320"/>
          </w:tcPr>
          <w:p>
            <w:r>
              <w:t>2287.0</w:t>
            </w:r>
          </w:p>
        </w:tc>
        <w:tc>
          <w:tcPr>
            <w:tcW w:type="dxa" w:w="4320"/>
          </w:tcPr>
          <w:p>
            <w:r>
              <w:t>2.6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annual Variability_GT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: Les valeurs annuelles du GTI (points jaunes) et leur valeur moyenne (ligne rouge), en kWh/m². La variabilité interannuelle est illustrée par les bornes supérieure et inférieure (lignes rouges en pointillés).</w:t>
      </w:r>
    </w:p>
    <w:p>
      <w:r>
        <w:t>Le tableau suivant propose une analyse statistique de la variabilité interannuelle en fonction du nombre d’années utilisées pour cette estimation.</w:t>
      </w:r>
    </w:p>
    <w:p>
      <w:r>
        <w:t>Ce tableau montre que plus le nombre d’années disponibles est élevé, plus la variabilité est faible.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Years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Variability (+/%)</w:t>
            </w:r>
          </w:p>
        </w:tc>
        <w:tc>
          <w:tcPr>
            <w:tcW w:type="dxa" w:w="785"/>
          </w:tcPr>
          <w:p>
            <w:r>
              <w:t>2.6</w:t>
            </w:r>
          </w:p>
        </w:tc>
        <w:tc>
          <w:tcPr>
            <w:tcW w:type="dxa" w:w="785"/>
          </w:tcPr>
          <w:p>
            <w:r>
              <w:t>1.8</w:t>
            </w:r>
          </w:p>
        </w:tc>
        <w:tc>
          <w:tcPr>
            <w:tcW w:type="dxa" w:w="785"/>
          </w:tcPr>
          <w:p>
            <w:r>
              <w:t>1.5</w:t>
            </w:r>
          </w:p>
        </w:tc>
        <w:tc>
          <w:tcPr>
            <w:tcW w:type="dxa" w:w="785"/>
          </w:tcPr>
          <w:p>
            <w:r>
              <w:t>1.3</w:t>
            </w:r>
          </w:p>
        </w:tc>
        <w:tc>
          <w:tcPr>
            <w:tcW w:type="dxa" w:w="785"/>
          </w:tcPr>
          <w:p>
            <w:r>
              <w:t>1.2</w:t>
            </w:r>
          </w:p>
        </w:tc>
        <w:tc>
          <w:tcPr>
            <w:tcW w:type="dxa" w:w="785"/>
          </w:tcPr>
          <w:p>
            <w:r>
              <w:t>1.1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0.8</w:t>
            </w:r>
          </w:p>
        </w:tc>
      </w:tr>
      <w:tr>
        <w:tc>
          <w:tcPr>
            <w:tcW w:type="dxa" w:w="785"/>
          </w:tcPr>
          <w:p>
            <w:r>
              <w:t>Uncertainty (+/%)</w:t>
            </w:r>
          </w:p>
        </w:tc>
        <w:tc>
          <w:tcPr>
            <w:tcW w:type="dxa" w:w="785"/>
          </w:tcPr>
          <w:p>
            <w:r>
              <w:t>3.3</w:t>
            </w:r>
          </w:p>
        </w:tc>
        <w:tc>
          <w:tcPr>
            <w:tcW w:type="dxa" w:w="785"/>
          </w:tcPr>
          <w:p>
            <w:r>
              <w:t>2.3</w:t>
            </w:r>
          </w:p>
        </w:tc>
        <w:tc>
          <w:tcPr>
            <w:tcW w:type="dxa" w:w="785"/>
          </w:tcPr>
          <w:p>
            <w:r>
              <w:t>1.9</w:t>
            </w:r>
          </w:p>
        </w:tc>
        <w:tc>
          <w:tcPr>
            <w:tcW w:type="dxa" w:w="785"/>
          </w:tcPr>
          <w:p>
            <w:r>
              <w:t>1.7</w:t>
            </w:r>
          </w:p>
        </w:tc>
        <w:tc>
          <w:tcPr>
            <w:tcW w:type="dxa" w:w="785"/>
          </w:tcPr>
          <w:p>
            <w:r>
              <w:t>1.5</w:t>
            </w:r>
          </w:p>
        </w:tc>
        <w:tc>
          <w:tcPr>
            <w:tcW w:type="dxa" w:w="785"/>
          </w:tcPr>
          <w:p>
            <w:r>
              <w:t>1.4</w:t>
            </w:r>
          </w:p>
        </w:tc>
        <w:tc>
          <w:tcPr>
            <w:tcW w:type="dxa" w:w="785"/>
          </w:tcPr>
          <w:p>
            <w:r>
              <w:t>1.3</w:t>
            </w:r>
          </w:p>
        </w:tc>
        <w:tc>
          <w:tcPr>
            <w:tcW w:type="dxa" w:w="785"/>
          </w:tcPr>
          <w:p>
            <w:r>
              <w:t>1.2</w:t>
            </w:r>
          </w:p>
        </w:tc>
        <w:tc>
          <w:tcPr>
            <w:tcW w:type="dxa" w:w="785"/>
          </w:tcPr>
          <w:p>
            <w:r>
              <w:t>1.1</w:t>
            </w:r>
          </w:p>
        </w:tc>
        <w:tc>
          <w:tcPr>
            <w:tcW w:type="dxa" w:w="785"/>
          </w:tcPr>
          <w:p>
            <w:r>
              <w:t>1.0</w:t>
            </w:r>
          </w:p>
        </w:tc>
      </w:tr>
      <w:tr>
        <w:tc>
          <w:tcPr>
            <w:tcW w:type="dxa" w:w="785"/>
          </w:tcPr>
          <w:p>
            <w:r>
              <w:t>Lower Bound (P90)</w:t>
            </w:r>
          </w:p>
        </w:tc>
        <w:tc>
          <w:tcPr>
            <w:tcW w:type="dxa" w:w="785"/>
          </w:tcPr>
          <w:p>
            <w:r>
              <w:t>2211</w:t>
            </w:r>
          </w:p>
        </w:tc>
        <w:tc>
          <w:tcPr>
            <w:tcW w:type="dxa" w:w="785"/>
          </w:tcPr>
          <w:p>
            <w:r>
              <w:t>2233</w:t>
            </w:r>
          </w:p>
        </w:tc>
        <w:tc>
          <w:tcPr>
            <w:tcW w:type="dxa" w:w="785"/>
          </w:tcPr>
          <w:p>
            <w:r>
              <w:t>2243</w:t>
            </w:r>
          </w:p>
        </w:tc>
        <w:tc>
          <w:tcPr>
            <w:tcW w:type="dxa" w:w="785"/>
          </w:tcPr>
          <w:p>
            <w:r>
              <w:t>2249</w:t>
            </w:r>
          </w:p>
        </w:tc>
        <w:tc>
          <w:tcPr>
            <w:tcW w:type="dxa" w:w="785"/>
          </w:tcPr>
          <w:p>
            <w:r>
              <w:t>2253</w:t>
            </w:r>
          </w:p>
        </w:tc>
        <w:tc>
          <w:tcPr>
            <w:tcW w:type="dxa" w:w="785"/>
          </w:tcPr>
          <w:p>
            <w:r>
              <w:t>2256</w:t>
            </w:r>
          </w:p>
        </w:tc>
        <w:tc>
          <w:tcPr>
            <w:tcW w:type="dxa" w:w="785"/>
          </w:tcPr>
          <w:p>
            <w:r>
              <w:t>2258</w:t>
            </w:r>
          </w:p>
        </w:tc>
        <w:tc>
          <w:tcPr>
            <w:tcW w:type="dxa" w:w="785"/>
          </w:tcPr>
          <w:p>
            <w:r>
              <w:t>2260</w:t>
            </w:r>
          </w:p>
        </w:tc>
        <w:tc>
          <w:tcPr>
            <w:tcW w:type="dxa" w:w="785"/>
          </w:tcPr>
          <w:p>
            <w:r>
              <w:t>2261</w:t>
            </w:r>
          </w:p>
        </w:tc>
        <w:tc>
          <w:tcPr>
            <w:tcW w:type="dxa" w:w="785"/>
          </w:tcPr>
          <w:p>
            <w:r>
              <w:t>2263</w:t>
            </w:r>
          </w:p>
        </w:tc>
      </w:tr>
      <w:tr>
        <w:tc>
          <w:tcPr>
            <w:tcW w:type="dxa" w:w="785"/>
          </w:tcPr>
          <w:p>
            <w:r>
              <w:t>Upper Bound (P10)</w:t>
            </w:r>
          </w:p>
        </w:tc>
        <w:tc>
          <w:tcPr>
            <w:tcW w:type="dxa" w:w="785"/>
          </w:tcPr>
          <w:p>
            <w:r>
              <w:t>2362</w:t>
            </w:r>
          </w:p>
        </w:tc>
        <w:tc>
          <w:tcPr>
            <w:tcW w:type="dxa" w:w="785"/>
          </w:tcPr>
          <w:p>
            <w:r>
              <w:t>2340</w:t>
            </w:r>
          </w:p>
        </w:tc>
        <w:tc>
          <w:tcPr>
            <w:tcW w:type="dxa" w:w="785"/>
          </w:tcPr>
          <w:p>
            <w:r>
              <w:t>2330</w:t>
            </w:r>
          </w:p>
        </w:tc>
        <w:tc>
          <w:tcPr>
            <w:tcW w:type="dxa" w:w="785"/>
          </w:tcPr>
          <w:p>
            <w:r>
              <w:t>2324</w:t>
            </w:r>
          </w:p>
        </w:tc>
        <w:tc>
          <w:tcPr>
            <w:tcW w:type="dxa" w:w="785"/>
          </w:tcPr>
          <w:p>
            <w:r>
              <w:t>2320</w:t>
            </w:r>
          </w:p>
        </w:tc>
        <w:tc>
          <w:tcPr>
            <w:tcW w:type="dxa" w:w="785"/>
          </w:tcPr>
          <w:p>
            <w:r>
              <w:t>2317</w:t>
            </w:r>
          </w:p>
        </w:tc>
        <w:tc>
          <w:tcPr>
            <w:tcW w:type="dxa" w:w="785"/>
          </w:tcPr>
          <w:p>
            <w:r>
              <w:t>2315</w:t>
            </w:r>
          </w:p>
        </w:tc>
        <w:tc>
          <w:tcPr>
            <w:tcW w:type="dxa" w:w="785"/>
          </w:tcPr>
          <w:p>
            <w:r>
              <w:t>2313</w:t>
            </w:r>
          </w:p>
        </w:tc>
        <w:tc>
          <w:tcPr>
            <w:tcW w:type="dxa" w:w="785"/>
          </w:tcPr>
          <w:p>
            <w:r>
              <w:t>2312</w:t>
            </w:r>
          </w:p>
        </w:tc>
        <w:tc>
          <w:tcPr>
            <w:tcW w:type="dxa" w:w="785"/>
          </w:tcPr>
          <w:p>
            <w:r>
              <w:t>2310</w:t>
            </w:r>
          </w:p>
        </w:tc>
      </w:tr>
    </w:tbl>
    <w:p/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