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  <w:spacing w:after="200"/>
        <w:jc w:val="center"/>
      </w:pPr>
      <w:r>
        <w:t>INFORME DE RESULTADOS</w:t>
      </w:r>
    </w:p>
    <w:p>
      <w:pPr>
        <w:pStyle w:val="SubtitleStyle"/>
        <w:spacing w:after="200"/>
        <w:jc w:val="center"/>
      </w:pPr>
      <w:r>
        <w:t>ESTUDIO DE VARIANTES ASOCIADAS CON SMN1</w:t>
      </w:r>
    </w:p>
    <w:p>
      <w:pPr>
        <w:pStyle w:val="ParagraphTitleStyle"/>
        <w:spacing w:after="200"/>
        <w:jc w:val="both"/>
      </w:pPr>
      <w:r>
        <w:t>DATOS DEL ESTUDIO</w:t>
      </w:r>
    </w:p>
    <w:tbl>
      <w:tblPr>
        <w:tblStyle w:val="LightList-Accent5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56"/>
          </w:tcPr>
          <w:p>
            <w:pPr/>
            <w:r>
              <w:rPr>
                <w:rFonts w:ascii="Tahoma" w:hAnsi="Tahoma"/>
                <w:b w:val="0"/>
                <w:sz w:val="18"/>
              </w:rPr>
              <w:t>Estudio ID: 1</w:t>
            </w:r>
          </w:p>
        </w:tc>
        <w:tc>
          <w:tcPr>
            <w:tcW w:type="dxa" w:w="5184"/>
          </w:tcPr>
          <w:p>
            <w:pPr/>
            <w:r>
              <w:rPr>
                <w:rFonts w:ascii="Tahoma" w:hAnsi="Tahoma"/>
                <w:b w:val="0"/>
                <w:sz w:val="18"/>
              </w:rPr>
              <w:t>Fecha: 5/8/24</w:t>
            </w:r>
          </w:p>
        </w:tc>
      </w:tr>
      <w:tr>
        <w:tc>
          <w:tcPr>
            <w:tcW w:type="dxa" w:w="3456"/>
          </w:tcPr>
          <w:p>
            <w:pPr/>
            <w:r>
              <w:rPr>
                <w:rFonts w:ascii="Tahoma" w:hAnsi="Tahoma"/>
                <w:b w:val="0"/>
                <w:sz w:val="18"/>
              </w:rPr>
              <w:t>Objetivo: Esto es un ejemplo</w:t>
            </w:r>
          </w:p>
        </w:tc>
        <w:tc>
          <w:tcPr>
            <w:tcW w:type="dxa" w:w="5184"/>
          </w:tcPr>
          <w:p>
            <w:pPr/>
            <w:r>
              <w:rPr>
                <w:rFonts w:ascii="Tahoma" w:hAnsi="Tahoma"/>
                <w:b w:val="0"/>
                <w:sz w:val="18"/>
              </w:rPr>
              <w:t>Filtrado previo: Si</w:t>
            </w:r>
          </w:p>
        </w:tc>
      </w:tr>
    </w:tbl>
    <w:p>
      <w:pPr>
        <w:spacing w:after="0"/>
      </w:pPr>
    </w:p>
    <w:p>
      <w:pPr>
        <w:pStyle w:val="ParagraphTitleStyle"/>
        <w:spacing w:after="200"/>
        <w:jc w:val="both"/>
      </w:pPr>
      <w:r>
        <w:t>RESULTADOS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/>
            <w:r>
              <w:rPr>
                <w:rFonts w:ascii="Tahoma" w:hAnsi="Tahoma"/>
                <w:b/>
                <w:sz w:val="15"/>
              </w:rPr>
              <w:t>Clasificacion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/>
                <w:sz w:val="15"/>
              </w:rPr>
              <w:t>Gen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/>
                <w:sz w:val="15"/>
              </w:rPr>
              <w:t>Transcrito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/>
                <w:sz w:val="15"/>
              </w:rPr>
              <w:t>Cambio_nucleotidico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/>
                <w:sz w:val="15"/>
              </w:rPr>
              <w:t>Cambio_proteico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Likely pathogenic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SMN1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NM_000344.4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c.785G&gt;T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(p.Ser262Ile)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</w:r>
          </w:p>
        </w:tc>
        <w:tc>
          <w:tcPr>
            <w:tcW w:type="dxa" w:w="6912"/>
            <w:gridSpan w:val="4"/>
          </w:tcPr>
          <w:p>
            <w:pPr/>
            <w:r>
              <w:rPr>
                <w:rFonts w:ascii="Tahoma" w:hAnsi="Tahoma"/>
                <w:b w:val="0"/>
                <w:sz w:val="15"/>
              </w:rPr>
              <w:t>Kugelberg-Welander disease|not provided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Likely pathogenic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SMN1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NM_000344.4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c.815A&gt;G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(p.Tyr272Cys)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</w:r>
          </w:p>
        </w:tc>
        <w:tc>
          <w:tcPr>
            <w:tcW w:type="dxa" w:w="6912"/>
            <w:gridSpan w:val="4"/>
          </w:tcPr>
          <w:p>
            <w:pPr/>
            <w:r>
              <w:rPr>
                <w:rFonts w:ascii="Tahoma" w:hAnsi="Tahoma"/>
                <w:b w:val="0"/>
                <w:sz w:val="15"/>
              </w:rPr>
              <w:t>Werdnig-Hoffmann disease|Spinal muscular atrophy|not provided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Likely pathogenic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SMN1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NM_000344.4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c.835-2A&gt;G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</w:r>
          </w:p>
        </w:tc>
        <w:tc>
          <w:tcPr>
            <w:tcW w:type="dxa" w:w="6912"/>
            <w:gridSpan w:val="4"/>
          </w:tcPr>
          <w:p>
            <w:pPr/>
            <w:r>
              <w:rPr>
                <w:rFonts w:ascii="Tahoma" w:hAnsi="Tahoma"/>
                <w:b w:val="0"/>
                <w:sz w:val="15"/>
              </w:rPr>
              <w:t>Werdnig-Hoffmann disease|Spinal muscular atrophy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Likely pathogenic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SMN1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NM_000344.4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c.835G&gt;C</w:t>
            </w:r>
          </w:p>
        </w:tc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  <w:t>(p.Gly279Arg)</w:t>
            </w:r>
          </w:p>
        </w:tc>
      </w:tr>
      <w:tr>
        <w:tc>
          <w:tcPr>
            <w:tcW w:type="dxa" w:w="1728"/>
          </w:tcPr>
          <w:p>
            <w:pPr/>
            <w:r>
              <w:rPr>
                <w:rFonts w:ascii="Tahoma" w:hAnsi="Tahoma"/>
                <w:b w:val="0"/>
                <w:sz w:val="15"/>
              </w:rPr>
            </w:r>
          </w:p>
        </w:tc>
        <w:tc>
          <w:tcPr>
            <w:tcW w:type="dxa" w:w="6912"/>
            <w:gridSpan w:val="4"/>
          </w:tcPr>
          <w:p>
            <w:pPr/>
            <w:r>
              <w:rPr>
                <w:rFonts w:ascii="Tahoma" w:hAnsi="Tahoma"/>
                <w:b w:val="0"/>
                <w:sz w:val="15"/>
              </w:rPr>
              <w:t>Spinal muscular atrophy</w:t>
            </w:r>
          </w:p>
        </w:tc>
      </w:tr>
    </w:tbl>
    <w:p/>
    <w:p>
      <w:pPr>
        <w:pStyle w:val="ParagraphTextStyle"/>
        <w:spacing w:after="200"/>
        <w:jc w:val="both"/>
      </w:pPr>
      <w:r>
        <w:t xml:space="preserve">La variante del gen SMN1 con un cambio nucleotídico de c.785G&gt;T en el transcrito NM_000344.4, que produce un cambio proteico (p.Ser262Ile), es probablemente patogénica. </w:t>
      </w:r>
    </w:p>
    <w:p>
      <w:pPr>
        <w:pStyle w:val="ParagraphTextStyle"/>
        <w:spacing w:after="200"/>
        <w:jc w:val="both"/>
      </w:pPr>
      <w:r>
        <w:t xml:space="preserve">La variante del gen SMN1 con un cambio nucleotídico de c.815A&gt;G en el transcrito NM_000344.4, que produce un cambio proteico (p.Tyr272Cys), es probablemente patogénica. </w:t>
      </w:r>
    </w:p>
    <w:p>
      <w:pPr>
        <w:pStyle w:val="ParagraphTextStyle"/>
        <w:spacing w:after="200"/>
        <w:jc w:val="both"/>
      </w:pPr>
      <w:r>
        <w:t xml:space="preserve">La variante del gen SMN1 con un cambio nucleotídico de c.835-2A&gt;G en el transcrito NM_000344.4, que produce un cambio proteico None, es probablemente patogénica. </w:t>
      </w:r>
    </w:p>
    <w:p>
      <w:pPr>
        <w:pStyle w:val="ParagraphTextStyle"/>
        <w:spacing w:after="200"/>
        <w:jc w:val="both"/>
      </w:pPr>
      <w:r>
        <w:t xml:space="preserve">La variante del gen SMN1 con un cambio nucleotídico de c.835G&gt;C en el transcrito NM_000344.4, que produce un cambio proteico (p.Gly279Arg), es probablemente patogénica. 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/>
            <w:r>
              <w:rPr>
                <w:rFonts w:ascii="Tahoma" w:hAnsi="Tahoma"/>
                <w:b/>
                <w:sz w:val="18"/>
              </w:rPr>
              <w:t>CONCLUSION</w:t>
            </w:r>
          </w:p>
        </w:tc>
      </w:tr>
      <w:tr>
        <w:tc>
          <w:tcPr>
            <w:tcW w:type="dxa" w:w="8640"/>
          </w:tcPr>
          <w:p>
            <w:pPr/>
            <w:r>
              <w:rPr>
                <w:rFonts w:ascii="Tahoma" w:hAnsi="Tahoma"/>
                <w:b w:val="0"/>
                <w:sz w:val="18"/>
              </w:rPr>
              <w:t>Se han analizado en este estudio 4 variantes clasificadas como 'Likely pathogenic'.</w:t>
            </w:r>
          </w:p>
        </w:tc>
      </w:tr>
      <w:tr>
        <w:tc>
          <w:tcPr>
            <w:tcW w:type="dxa" w:w="864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ParagraphTextStyle"/>
      <w:jc w:val="center"/>
    </w:pPr>
    <w:r>
      <w:t>v.0.0</w:t>
      <w:tab/>
      <w:tab/>
      <w:tab/>
      <w:tab/>
      <w:tab/>
      <w:tab/>
      <w:tab/>
      <w:tab/>
      <w:tab/>
      <w:tab/>
      <w:tab/>
    </w:r>
    <w:r>
      <w:fldChar w:fldCharType="begin"/>
      <w:instrText xml:space="preserve">PAGE</w:instrText>
      <w:fldChar w:fldCharType="end"/>
    </w:r>
    <w:r>
      <w:t xml:space="preserve">/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000"/>
      <w:gridCol w:w="5000"/>
    </w:tblGrid>
    <w:tr>
      <w:tc>
        <w:tcPr>
          <w:tcW w:type="dxa" w:w="2160"/>
        </w:tcPr>
        <w:p>
          <w:r>
            <w:drawing>
              <wp:inline xmlns:a="http://schemas.openxmlformats.org/drawingml/2006/main" xmlns:pic="http://schemas.openxmlformats.org/drawingml/2006/picture">
                <wp:extent cx="635000" cy="69908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9908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00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rPr>
      <w:rFonts w:ascii="Tahoma" w:hAnsi="Tahoma"/>
      <w:b/>
      <w:sz w:val="26"/>
    </w:rPr>
  </w:style>
  <w:style w:type="paragraph" w:customStyle="1" w:styleId="SubtitleStyle">
    <w:name w:val="SubtitleStyle"/>
    <w:rPr>
      <w:rFonts w:ascii="Tahoma" w:hAnsi="Tahoma"/>
      <w:sz w:val="26"/>
    </w:rPr>
  </w:style>
  <w:style w:type="paragraph" w:customStyle="1" w:styleId="ParagraphTitleStyle">
    <w:name w:val="ParagraphTitleStyle"/>
    <w:rPr>
      <w:rFonts w:ascii="Tahoma" w:hAnsi="Tahoma"/>
      <w:b/>
      <w:sz w:val="16"/>
    </w:rPr>
  </w:style>
  <w:style w:type="paragraph" w:customStyle="1" w:styleId="ParagraphTextStyle">
    <w:name w:val="ParagraphTextStyle"/>
    <w:rPr>
      <w:rFonts w:ascii="Tahoma" w:hAnsi="Tahoma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