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96C7" w14:textId="76E01A34" w:rsidR="00144F89" w:rsidRPr="004A2523" w:rsidRDefault="008F4419" w:rsidP="00EF2DCD">
      <w:pPr>
        <w:pStyle w:val="Title"/>
        <w:spacing w:line="360" w:lineRule="auto"/>
        <w:jc w:val="center"/>
        <w:rPr>
          <w:rFonts w:asciiTheme="majorBidi" w:hAnsiTheme="majorBidi"/>
          <w:b/>
          <w:bCs/>
          <w:sz w:val="32"/>
          <w:szCs w:val="32"/>
        </w:rPr>
      </w:pPr>
      <w:r w:rsidRPr="004A2523">
        <w:rPr>
          <w:rFonts w:asciiTheme="majorBidi" w:hAnsiTheme="majorBidi"/>
          <w:b/>
          <w:bCs/>
          <w:sz w:val="32"/>
          <w:szCs w:val="32"/>
        </w:rPr>
        <w:t>Unraveling the Transcriptomic Overlap Between SARS-CoV-2, Alzheimer’s, and Parkinson’s Disease using a Python Bioinformatics Pipeline</w:t>
      </w:r>
    </w:p>
    <w:p w14:paraId="32B2552B" w14:textId="7E7A2E68" w:rsidR="008F4419" w:rsidRPr="00D60EEF" w:rsidRDefault="008F4419" w:rsidP="004A2523">
      <w:pPr>
        <w:pBdr>
          <w:bottom w:val="single" w:sz="6" w:space="1" w:color="auto"/>
        </w:pBdr>
        <w:spacing w:line="360" w:lineRule="auto"/>
        <w:rPr>
          <w:rFonts w:asciiTheme="majorBidi" w:hAnsiTheme="majorBidi" w:cstheme="majorBidi"/>
          <w:sz w:val="24"/>
          <w:szCs w:val="24"/>
        </w:rPr>
      </w:pPr>
      <w:r w:rsidRPr="00D60EEF">
        <w:rPr>
          <w:rFonts w:asciiTheme="majorBidi" w:hAnsiTheme="majorBidi" w:cstheme="majorBidi"/>
          <w:b/>
          <w:bCs/>
          <w:sz w:val="24"/>
          <w:szCs w:val="24"/>
        </w:rPr>
        <w:t>Student Name:</w:t>
      </w:r>
      <w:r w:rsidRPr="00D60EEF">
        <w:rPr>
          <w:rFonts w:asciiTheme="majorBidi" w:hAnsiTheme="majorBidi" w:cstheme="majorBidi"/>
          <w:sz w:val="24"/>
          <w:szCs w:val="24"/>
        </w:rPr>
        <w:t xml:space="preserve"> Sara Sayed Elganzory </w:t>
      </w:r>
      <w:r w:rsidRPr="00D60EEF">
        <w:rPr>
          <w:rFonts w:asciiTheme="majorBidi" w:hAnsiTheme="majorBidi" w:cstheme="majorBidi"/>
          <w:b/>
          <w:bCs/>
          <w:sz w:val="24"/>
          <w:szCs w:val="24"/>
        </w:rPr>
        <w:t>Student ID:</w:t>
      </w:r>
      <w:r w:rsidRPr="00D60EEF">
        <w:rPr>
          <w:rFonts w:asciiTheme="majorBidi" w:hAnsiTheme="majorBidi" w:cstheme="majorBidi"/>
          <w:sz w:val="24"/>
          <w:szCs w:val="24"/>
        </w:rPr>
        <w:t xml:space="preserve"> 221000509 </w:t>
      </w:r>
      <w:r w:rsidRPr="00D60EEF">
        <w:rPr>
          <w:rFonts w:asciiTheme="majorBidi" w:hAnsiTheme="majorBidi" w:cstheme="majorBidi"/>
          <w:b/>
          <w:bCs/>
          <w:sz w:val="24"/>
          <w:szCs w:val="24"/>
        </w:rPr>
        <w:t>Course:</w:t>
      </w:r>
      <w:r w:rsidRPr="00D60EEF">
        <w:rPr>
          <w:rFonts w:asciiTheme="majorBidi" w:hAnsiTheme="majorBidi" w:cstheme="majorBidi"/>
          <w:sz w:val="24"/>
          <w:szCs w:val="24"/>
        </w:rPr>
        <w:t xml:space="preserve"> Advanced Programming &amp; Data Visualization </w:t>
      </w:r>
      <w:r w:rsidRPr="00D60EEF">
        <w:rPr>
          <w:rFonts w:asciiTheme="majorBidi" w:hAnsiTheme="majorBidi" w:cstheme="majorBidi"/>
          <w:b/>
          <w:bCs/>
          <w:sz w:val="24"/>
          <w:szCs w:val="24"/>
        </w:rPr>
        <w:t>Date:</w:t>
      </w:r>
      <w:r w:rsidRPr="00D60EEF">
        <w:rPr>
          <w:rFonts w:asciiTheme="majorBidi" w:hAnsiTheme="majorBidi" w:cstheme="majorBidi"/>
          <w:sz w:val="24"/>
          <w:szCs w:val="24"/>
        </w:rPr>
        <w:t xml:space="preserve"> January 2026</w:t>
      </w:r>
    </w:p>
    <w:p w14:paraId="7EC8DA5B" w14:textId="3A9AD2BE" w:rsidR="008F4419" w:rsidRPr="004A2523" w:rsidRDefault="008F4419" w:rsidP="004A2523">
      <w:pPr>
        <w:spacing w:line="360" w:lineRule="auto"/>
        <w:jc w:val="both"/>
        <w:rPr>
          <w:rFonts w:asciiTheme="majorBidi" w:hAnsiTheme="majorBidi" w:cstheme="majorBidi"/>
          <w:b/>
          <w:bCs/>
          <w:sz w:val="28"/>
          <w:szCs w:val="28"/>
        </w:rPr>
      </w:pPr>
      <w:r w:rsidRPr="004A2523">
        <w:rPr>
          <w:rFonts w:asciiTheme="majorBidi" w:hAnsiTheme="majorBidi" w:cstheme="majorBidi"/>
          <w:b/>
          <w:bCs/>
          <w:sz w:val="28"/>
          <w:szCs w:val="28"/>
        </w:rPr>
        <w:t>1. Abstract</w:t>
      </w:r>
    </w:p>
    <w:p w14:paraId="0B407DF8" w14:textId="28A3EB05" w:rsidR="008F4419" w:rsidRPr="00D60EEF" w:rsidRDefault="008F4419" w:rsidP="004A2523">
      <w:pPr>
        <w:spacing w:line="360" w:lineRule="auto"/>
        <w:jc w:val="both"/>
        <w:rPr>
          <w:rFonts w:asciiTheme="majorBidi" w:hAnsiTheme="majorBidi" w:cstheme="majorBidi"/>
          <w:sz w:val="24"/>
          <w:szCs w:val="24"/>
        </w:rPr>
      </w:pPr>
      <w:r w:rsidRPr="00D60EEF">
        <w:rPr>
          <w:rFonts w:asciiTheme="majorBidi" w:hAnsiTheme="majorBidi" w:cstheme="majorBidi"/>
          <w:sz w:val="24"/>
          <w:szCs w:val="24"/>
        </w:rPr>
        <w:t xml:space="preserve">This study investigates the potential molecular mechanisms linking SARS-CoV-2 infection (COVID-19) to the acceleration of neurodegenerative conditions, specifically Alzheimer’s Disease (AD) and Parkinson’s Disease (PD). Using high-throughput RNA-Seq data from the Gene Expression Omnibus (GEO), we developed a custom </w:t>
      </w:r>
      <w:r w:rsidRPr="00D60EEF">
        <w:rPr>
          <w:rFonts w:asciiTheme="majorBidi" w:hAnsiTheme="majorBidi" w:cstheme="majorBidi"/>
          <w:b/>
          <w:bCs/>
          <w:sz w:val="24"/>
          <w:szCs w:val="24"/>
        </w:rPr>
        <w:t>Python-based bioinformatics pipeline</w:t>
      </w:r>
      <w:r w:rsidRPr="00D60EEF">
        <w:rPr>
          <w:rFonts w:asciiTheme="majorBidi" w:hAnsiTheme="majorBidi" w:cstheme="majorBidi"/>
          <w:sz w:val="24"/>
          <w:szCs w:val="24"/>
        </w:rPr>
        <w:t xml:space="preserve"> to perform Differential Expression Analysis (DEA).</w:t>
      </w:r>
    </w:p>
    <w:p w14:paraId="0DA0B929" w14:textId="19CE66E5" w:rsidR="008F4419" w:rsidRPr="008F4419" w:rsidRDefault="008F4419" w:rsidP="00196527">
      <w:pPr>
        <w:pBdr>
          <w:bottom w:val="single" w:sz="6" w:space="1" w:color="auto"/>
        </w:pBdr>
        <w:spacing w:line="360" w:lineRule="auto"/>
        <w:jc w:val="both"/>
        <w:rPr>
          <w:rFonts w:asciiTheme="majorBidi" w:hAnsiTheme="majorBidi" w:cstheme="majorBidi"/>
          <w:sz w:val="24"/>
          <w:szCs w:val="24"/>
        </w:rPr>
      </w:pPr>
      <w:r w:rsidRPr="008F4419">
        <w:rPr>
          <w:rFonts w:asciiTheme="majorBidi" w:hAnsiTheme="majorBidi" w:cstheme="majorBidi"/>
          <w:sz w:val="24"/>
          <w:szCs w:val="24"/>
        </w:rPr>
        <w:t xml:space="preserve">While a triple intersection of all three conditions yielded limited overlap due to biological heterogeneity, our </w:t>
      </w:r>
      <w:r w:rsidRPr="008F4419">
        <w:rPr>
          <w:rFonts w:asciiTheme="majorBidi" w:hAnsiTheme="majorBidi" w:cstheme="majorBidi"/>
          <w:b/>
          <w:bCs/>
          <w:sz w:val="24"/>
          <w:szCs w:val="24"/>
        </w:rPr>
        <w:t>Pairwise Intersection Analysis</w:t>
      </w:r>
      <w:r w:rsidRPr="008F4419">
        <w:rPr>
          <w:rFonts w:asciiTheme="majorBidi" w:hAnsiTheme="majorBidi" w:cstheme="majorBidi"/>
          <w:sz w:val="24"/>
          <w:szCs w:val="24"/>
        </w:rPr>
        <w:t xml:space="preserve"> revealed significant disease-specific connections. We identified </w:t>
      </w:r>
      <w:r w:rsidRPr="008F4419">
        <w:rPr>
          <w:rFonts w:asciiTheme="majorBidi" w:hAnsiTheme="majorBidi" w:cstheme="majorBidi"/>
          <w:b/>
          <w:bCs/>
          <w:sz w:val="24"/>
          <w:szCs w:val="24"/>
        </w:rPr>
        <w:t>320 shared genes</w:t>
      </w:r>
      <w:r w:rsidRPr="008F4419">
        <w:rPr>
          <w:rFonts w:asciiTheme="majorBidi" w:hAnsiTheme="majorBidi" w:cstheme="majorBidi"/>
          <w:sz w:val="24"/>
          <w:szCs w:val="24"/>
        </w:rPr>
        <w:t xml:space="preserve"> between COVID-19 and Alzheimer’s, including </w:t>
      </w:r>
      <w:r w:rsidRPr="008F4419">
        <w:rPr>
          <w:rFonts w:asciiTheme="majorBidi" w:hAnsiTheme="majorBidi" w:cstheme="majorBidi"/>
          <w:b/>
          <w:bCs/>
          <w:sz w:val="24"/>
          <w:szCs w:val="24"/>
        </w:rPr>
        <w:t>AGPAT2</w:t>
      </w:r>
      <w:r w:rsidRPr="008F4419">
        <w:rPr>
          <w:rFonts w:asciiTheme="majorBidi" w:hAnsiTheme="majorBidi" w:cstheme="majorBidi"/>
          <w:sz w:val="24"/>
          <w:szCs w:val="24"/>
        </w:rPr>
        <w:t xml:space="preserve"> (lipid metabolism) and </w:t>
      </w:r>
      <w:r w:rsidRPr="008F4419">
        <w:rPr>
          <w:rFonts w:asciiTheme="majorBidi" w:hAnsiTheme="majorBidi" w:cstheme="majorBidi"/>
          <w:b/>
          <w:bCs/>
          <w:sz w:val="24"/>
          <w:szCs w:val="24"/>
        </w:rPr>
        <w:t>DOC2A</w:t>
      </w:r>
      <w:r w:rsidRPr="008F4419">
        <w:rPr>
          <w:rFonts w:asciiTheme="majorBidi" w:hAnsiTheme="majorBidi" w:cstheme="majorBidi"/>
          <w:sz w:val="24"/>
          <w:szCs w:val="24"/>
        </w:rPr>
        <w:t xml:space="preserve"> (synaptic vesicle fusion). Additionally, we identified </w:t>
      </w:r>
      <w:r w:rsidRPr="008F4419">
        <w:rPr>
          <w:rFonts w:asciiTheme="majorBidi" w:hAnsiTheme="majorBidi" w:cstheme="majorBidi"/>
          <w:b/>
          <w:bCs/>
          <w:sz w:val="24"/>
          <w:szCs w:val="24"/>
        </w:rPr>
        <w:t>272 shared genes</w:t>
      </w:r>
      <w:r w:rsidRPr="008F4419">
        <w:rPr>
          <w:rFonts w:asciiTheme="majorBidi" w:hAnsiTheme="majorBidi" w:cstheme="majorBidi"/>
          <w:sz w:val="24"/>
          <w:szCs w:val="24"/>
        </w:rPr>
        <w:t xml:space="preserve"> between COVID-19 and Parkinson’s, notably </w:t>
      </w:r>
      <w:r w:rsidRPr="008F4419">
        <w:rPr>
          <w:rFonts w:asciiTheme="majorBidi" w:hAnsiTheme="majorBidi" w:cstheme="majorBidi"/>
          <w:b/>
          <w:bCs/>
          <w:sz w:val="24"/>
          <w:szCs w:val="24"/>
        </w:rPr>
        <w:t>MPO</w:t>
      </w:r>
      <w:r w:rsidRPr="008F4419">
        <w:rPr>
          <w:rFonts w:asciiTheme="majorBidi" w:hAnsiTheme="majorBidi" w:cstheme="majorBidi"/>
          <w:sz w:val="24"/>
          <w:szCs w:val="24"/>
        </w:rPr>
        <w:t xml:space="preserve"> (Myeloperoxidase) and </w:t>
      </w:r>
      <w:r w:rsidRPr="008F4419">
        <w:rPr>
          <w:rFonts w:asciiTheme="majorBidi" w:hAnsiTheme="majorBidi" w:cstheme="majorBidi"/>
          <w:b/>
          <w:bCs/>
          <w:sz w:val="24"/>
          <w:szCs w:val="24"/>
        </w:rPr>
        <w:t>LPO</w:t>
      </w:r>
      <w:r w:rsidRPr="008F4419">
        <w:rPr>
          <w:rFonts w:asciiTheme="majorBidi" w:hAnsiTheme="majorBidi" w:cstheme="majorBidi"/>
          <w:sz w:val="24"/>
          <w:szCs w:val="24"/>
        </w:rPr>
        <w:t xml:space="preserve">, which are critical markers of oxidative stress. Finally, we tested the "Prion Hypothesis" and found </w:t>
      </w:r>
      <w:r w:rsidRPr="008F4419">
        <w:rPr>
          <w:rFonts w:asciiTheme="majorBidi" w:hAnsiTheme="majorBidi" w:cstheme="majorBidi"/>
          <w:b/>
          <w:bCs/>
          <w:sz w:val="24"/>
          <w:szCs w:val="24"/>
        </w:rPr>
        <w:t>no direct dysregulation</w:t>
      </w:r>
      <w:r w:rsidRPr="008F4419">
        <w:rPr>
          <w:rFonts w:asciiTheme="majorBidi" w:hAnsiTheme="majorBidi" w:cstheme="majorBidi"/>
          <w:sz w:val="24"/>
          <w:szCs w:val="24"/>
        </w:rPr>
        <w:t xml:space="preserve"> of classic prion markers (</w:t>
      </w:r>
      <w:r w:rsidRPr="008F4419">
        <w:rPr>
          <w:rFonts w:asciiTheme="majorBidi" w:hAnsiTheme="majorBidi" w:cstheme="majorBidi"/>
          <w:i/>
          <w:iCs/>
          <w:sz w:val="24"/>
          <w:szCs w:val="24"/>
        </w:rPr>
        <w:t>PRNP, SNCA</w:t>
      </w:r>
      <w:r w:rsidRPr="008F4419">
        <w:rPr>
          <w:rFonts w:asciiTheme="majorBidi" w:hAnsiTheme="majorBidi" w:cstheme="majorBidi"/>
          <w:sz w:val="24"/>
          <w:szCs w:val="24"/>
        </w:rPr>
        <w:t xml:space="preserve">) in the shared signatures. </w:t>
      </w:r>
      <w:r w:rsidR="00196527" w:rsidRPr="00196527">
        <w:rPr>
          <w:rFonts w:asciiTheme="majorBidi" w:hAnsiTheme="majorBidi" w:cstheme="majorBidi"/>
          <w:sz w:val="24"/>
          <w:szCs w:val="24"/>
        </w:rPr>
        <w:t xml:space="preserve">To ensure statistical robustness, we performed a secondary validation using an </w:t>
      </w:r>
      <w:r w:rsidR="00196527" w:rsidRPr="00196527">
        <w:rPr>
          <w:rFonts w:asciiTheme="majorBidi" w:hAnsiTheme="majorBidi" w:cstheme="majorBidi"/>
          <w:b/>
          <w:bCs/>
          <w:sz w:val="24"/>
          <w:szCs w:val="24"/>
        </w:rPr>
        <w:t>R/Bioconductor pipeline (</w:t>
      </w:r>
      <w:proofErr w:type="spellStart"/>
      <w:r w:rsidR="00196527" w:rsidRPr="00196527">
        <w:rPr>
          <w:rFonts w:asciiTheme="majorBidi" w:hAnsiTheme="majorBidi" w:cstheme="majorBidi"/>
          <w:b/>
          <w:bCs/>
          <w:sz w:val="24"/>
          <w:szCs w:val="24"/>
        </w:rPr>
        <w:t>limma</w:t>
      </w:r>
      <w:proofErr w:type="spellEnd"/>
      <w:r w:rsidR="00196527" w:rsidRPr="00196527">
        <w:rPr>
          <w:rFonts w:asciiTheme="majorBidi" w:hAnsiTheme="majorBidi" w:cstheme="majorBidi"/>
          <w:b/>
          <w:bCs/>
          <w:sz w:val="24"/>
          <w:szCs w:val="24"/>
        </w:rPr>
        <w:t>/</w:t>
      </w:r>
      <w:proofErr w:type="spellStart"/>
      <w:r w:rsidR="00196527" w:rsidRPr="00196527">
        <w:rPr>
          <w:rFonts w:asciiTheme="majorBidi" w:hAnsiTheme="majorBidi" w:cstheme="majorBidi"/>
          <w:b/>
          <w:bCs/>
          <w:sz w:val="24"/>
          <w:szCs w:val="24"/>
        </w:rPr>
        <w:t>edgeR</w:t>
      </w:r>
      <w:proofErr w:type="spellEnd"/>
      <w:r w:rsidR="00196527" w:rsidRPr="00196527">
        <w:rPr>
          <w:rFonts w:asciiTheme="majorBidi" w:hAnsiTheme="majorBidi" w:cstheme="majorBidi"/>
          <w:b/>
          <w:bCs/>
          <w:sz w:val="24"/>
          <w:szCs w:val="24"/>
        </w:rPr>
        <w:t>)</w:t>
      </w:r>
      <w:r w:rsidR="00196527" w:rsidRPr="00196527">
        <w:rPr>
          <w:rFonts w:asciiTheme="majorBidi" w:hAnsiTheme="majorBidi" w:cstheme="majorBidi"/>
          <w:sz w:val="24"/>
          <w:szCs w:val="24"/>
        </w:rPr>
        <w:t>. This analysis confirmed the normalization efficiency via Voom modeling and identified a core set of genes shared across all three conditions, validating the molecular convergence between viral infection and neurodegeneration.</w:t>
      </w:r>
      <w:r w:rsidR="00196527">
        <w:rPr>
          <w:rFonts w:asciiTheme="majorBidi" w:hAnsiTheme="majorBidi" w:cstheme="majorBidi"/>
          <w:sz w:val="24"/>
          <w:szCs w:val="24"/>
        </w:rPr>
        <w:t xml:space="preserve"> </w:t>
      </w:r>
      <w:r w:rsidRPr="008F4419">
        <w:rPr>
          <w:rFonts w:asciiTheme="majorBidi" w:hAnsiTheme="majorBidi" w:cstheme="majorBidi"/>
          <w:sz w:val="24"/>
          <w:szCs w:val="24"/>
        </w:rPr>
        <w:t>These findings suggest that the link between COVID-19 and neurodegeneration is likely mediated by indirect mechanisms—such as systemic inflammation and oxidative stress—rather than direct prion protein seeding.</w:t>
      </w:r>
    </w:p>
    <w:p w14:paraId="68571563" w14:textId="32A34146" w:rsidR="008F4419" w:rsidRPr="004A2523" w:rsidRDefault="00766C96" w:rsidP="004A2523">
      <w:pPr>
        <w:spacing w:line="360" w:lineRule="auto"/>
        <w:jc w:val="both"/>
        <w:rPr>
          <w:rFonts w:asciiTheme="majorBidi" w:hAnsiTheme="majorBidi" w:cstheme="majorBidi"/>
          <w:b/>
          <w:bCs/>
          <w:sz w:val="28"/>
          <w:szCs w:val="28"/>
        </w:rPr>
      </w:pPr>
      <w:r w:rsidRPr="004A2523">
        <w:rPr>
          <w:rFonts w:asciiTheme="majorBidi" w:hAnsiTheme="majorBidi" w:cstheme="majorBidi"/>
          <w:b/>
          <w:bCs/>
          <w:sz w:val="28"/>
          <w:szCs w:val="28"/>
        </w:rPr>
        <w:t>2. Introduction</w:t>
      </w:r>
    </w:p>
    <w:p w14:paraId="6B087E1A" w14:textId="77777777" w:rsidR="00766C96" w:rsidRPr="00766C96" w:rsidRDefault="00766C96" w:rsidP="004A2523">
      <w:pPr>
        <w:spacing w:line="360" w:lineRule="auto"/>
        <w:jc w:val="both"/>
        <w:rPr>
          <w:rFonts w:asciiTheme="majorBidi" w:hAnsiTheme="majorBidi" w:cstheme="majorBidi"/>
          <w:sz w:val="24"/>
          <w:szCs w:val="24"/>
        </w:rPr>
      </w:pPr>
      <w:r w:rsidRPr="00766C96">
        <w:rPr>
          <w:rFonts w:asciiTheme="majorBidi" w:hAnsiTheme="majorBidi" w:cstheme="majorBidi"/>
          <w:sz w:val="24"/>
          <w:szCs w:val="24"/>
        </w:rPr>
        <w:t xml:space="preserve">The neurological sequelae of COVID-19, often termed "Neuro-COVID," have raised concerns about the long-term acceleration of neurodegenerative diseases. Clinical observations suggest that </w:t>
      </w:r>
      <w:r w:rsidRPr="00766C96">
        <w:rPr>
          <w:rFonts w:asciiTheme="majorBidi" w:hAnsiTheme="majorBidi" w:cstheme="majorBidi"/>
          <w:sz w:val="24"/>
          <w:szCs w:val="24"/>
        </w:rPr>
        <w:lastRenderedPageBreak/>
        <w:t>the systemic inflammation (cytokine storm) induced by SARS-CoV-2 may exacerbate pre-existing pathologies in Alzheimer’s and Parkinson’s patients. However, the exact molecular targets shared between these conditions remain under investigation.</w:t>
      </w:r>
    </w:p>
    <w:p w14:paraId="3FDAA79A" w14:textId="77777777" w:rsidR="00766C96" w:rsidRPr="00766C96" w:rsidRDefault="00766C96" w:rsidP="004A2523">
      <w:pPr>
        <w:pBdr>
          <w:bottom w:val="single" w:sz="6" w:space="1" w:color="auto"/>
        </w:pBdr>
        <w:spacing w:line="360" w:lineRule="auto"/>
        <w:jc w:val="both"/>
        <w:rPr>
          <w:rFonts w:asciiTheme="majorBidi" w:hAnsiTheme="majorBidi" w:cstheme="majorBidi"/>
          <w:sz w:val="24"/>
          <w:szCs w:val="24"/>
        </w:rPr>
      </w:pPr>
      <w:r w:rsidRPr="00766C96">
        <w:rPr>
          <w:rFonts w:asciiTheme="majorBidi" w:hAnsiTheme="majorBidi" w:cstheme="majorBidi"/>
          <w:sz w:val="24"/>
          <w:szCs w:val="24"/>
        </w:rPr>
        <w:t>Previous studies have largely focused on individual diseases. This project aims to bridge this gap by performing a comparative transcriptomic analysis of COVID-19, Alzheimer’s, and Parkinson’s Disease simultaneously. Furthermore, we investigate a specific "Prion Hypothesis"—the theory that the SARS-CoV-2 spike protein may induce prion-like misfolding—by screening for dysregulation in amyloidogenic genes (</w:t>
      </w:r>
      <w:r w:rsidRPr="00766C96">
        <w:rPr>
          <w:rFonts w:asciiTheme="majorBidi" w:hAnsiTheme="majorBidi" w:cstheme="majorBidi"/>
          <w:i/>
          <w:iCs/>
          <w:sz w:val="24"/>
          <w:szCs w:val="24"/>
        </w:rPr>
        <w:t>PRNP, SNCA, MAPT</w:t>
      </w:r>
      <w:r w:rsidRPr="00766C96">
        <w:rPr>
          <w:rFonts w:asciiTheme="majorBidi" w:hAnsiTheme="majorBidi" w:cstheme="majorBidi"/>
          <w:sz w:val="24"/>
          <w:szCs w:val="24"/>
        </w:rPr>
        <w:t>).</w:t>
      </w:r>
    </w:p>
    <w:p w14:paraId="0A88EB1E" w14:textId="70C03F49" w:rsidR="00766C96" w:rsidRPr="004A2523" w:rsidRDefault="00766C96" w:rsidP="004A2523">
      <w:pPr>
        <w:spacing w:line="360" w:lineRule="auto"/>
        <w:jc w:val="both"/>
        <w:rPr>
          <w:rFonts w:asciiTheme="majorBidi" w:hAnsiTheme="majorBidi" w:cstheme="majorBidi"/>
          <w:b/>
          <w:bCs/>
          <w:sz w:val="28"/>
          <w:szCs w:val="28"/>
        </w:rPr>
      </w:pPr>
      <w:r w:rsidRPr="004A2523">
        <w:rPr>
          <w:rFonts w:asciiTheme="majorBidi" w:hAnsiTheme="majorBidi" w:cstheme="majorBidi"/>
          <w:b/>
          <w:bCs/>
          <w:sz w:val="28"/>
          <w:szCs w:val="28"/>
        </w:rPr>
        <w:t>3. Methods</w:t>
      </w:r>
    </w:p>
    <w:p w14:paraId="7A9FFBA2" w14:textId="6817401E" w:rsidR="00766C96" w:rsidRPr="004A2523" w:rsidRDefault="00766C96" w:rsidP="004A2523">
      <w:pPr>
        <w:spacing w:line="360" w:lineRule="auto"/>
        <w:jc w:val="both"/>
        <w:rPr>
          <w:rFonts w:asciiTheme="majorBidi" w:hAnsiTheme="majorBidi" w:cstheme="majorBidi"/>
          <w:b/>
          <w:bCs/>
          <w:sz w:val="24"/>
          <w:szCs w:val="24"/>
        </w:rPr>
      </w:pPr>
      <w:r w:rsidRPr="004A2523">
        <w:rPr>
          <w:rFonts w:asciiTheme="majorBidi" w:hAnsiTheme="majorBidi" w:cstheme="majorBidi"/>
          <w:b/>
          <w:bCs/>
          <w:sz w:val="24"/>
          <w:szCs w:val="24"/>
        </w:rPr>
        <w:t>3.1 Data Acquisition</w:t>
      </w:r>
    </w:p>
    <w:p w14:paraId="2AB9187C" w14:textId="77777777" w:rsidR="003E62A5" w:rsidRPr="003E62A5" w:rsidRDefault="003E62A5" w:rsidP="004A2523">
      <w:pPr>
        <w:spacing w:line="360" w:lineRule="auto"/>
        <w:jc w:val="both"/>
        <w:rPr>
          <w:rFonts w:asciiTheme="majorBidi" w:hAnsiTheme="majorBidi" w:cstheme="majorBidi"/>
          <w:sz w:val="24"/>
          <w:szCs w:val="24"/>
        </w:rPr>
      </w:pPr>
      <w:r w:rsidRPr="003E62A5">
        <w:rPr>
          <w:rFonts w:asciiTheme="majorBidi" w:hAnsiTheme="majorBidi" w:cstheme="majorBidi"/>
          <w:sz w:val="24"/>
          <w:szCs w:val="24"/>
        </w:rPr>
        <w:t>Transcriptomic datasets were obtained from the NCBI Gene Expression Omnibus (GEO). We selected datasets representing:</w:t>
      </w:r>
    </w:p>
    <w:p w14:paraId="19ED1189" w14:textId="77777777" w:rsidR="003E62A5" w:rsidRPr="003E62A5" w:rsidRDefault="003E62A5" w:rsidP="004A2523">
      <w:pPr>
        <w:numPr>
          <w:ilvl w:val="0"/>
          <w:numId w:val="6"/>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COVID-19:</w:t>
      </w:r>
      <w:r w:rsidRPr="003E62A5">
        <w:rPr>
          <w:rFonts w:asciiTheme="majorBidi" w:hAnsiTheme="majorBidi" w:cstheme="majorBidi"/>
          <w:sz w:val="24"/>
          <w:szCs w:val="24"/>
        </w:rPr>
        <w:t xml:space="preserve"> Whole blood/tissue samples from severe patients vs. healthy controls.</w:t>
      </w:r>
    </w:p>
    <w:p w14:paraId="36C668FF" w14:textId="77777777" w:rsidR="003E62A5" w:rsidRPr="003E62A5" w:rsidRDefault="003E62A5" w:rsidP="004A2523">
      <w:pPr>
        <w:numPr>
          <w:ilvl w:val="0"/>
          <w:numId w:val="6"/>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Alzheimer’s Disease:</w:t>
      </w:r>
      <w:r w:rsidRPr="003E62A5">
        <w:rPr>
          <w:rFonts w:asciiTheme="majorBidi" w:hAnsiTheme="majorBidi" w:cstheme="majorBidi"/>
          <w:sz w:val="24"/>
          <w:szCs w:val="24"/>
        </w:rPr>
        <w:t xml:space="preserve"> Brain tissue samples comparing AD patients to controls.</w:t>
      </w:r>
    </w:p>
    <w:p w14:paraId="74B6C943" w14:textId="77777777" w:rsidR="003E62A5" w:rsidRPr="003E62A5" w:rsidRDefault="003E62A5" w:rsidP="004A2523">
      <w:pPr>
        <w:numPr>
          <w:ilvl w:val="0"/>
          <w:numId w:val="6"/>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Parkinson’s Disease:</w:t>
      </w:r>
      <w:r w:rsidRPr="003E62A5">
        <w:rPr>
          <w:rFonts w:asciiTheme="majorBidi" w:hAnsiTheme="majorBidi" w:cstheme="majorBidi"/>
          <w:sz w:val="24"/>
          <w:szCs w:val="24"/>
        </w:rPr>
        <w:t xml:space="preserve"> Substantia nigra tissue samples comparing PD patients to controls.</w:t>
      </w:r>
    </w:p>
    <w:p w14:paraId="6F52D6D1" w14:textId="77777777" w:rsidR="003E62A5" w:rsidRPr="00D60EEF" w:rsidRDefault="003E62A5" w:rsidP="004A2523">
      <w:pPr>
        <w:spacing w:line="360" w:lineRule="auto"/>
        <w:jc w:val="both"/>
        <w:rPr>
          <w:rFonts w:asciiTheme="majorBidi" w:hAnsiTheme="majorBidi" w:cstheme="majorBidi"/>
          <w:b/>
          <w:bCs/>
          <w:sz w:val="28"/>
          <w:szCs w:val="28"/>
        </w:rPr>
      </w:pPr>
    </w:p>
    <w:p w14:paraId="4D8AE130" w14:textId="22DDAFF7" w:rsidR="00766C96" w:rsidRPr="004A2523" w:rsidRDefault="00766C96" w:rsidP="004A2523">
      <w:pPr>
        <w:spacing w:line="360" w:lineRule="auto"/>
        <w:jc w:val="both"/>
        <w:rPr>
          <w:rFonts w:asciiTheme="majorBidi" w:hAnsiTheme="majorBidi" w:cstheme="majorBidi"/>
          <w:b/>
          <w:bCs/>
          <w:sz w:val="24"/>
          <w:szCs w:val="24"/>
        </w:rPr>
      </w:pPr>
      <w:r w:rsidRPr="004A2523">
        <w:rPr>
          <w:rFonts w:asciiTheme="majorBidi" w:hAnsiTheme="majorBidi" w:cstheme="majorBidi"/>
          <w:b/>
          <w:bCs/>
          <w:sz w:val="24"/>
          <w:szCs w:val="24"/>
        </w:rPr>
        <w:t>3.2 Bioinformatics Pipeline (Python)</w:t>
      </w:r>
    </w:p>
    <w:p w14:paraId="7CC6E88E" w14:textId="77777777" w:rsidR="003E62A5" w:rsidRPr="003E62A5" w:rsidRDefault="003E62A5" w:rsidP="004A2523">
      <w:pPr>
        <w:spacing w:line="360" w:lineRule="auto"/>
        <w:jc w:val="both"/>
        <w:rPr>
          <w:rFonts w:asciiTheme="majorBidi" w:hAnsiTheme="majorBidi" w:cstheme="majorBidi"/>
          <w:sz w:val="24"/>
          <w:szCs w:val="24"/>
        </w:rPr>
      </w:pPr>
      <w:r w:rsidRPr="003E62A5">
        <w:rPr>
          <w:rFonts w:asciiTheme="majorBidi" w:hAnsiTheme="majorBidi" w:cstheme="majorBidi"/>
          <w:sz w:val="24"/>
          <w:szCs w:val="24"/>
        </w:rPr>
        <w:t xml:space="preserve">Unlike traditional analyses that rely on web-based tools (e.g., GEO2R), we implemented a comprehensive </w:t>
      </w:r>
      <w:r w:rsidRPr="003E62A5">
        <w:rPr>
          <w:rFonts w:asciiTheme="majorBidi" w:hAnsiTheme="majorBidi" w:cstheme="majorBidi"/>
          <w:b/>
          <w:bCs/>
          <w:sz w:val="24"/>
          <w:szCs w:val="24"/>
        </w:rPr>
        <w:t>Python pipeline</w:t>
      </w:r>
      <w:r w:rsidRPr="003E62A5">
        <w:rPr>
          <w:rFonts w:asciiTheme="majorBidi" w:hAnsiTheme="majorBidi" w:cstheme="majorBidi"/>
          <w:sz w:val="24"/>
          <w:szCs w:val="24"/>
        </w:rPr>
        <w:t xml:space="preserve"> for reproducibility and advanced statistical control:</w:t>
      </w:r>
    </w:p>
    <w:p w14:paraId="75D47C3B" w14:textId="77777777" w:rsidR="003E62A5" w:rsidRPr="003E62A5" w:rsidRDefault="003E62A5" w:rsidP="004A2523">
      <w:pPr>
        <w:numPr>
          <w:ilvl w:val="0"/>
          <w:numId w:val="8"/>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Data Preprocessing:</w:t>
      </w:r>
      <w:r w:rsidRPr="003E62A5">
        <w:rPr>
          <w:rFonts w:asciiTheme="majorBidi" w:hAnsiTheme="majorBidi" w:cstheme="majorBidi"/>
          <w:sz w:val="24"/>
          <w:szCs w:val="24"/>
        </w:rPr>
        <w:t xml:space="preserve"> Raw count data was cleaned using pandas. Genes with zero expression across samples were filtered out. Data was normalized using a </w:t>
      </w:r>
      <w:r w:rsidRPr="003E62A5">
        <w:rPr>
          <w:rFonts w:asciiTheme="majorBidi" w:hAnsiTheme="majorBidi" w:cstheme="majorBidi"/>
          <w:b/>
          <w:bCs/>
          <w:sz w:val="24"/>
          <w:szCs w:val="24"/>
        </w:rPr>
        <w:t>Log2(x+1)</w:t>
      </w:r>
      <w:r w:rsidRPr="003E62A5">
        <w:rPr>
          <w:rFonts w:asciiTheme="majorBidi" w:hAnsiTheme="majorBidi" w:cstheme="majorBidi"/>
          <w:sz w:val="24"/>
          <w:szCs w:val="24"/>
        </w:rPr>
        <w:t xml:space="preserve"> transformation to stabilize variance.</w:t>
      </w:r>
    </w:p>
    <w:p w14:paraId="73AECBF5" w14:textId="78DD7F30" w:rsidR="003E62A5" w:rsidRPr="003E62A5" w:rsidRDefault="003E62A5" w:rsidP="004A2523">
      <w:pPr>
        <w:numPr>
          <w:ilvl w:val="0"/>
          <w:numId w:val="8"/>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Quality Control:</w:t>
      </w:r>
      <w:r w:rsidRPr="003E62A5">
        <w:rPr>
          <w:rFonts w:asciiTheme="majorBidi" w:hAnsiTheme="majorBidi" w:cstheme="majorBidi"/>
          <w:sz w:val="24"/>
          <w:szCs w:val="24"/>
        </w:rPr>
        <w:t xml:space="preserve"> We performed Principal Component Analysis (PCA) using </w:t>
      </w:r>
      <w:proofErr w:type="spellStart"/>
      <w:proofErr w:type="gramStart"/>
      <w:r w:rsidRPr="003E62A5">
        <w:rPr>
          <w:rFonts w:asciiTheme="majorBidi" w:hAnsiTheme="majorBidi" w:cstheme="majorBidi"/>
          <w:sz w:val="24"/>
          <w:szCs w:val="24"/>
        </w:rPr>
        <w:t>sklearn.decomposition</w:t>
      </w:r>
      <w:proofErr w:type="spellEnd"/>
      <w:proofErr w:type="gramEnd"/>
      <w:r w:rsidRPr="003E62A5">
        <w:rPr>
          <w:rFonts w:asciiTheme="majorBidi" w:hAnsiTheme="majorBidi" w:cstheme="majorBidi"/>
          <w:sz w:val="24"/>
          <w:szCs w:val="24"/>
        </w:rPr>
        <w:t xml:space="preserve"> to visualize sample clustering and detect outliers.</w:t>
      </w:r>
    </w:p>
    <w:p w14:paraId="13D35ED5" w14:textId="77777777" w:rsidR="003E62A5" w:rsidRPr="003E62A5" w:rsidRDefault="003E62A5" w:rsidP="004A2523">
      <w:pPr>
        <w:numPr>
          <w:ilvl w:val="0"/>
          <w:numId w:val="8"/>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lastRenderedPageBreak/>
        <w:t>Differential Expression Analysis:</w:t>
      </w:r>
      <w:r w:rsidRPr="003E62A5">
        <w:rPr>
          <w:rFonts w:asciiTheme="majorBidi" w:hAnsiTheme="majorBidi" w:cstheme="majorBidi"/>
          <w:sz w:val="24"/>
          <w:szCs w:val="24"/>
        </w:rPr>
        <w:t xml:space="preserve"> We utilized </w:t>
      </w:r>
      <w:proofErr w:type="spellStart"/>
      <w:proofErr w:type="gramStart"/>
      <w:r w:rsidRPr="003E62A5">
        <w:rPr>
          <w:rFonts w:asciiTheme="majorBidi" w:hAnsiTheme="majorBidi" w:cstheme="majorBidi"/>
          <w:sz w:val="24"/>
          <w:szCs w:val="24"/>
        </w:rPr>
        <w:t>scipy.stats</w:t>
      </w:r>
      <w:proofErr w:type="spellEnd"/>
      <w:proofErr w:type="gramEnd"/>
      <w:r w:rsidRPr="003E62A5">
        <w:rPr>
          <w:rFonts w:asciiTheme="majorBidi" w:hAnsiTheme="majorBidi" w:cstheme="majorBidi"/>
          <w:sz w:val="24"/>
          <w:szCs w:val="24"/>
        </w:rPr>
        <w:t xml:space="preserve"> to perform </w:t>
      </w:r>
      <w:r w:rsidRPr="003E62A5">
        <w:rPr>
          <w:rFonts w:asciiTheme="majorBidi" w:hAnsiTheme="majorBidi" w:cstheme="majorBidi"/>
          <w:b/>
          <w:bCs/>
          <w:sz w:val="24"/>
          <w:szCs w:val="24"/>
        </w:rPr>
        <w:t>Welch’s t-tests</w:t>
      </w:r>
      <w:r w:rsidRPr="003E62A5">
        <w:rPr>
          <w:rFonts w:asciiTheme="majorBidi" w:hAnsiTheme="majorBidi" w:cstheme="majorBidi"/>
          <w:sz w:val="24"/>
          <w:szCs w:val="24"/>
        </w:rPr>
        <w:t xml:space="preserve"> (unequal variance) between disease and control groups.</w:t>
      </w:r>
    </w:p>
    <w:p w14:paraId="56E00C0E" w14:textId="1DD1757A" w:rsidR="003E62A5" w:rsidRDefault="003E62A5" w:rsidP="007E2F8D">
      <w:pPr>
        <w:numPr>
          <w:ilvl w:val="0"/>
          <w:numId w:val="8"/>
        </w:num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Statistical Filtering:</w:t>
      </w:r>
      <w:r w:rsidRPr="003E62A5">
        <w:rPr>
          <w:rFonts w:asciiTheme="majorBidi" w:hAnsiTheme="majorBidi" w:cstheme="majorBidi"/>
          <w:sz w:val="24"/>
          <w:szCs w:val="24"/>
        </w:rPr>
        <w:t xml:space="preserve"> Significant Differentially Expressed Genes (DEGs) were identified based on strict cutoffs: </w:t>
      </w:r>
      <w:r w:rsidRPr="003E62A5">
        <w:rPr>
          <w:rFonts w:asciiTheme="majorBidi" w:hAnsiTheme="majorBidi" w:cstheme="majorBidi"/>
          <w:b/>
          <w:bCs/>
          <w:sz w:val="24"/>
          <w:szCs w:val="24"/>
        </w:rPr>
        <w:t>P-value &lt; 0.05</w:t>
      </w:r>
      <w:r w:rsidRPr="003E62A5">
        <w:rPr>
          <w:rFonts w:asciiTheme="majorBidi" w:hAnsiTheme="majorBidi" w:cstheme="majorBidi"/>
          <w:sz w:val="24"/>
          <w:szCs w:val="24"/>
        </w:rPr>
        <w:t xml:space="preserve"> and </w:t>
      </w:r>
      <w:r w:rsidRPr="003E62A5">
        <w:rPr>
          <w:rFonts w:asciiTheme="majorBidi" w:hAnsiTheme="majorBidi" w:cstheme="majorBidi"/>
          <w:b/>
          <w:bCs/>
          <w:sz w:val="24"/>
          <w:szCs w:val="24"/>
        </w:rPr>
        <w:t>|Log2 Fold Change| &gt; 0.5</w:t>
      </w:r>
      <w:r w:rsidRPr="003E62A5">
        <w:rPr>
          <w:rFonts w:asciiTheme="majorBidi" w:hAnsiTheme="majorBidi" w:cstheme="majorBidi"/>
          <w:sz w:val="24"/>
          <w:szCs w:val="24"/>
        </w:rPr>
        <w:t>.</w:t>
      </w:r>
    </w:p>
    <w:p w14:paraId="69C04A88" w14:textId="77777777" w:rsidR="007E2F8D" w:rsidRPr="007E2F8D" w:rsidRDefault="007E2F8D" w:rsidP="007E2F8D">
      <w:pPr>
        <w:spacing w:line="360" w:lineRule="auto"/>
        <w:ind w:left="360"/>
        <w:jc w:val="both"/>
        <w:rPr>
          <w:rFonts w:asciiTheme="majorBidi" w:hAnsiTheme="majorBidi" w:cstheme="majorBidi"/>
          <w:sz w:val="24"/>
          <w:szCs w:val="24"/>
        </w:rPr>
      </w:pPr>
    </w:p>
    <w:p w14:paraId="7E8432A7" w14:textId="77777777" w:rsidR="003E62A5" w:rsidRPr="004A2523" w:rsidRDefault="003E62A5" w:rsidP="004A2523">
      <w:pPr>
        <w:spacing w:line="360" w:lineRule="auto"/>
        <w:jc w:val="both"/>
        <w:rPr>
          <w:rFonts w:asciiTheme="majorBidi" w:hAnsiTheme="majorBidi" w:cstheme="majorBidi"/>
          <w:sz w:val="24"/>
          <w:szCs w:val="24"/>
        </w:rPr>
      </w:pPr>
      <w:r w:rsidRPr="003E62A5">
        <w:rPr>
          <w:rFonts w:asciiTheme="majorBidi" w:hAnsiTheme="majorBidi" w:cstheme="majorBidi"/>
          <w:b/>
          <w:bCs/>
          <w:sz w:val="24"/>
          <w:szCs w:val="24"/>
        </w:rPr>
        <w:t>3.3 Hypothesis Testing</w:t>
      </w:r>
    </w:p>
    <w:p w14:paraId="7C3BFEDE" w14:textId="46CB40DD" w:rsidR="003E62A5" w:rsidRDefault="003E62A5" w:rsidP="004A2523">
      <w:pPr>
        <w:pBdr>
          <w:bottom w:val="single" w:sz="6" w:space="1" w:color="auto"/>
        </w:pBdr>
        <w:spacing w:line="360" w:lineRule="auto"/>
        <w:jc w:val="both"/>
        <w:rPr>
          <w:rFonts w:asciiTheme="majorBidi" w:hAnsiTheme="majorBidi" w:cstheme="majorBidi"/>
          <w:sz w:val="24"/>
          <w:szCs w:val="24"/>
        </w:rPr>
      </w:pPr>
      <w:r w:rsidRPr="00D60EEF">
        <w:rPr>
          <w:rFonts w:asciiTheme="majorBidi" w:hAnsiTheme="majorBidi" w:cstheme="majorBidi"/>
          <w:sz w:val="24"/>
          <w:szCs w:val="24"/>
        </w:rPr>
        <w:t xml:space="preserve">We performed intersection analysis using Python sets to identify common genes. The "Prion Hypothesis" was tested by cross-referencing shared gene lists against a curated panel of prion-associated markers: </w:t>
      </w:r>
      <w:r w:rsidRPr="00D60EEF">
        <w:rPr>
          <w:rFonts w:asciiTheme="majorBidi" w:hAnsiTheme="majorBidi" w:cstheme="majorBidi"/>
          <w:i/>
          <w:iCs/>
          <w:sz w:val="24"/>
          <w:szCs w:val="24"/>
        </w:rPr>
        <w:t>PRNP, SNCA, MAPT, APP, TARDBP,</w:t>
      </w:r>
      <w:r w:rsidRPr="00D60EEF">
        <w:rPr>
          <w:rFonts w:asciiTheme="majorBidi" w:hAnsiTheme="majorBidi" w:cstheme="majorBidi"/>
          <w:sz w:val="24"/>
          <w:szCs w:val="24"/>
        </w:rPr>
        <w:t xml:space="preserve"> and </w:t>
      </w:r>
      <w:r w:rsidRPr="00D60EEF">
        <w:rPr>
          <w:rFonts w:asciiTheme="majorBidi" w:hAnsiTheme="majorBidi" w:cstheme="majorBidi"/>
          <w:i/>
          <w:iCs/>
          <w:sz w:val="24"/>
          <w:szCs w:val="24"/>
        </w:rPr>
        <w:t>FUS</w:t>
      </w:r>
      <w:r w:rsidRPr="00D60EEF">
        <w:rPr>
          <w:rFonts w:asciiTheme="majorBidi" w:hAnsiTheme="majorBidi" w:cstheme="majorBidi"/>
          <w:sz w:val="24"/>
          <w:szCs w:val="24"/>
        </w:rPr>
        <w:t>.</w:t>
      </w:r>
    </w:p>
    <w:p w14:paraId="6B19AF1B" w14:textId="77777777" w:rsidR="00196527" w:rsidRDefault="00196527" w:rsidP="00196527">
      <w:pPr>
        <w:pBdr>
          <w:bottom w:val="single" w:sz="6" w:space="1" w:color="auto"/>
        </w:pBdr>
        <w:spacing w:line="360" w:lineRule="auto"/>
        <w:jc w:val="both"/>
        <w:rPr>
          <w:rFonts w:asciiTheme="majorBidi" w:hAnsiTheme="majorBidi" w:cstheme="majorBidi"/>
          <w:sz w:val="24"/>
          <w:szCs w:val="24"/>
        </w:rPr>
      </w:pPr>
      <w:r w:rsidRPr="00196527">
        <w:rPr>
          <w:rFonts w:asciiTheme="majorBidi" w:hAnsiTheme="majorBidi" w:cstheme="majorBidi"/>
          <w:b/>
          <w:bCs/>
          <w:sz w:val="24"/>
          <w:szCs w:val="24"/>
        </w:rPr>
        <w:t>3.4 Statistical Validation (R Pipeline)</w:t>
      </w:r>
    </w:p>
    <w:p w14:paraId="37F7B036" w14:textId="014FBD31" w:rsidR="00196527" w:rsidRPr="00D60EEF" w:rsidRDefault="00196527" w:rsidP="00196527">
      <w:pPr>
        <w:pBdr>
          <w:bottom w:val="single" w:sz="6" w:space="1" w:color="auto"/>
        </w:pBdr>
        <w:spacing w:line="360" w:lineRule="auto"/>
        <w:jc w:val="both"/>
        <w:rPr>
          <w:rFonts w:asciiTheme="majorBidi" w:hAnsiTheme="majorBidi" w:cstheme="majorBidi"/>
          <w:sz w:val="24"/>
          <w:szCs w:val="24"/>
        </w:rPr>
      </w:pPr>
      <w:r w:rsidRPr="00196527">
        <w:rPr>
          <w:rFonts w:asciiTheme="majorBidi" w:hAnsiTheme="majorBidi" w:cstheme="majorBidi"/>
          <w:sz w:val="24"/>
          <w:szCs w:val="24"/>
        </w:rPr>
        <w:t xml:space="preserve">To validate the Python-derived candidates, we implemented an industry-standard RNA-Seq pipeline using R (v4.x). Count data was normalized using the </w:t>
      </w:r>
      <w:r w:rsidRPr="00196527">
        <w:rPr>
          <w:rFonts w:asciiTheme="majorBidi" w:hAnsiTheme="majorBidi" w:cstheme="majorBidi"/>
          <w:b/>
          <w:bCs/>
          <w:sz w:val="24"/>
          <w:szCs w:val="24"/>
        </w:rPr>
        <w:t>Voom method</w:t>
      </w:r>
      <w:r w:rsidRPr="00196527">
        <w:rPr>
          <w:rFonts w:asciiTheme="majorBidi" w:hAnsiTheme="majorBidi" w:cstheme="majorBidi"/>
          <w:sz w:val="24"/>
          <w:szCs w:val="24"/>
        </w:rPr>
        <w:t xml:space="preserve"> (Variance Modeling at the Observational Level) to correct for mean-variance trends. Differential expression was assessed using </w:t>
      </w:r>
      <w:proofErr w:type="spellStart"/>
      <w:r w:rsidRPr="00196527">
        <w:rPr>
          <w:rFonts w:asciiTheme="majorBidi" w:hAnsiTheme="majorBidi" w:cstheme="majorBidi"/>
          <w:b/>
          <w:bCs/>
          <w:sz w:val="24"/>
          <w:szCs w:val="24"/>
        </w:rPr>
        <w:t>limma</w:t>
      </w:r>
      <w:proofErr w:type="spellEnd"/>
      <w:r w:rsidRPr="00196527">
        <w:rPr>
          <w:rFonts w:asciiTheme="majorBidi" w:hAnsiTheme="majorBidi" w:cstheme="majorBidi"/>
          <w:sz w:val="24"/>
          <w:szCs w:val="24"/>
        </w:rPr>
        <w:t xml:space="preserve"> and </w:t>
      </w:r>
      <w:proofErr w:type="spellStart"/>
      <w:r w:rsidRPr="00196527">
        <w:rPr>
          <w:rFonts w:asciiTheme="majorBidi" w:hAnsiTheme="majorBidi" w:cstheme="majorBidi"/>
          <w:b/>
          <w:bCs/>
          <w:sz w:val="24"/>
          <w:szCs w:val="24"/>
        </w:rPr>
        <w:t>edgeR</w:t>
      </w:r>
      <w:proofErr w:type="spellEnd"/>
      <w:r w:rsidRPr="00196527">
        <w:rPr>
          <w:rFonts w:asciiTheme="majorBidi" w:hAnsiTheme="majorBidi" w:cstheme="majorBidi"/>
          <w:sz w:val="24"/>
          <w:szCs w:val="24"/>
        </w:rPr>
        <w:t>, applying Empirical Bayes statistics to identify shared signatures with high stringency (Adjusted P-value &lt; 0.05).</w:t>
      </w:r>
    </w:p>
    <w:p w14:paraId="268985A2" w14:textId="7B3F3A5F" w:rsidR="00766C96" w:rsidRPr="004A2523" w:rsidRDefault="00766C96" w:rsidP="004A2523">
      <w:pPr>
        <w:spacing w:line="360" w:lineRule="auto"/>
        <w:jc w:val="both"/>
        <w:rPr>
          <w:rFonts w:asciiTheme="majorBidi" w:hAnsiTheme="majorBidi" w:cstheme="majorBidi"/>
          <w:sz w:val="28"/>
          <w:szCs w:val="28"/>
        </w:rPr>
      </w:pPr>
      <w:r w:rsidRPr="004A2523">
        <w:rPr>
          <w:rFonts w:asciiTheme="majorBidi" w:hAnsiTheme="majorBidi" w:cstheme="majorBidi"/>
          <w:b/>
          <w:bCs/>
          <w:sz w:val="28"/>
          <w:szCs w:val="28"/>
        </w:rPr>
        <w:t>4. Results</w:t>
      </w:r>
    </w:p>
    <w:p w14:paraId="7208EF3C" w14:textId="30BBF87F" w:rsidR="00766C96" w:rsidRPr="004A2523" w:rsidRDefault="00766C96" w:rsidP="004A2523">
      <w:pPr>
        <w:spacing w:line="360" w:lineRule="auto"/>
        <w:jc w:val="both"/>
        <w:rPr>
          <w:rFonts w:asciiTheme="majorBidi" w:hAnsiTheme="majorBidi" w:cstheme="majorBidi"/>
          <w:b/>
          <w:bCs/>
          <w:sz w:val="24"/>
          <w:szCs w:val="24"/>
        </w:rPr>
      </w:pPr>
      <w:r w:rsidRPr="004A2523">
        <w:rPr>
          <w:rFonts w:asciiTheme="majorBidi" w:hAnsiTheme="majorBidi" w:cstheme="majorBidi"/>
          <w:b/>
          <w:bCs/>
          <w:sz w:val="24"/>
          <w:szCs w:val="24"/>
        </w:rPr>
        <w:t>4.1 Data Quality Control</w:t>
      </w:r>
      <w:r w:rsidR="004A647F" w:rsidRPr="004A2523">
        <w:rPr>
          <w:rFonts w:asciiTheme="majorBidi" w:hAnsiTheme="majorBidi" w:cstheme="majorBidi"/>
          <w:b/>
          <w:bCs/>
          <w:sz w:val="24"/>
          <w:szCs w:val="24"/>
        </w:rPr>
        <w:t xml:space="preserve"> (PCA)</w:t>
      </w:r>
    </w:p>
    <w:p w14:paraId="3263FF0B" w14:textId="77777777" w:rsidR="004A647F" w:rsidRPr="00D60EEF" w:rsidRDefault="004A647F" w:rsidP="004A2523">
      <w:pPr>
        <w:spacing w:line="360" w:lineRule="auto"/>
        <w:jc w:val="both"/>
        <w:rPr>
          <w:rFonts w:asciiTheme="majorBidi" w:hAnsiTheme="majorBidi" w:cstheme="majorBidi"/>
          <w:sz w:val="24"/>
          <w:szCs w:val="24"/>
        </w:rPr>
      </w:pPr>
      <w:r w:rsidRPr="00D60EEF">
        <w:rPr>
          <w:rFonts w:asciiTheme="majorBidi" w:hAnsiTheme="majorBidi" w:cstheme="majorBidi"/>
          <w:sz w:val="24"/>
          <w:szCs w:val="24"/>
        </w:rPr>
        <w:t xml:space="preserve">Principal Component Analysis (PCA) demonstrated clear separation between </w:t>
      </w:r>
      <w:r w:rsidRPr="00D60EEF">
        <w:rPr>
          <w:rFonts w:asciiTheme="majorBidi" w:hAnsiTheme="majorBidi" w:cstheme="majorBidi"/>
          <w:b/>
          <w:bCs/>
          <w:sz w:val="24"/>
          <w:szCs w:val="24"/>
        </w:rPr>
        <w:t>Control</w:t>
      </w:r>
      <w:r w:rsidRPr="00D60EEF">
        <w:rPr>
          <w:rFonts w:asciiTheme="majorBidi" w:hAnsiTheme="majorBidi" w:cstheme="majorBidi"/>
          <w:sz w:val="24"/>
          <w:szCs w:val="24"/>
        </w:rPr>
        <w:t xml:space="preserve"> (Blue) and </w:t>
      </w:r>
      <w:r w:rsidRPr="00D60EEF">
        <w:rPr>
          <w:rFonts w:asciiTheme="majorBidi" w:hAnsiTheme="majorBidi" w:cstheme="majorBidi"/>
          <w:b/>
          <w:bCs/>
          <w:sz w:val="24"/>
          <w:szCs w:val="24"/>
        </w:rPr>
        <w:t>Disease</w:t>
      </w:r>
      <w:r w:rsidRPr="00D60EEF">
        <w:rPr>
          <w:rFonts w:asciiTheme="majorBidi" w:hAnsiTheme="majorBidi" w:cstheme="majorBidi"/>
          <w:sz w:val="24"/>
          <w:szCs w:val="24"/>
        </w:rPr>
        <w:t xml:space="preserve"> (Red) samples for each condition, indicating distinct transcriptomic profiles and high data quality.</w:t>
      </w:r>
    </w:p>
    <w:p w14:paraId="47C148EE" w14:textId="4FDB7D55" w:rsidR="00766C96" w:rsidRPr="00D60EEF" w:rsidRDefault="003E62A5" w:rsidP="004A2523">
      <w:pPr>
        <w:pStyle w:val="ListParagraph"/>
        <w:numPr>
          <w:ilvl w:val="0"/>
          <w:numId w:val="1"/>
        </w:numPr>
        <w:spacing w:line="360" w:lineRule="auto"/>
        <w:jc w:val="both"/>
        <w:rPr>
          <w:rFonts w:asciiTheme="majorBidi" w:hAnsiTheme="majorBidi" w:cstheme="majorBidi"/>
          <w:b/>
          <w:bCs/>
          <w:sz w:val="28"/>
          <w:szCs w:val="28"/>
        </w:rPr>
      </w:pPr>
      <w:r w:rsidRPr="004A2523">
        <w:rPr>
          <w:rFonts w:asciiTheme="majorBidi" w:hAnsiTheme="majorBidi" w:cstheme="majorBidi"/>
          <w:b/>
          <w:bCs/>
          <w:i/>
          <w:iCs/>
          <w:sz w:val="20"/>
          <w:szCs w:val="20"/>
        </w:rPr>
        <w:lastRenderedPageBreak/>
        <w:t>Figure 1A:</w:t>
      </w:r>
      <w:r w:rsidRPr="004A2523">
        <w:rPr>
          <w:rFonts w:asciiTheme="majorBidi" w:hAnsiTheme="majorBidi" w:cstheme="majorBidi"/>
          <w:i/>
          <w:iCs/>
          <w:sz w:val="20"/>
          <w:szCs w:val="20"/>
        </w:rPr>
        <w:t xml:space="preserve"> PCA of COVID-19 Dataset</w:t>
      </w:r>
      <w:r w:rsidRPr="004A2523">
        <w:rPr>
          <w:rFonts w:asciiTheme="majorBidi" w:hAnsiTheme="majorBidi" w:cstheme="majorBidi"/>
          <w:i/>
          <w:iCs/>
          <w:sz w:val="24"/>
          <w:szCs w:val="24"/>
        </w:rPr>
        <w:t>.</w:t>
      </w:r>
      <w:r w:rsidR="00011765" w:rsidRPr="00D60EEF">
        <w:rPr>
          <w:rFonts w:asciiTheme="majorBidi" w:hAnsiTheme="majorBidi" w:cstheme="majorBidi"/>
          <w:noProof/>
        </w:rPr>
        <w:drawing>
          <wp:inline distT="0" distB="0" distL="0" distR="0" wp14:anchorId="70BD0C5D" wp14:editId="0B5AF44D">
            <wp:extent cx="4373880" cy="3280410"/>
            <wp:effectExtent l="0" t="0" r="7620" b="0"/>
            <wp:docPr id="422246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3280410"/>
                    </a:xfrm>
                    <a:prstGeom prst="rect">
                      <a:avLst/>
                    </a:prstGeom>
                    <a:noFill/>
                    <a:ln>
                      <a:noFill/>
                    </a:ln>
                  </pic:spPr>
                </pic:pic>
              </a:graphicData>
            </a:graphic>
          </wp:inline>
        </w:drawing>
      </w:r>
    </w:p>
    <w:p w14:paraId="0808471E" w14:textId="25EFBCEB" w:rsidR="00011765" w:rsidRPr="00D60EEF" w:rsidRDefault="003E62A5" w:rsidP="00EF2DCD">
      <w:pPr>
        <w:pStyle w:val="ListParagraph"/>
        <w:numPr>
          <w:ilvl w:val="0"/>
          <w:numId w:val="1"/>
        </w:numPr>
        <w:spacing w:line="360" w:lineRule="auto"/>
        <w:rPr>
          <w:rFonts w:asciiTheme="majorBidi" w:hAnsiTheme="majorBidi" w:cstheme="majorBidi"/>
          <w:b/>
          <w:bCs/>
          <w:sz w:val="28"/>
          <w:szCs w:val="28"/>
        </w:rPr>
      </w:pPr>
      <w:r w:rsidRPr="004A2523">
        <w:rPr>
          <w:rFonts w:asciiTheme="majorBidi" w:hAnsiTheme="majorBidi" w:cstheme="majorBidi"/>
          <w:b/>
          <w:bCs/>
          <w:i/>
          <w:iCs/>
          <w:sz w:val="20"/>
          <w:szCs w:val="20"/>
        </w:rPr>
        <w:t>Figure 1B:</w:t>
      </w:r>
      <w:r w:rsidRPr="004A2523">
        <w:rPr>
          <w:rFonts w:asciiTheme="majorBidi" w:hAnsiTheme="majorBidi" w:cstheme="majorBidi"/>
          <w:i/>
          <w:iCs/>
          <w:sz w:val="20"/>
          <w:szCs w:val="20"/>
        </w:rPr>
        <w:t xml:space="preserve"> PCA of Alzheimer's Dataset</w:t>
      </w:r>
      <w:r w:rsidRPr="00D60EEF">
        <w:rPr>
          <w:rFonts w:asciiTheme="majorBidi" w:hAnsiTheme="majorBidi" w:cstheme="majorBidi"/>
          <w:sz w:val="24"/>
          <w:szCs w:val="24"/>
        </w:rPr>
        <w:t>.</w:t>
      </w:r>
      <w:r w:rsidR="00011765" w:rsidRPr="00D60EEF">
        <w:rPr>
          <w:rFonts w:asciiTheme="majorBidi" w:hAnsiTheme="majorBidi" w:cstheme="majorBidi"/>
          <w:noProof/>
        </w:rPr>
        <w:drawing>
          <wp:inline distT="0" distB="0" distL="0" distR="0" wp14:anchorId="166DBE15" wp14:editId="6472CCC8">
            <wp:extent cx="4465320" cy="3348990"/>
            <wp:effectExtent l="0" t="0" r="0" b="3810"/>
            <wp:docPr id="1271555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5320" cy="3348990"/>
                    </a:xfrm>
                    <a:prstGeom prst="rect">
                      <a:avLst/>
                    </a:prstGeom>
                    <a:noFill/>
                    <a:ln>
                      <a:noFill/>
                    </a:ln>
                  </pic:spPr>
                </pic:pic>
              </a:graphicData>
            </a:graphic>
          </wp:inline>
        </w:drawing>
      </w:r>
    </w:p>
    <w:p w14:paraId="427D403A" w14:textId="615A2B96" w:rsidR="00974DA1" w:rsidRPr="00D60EEF" w:rsidRDefault="00974DA1" w:rsidP="00EF2DCD">
      <w:pPr>
        <w:pStyle w:val="ListParagraph"/>
        <w:numPr>
          <w:ilvl w:val="0"/>
          <w:numId w:val="1"/>
        </w:numPr>
        <w:spacing w:line="360" w:lineRule="auto"/>
        <w:rPr>
          <w:rFonts w:asciiTheme="majorBidi" w:hAnsiTheme="majorBidi" w:cstheme="majorBidi"/>
          <w:b/>
          <w:bCs/>
          <w:sz w:val="28"/>
          <w:szCs w:val="28"/>
        </w:rPr>
      </w:pPr>
      <w:r w:rsidRPr="004A2523">
        <w:rPr>
          <w:rFonts w:asciiTheme="majorBidi" w:hAnsiTheme="majorBidi" w:cstheme="majorBidi"/>
          <w:b/>
          <w:bCs/>
          <w:i/>
          <w:iCs/>
          <w:sz w:val="20"/>
          <w:szCs w:val="20"/>
        </w:rPr>
        <w:lastRenderedPageBreak/>
        <w:t xml:space="preserve">Figure 1C: </w:t>
      </w:r>
      <w:r w:rsidRPr="004A2523">
        <w:rPr>
          <w:rFonts w:asciiTheme="majorBidi" w:hAnsiTheme="majorBidi" w:cstheme="majorBidi"/>
          <w:i/>
          <w:iCs/>
          <w:sz w:val="20"/>
          <w:szCs w:val="20"/>
        </w:rPr>
        <w:t>PCA Plot for Parkinson's Disease</w:t>
      </w:r>
      <w:r w:rsidRPr="00D60EEF">
        <w:rPr>
          <w:rFonts w:asciiTheme="majorBidi" w:hAnsiTheme="majorBidi" w:cstheme="majorBidi"/>
          <w:sz w:val="24"/>
          <w:szCs w:val="24"/>
        </w:rPr>
        <w:t>.</w:t>
      </w:r>
      <w:r w:rsidRPr="00D60EEF">
        <w:rPr>
          <w:rFonts w:asciiTheme="majorBidi" w:hAnsiTheme="majorBidi" w:cstheme="majorBidi"/>
          <w:b/>
          <w:bCs/>
          <w:sz w:val="28"/>
          <w:szCs w:val="28"/>
        </w:rPr>
        <w:t xml:space="preserve"> </w:t>
      </w:r>
      <w:r w:rsidRPr="00D60EEF">
        <w:rPr>
          <w:rFonts w:asciiTheme="majorBidi" w:hAnsiTheme="majorBidi" w:cstheme="majorBidi"/>
          <w:noProof/>
        </w:rPr>
        <w:drawing>
          <wp:inline distT="0" distB="0" distL="0" distR="0" wp14:anchorId="1D0373F3" wp14:editId="18585A0F">
            <wp:extent cx="4587240" cy="3440430"/>
            <wp:effectExtent l="0" t="0" r="3810" b="7620"/>
            <wp:docPr id="1560222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7240" cy="3440430"/>
                    </a:xfrm>
                    <a:prstGeom prst="rect">
                      <a:avLst/>
                    </a:prstGeom>
                    <a:noFill/>
                    <a:ln>
                      <a:noFill/>
                    </a:ln>
                  </pic:spPr>
                </pic:pic>
              </a:graphicData>
            </a:graphic>
          </wp:inline>
        </w:drawing>
      </w:r>
    </w:p>
    <w:p w14:paraId="3EE2C1E0" w14:textId="1C347EA0" w:rsidR="00766C96" w:rsidRPr="004A2523" w:rsidRDefault="00766C96" w:rsidP="004A2523">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4A2523">
        <w:rPr>
          <w:rFonts w:asciiTheme="majorBidi" w:eastAsia="Times New Roman" w:hAnsiTheme="majorBidi" w:cstheme="majorBidi"/>
          <w:b/>
          <w:bCs/>
          <w:kern w:val="0"/>
          <w:sz w:val="24"/>
          <w:szCs w:val="24"/>
          <w14:ligatures w14:val="none"/>
        </w:rPr>
        <w:t>4.2 Differential Expression Analysis</w:t>
      </w:r>
    </w:p>
    <w:p w14:paraId="07CA4D75" w14:textId="2B70FD2B" w:rsidR="004A647F" w:rsidRPr="00D60EEF" w:rsidRDefault="004A647F" w:rsidP="004A2523">
      <w:pP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kern w:val="0"/>
          <w:sz w:val="24"/>
          <w:szCs w:val="24"/>
          <w14:ligatures w14:val="none"/>
        </w:rPr>
        <w:t xml:space="preserve">Differentially expressed genes (DEGs) were identified using a statistical significance threshold of </w:t>
      </w:r>
      <w:r w:rsidRPr="00D60EEF">
        <w:rPr>
          <w:rFonts w:asciiTheme="majorBidi" w:eastAsia="Times New Roman" w:hAnsiTheme="majorBidi" w:cstheme="majorBidi"/>
          <w:i/>
          <w:iCs/>
          <w:kern w:val="0"/>
          <w:sz w:val="24"/>
          <w:szCs w:val="24"/>
          <w14:ligatures w14:val="none"/>
        </w:rPr>
        <w:t>P</w:t>
      </w:r>
      <w:r w:rsidRPr="00D60EEF">
        <w:rPr>
          <w:rFonts w:asciiTheme="majorBidi" w:eastAsia="Times New Roman" w:hAnsiTheme="majorBidi" w:cstheme="majorBidi"/>
          <w:kern w:val="0"/>
          <w:sz w:val="24"/>
          <w:szCs w:val="24"/>
          <w14:ligatures w14:val="none"/>
        </w:rPr>
        <w:t xml:space="preserve"> &lt; 0.05 and an absolute log₂ fold change </w:t>
      </w:r>
      <w:r w:rsidRPr="00D60EEF">
        <w:rPr>
          <w:rFonts w:asciiTheme="majorBidi" w:eastAsia="Times New Roman" w:hAnsiTheme="majorBidi" w:cstheme="majorBidi"/>
          <w:i/>
          <w:iCs/>
          <w:kern w:val="0"/>
          <w:sz w:val="24"/>
          <w:szCs w:val="24"/>
          <w14:ligatures w14:val="none"/>
        </w:rPr>
        <w:t>|</w:t>
      </w:r>
      <w:proofErr w:type="spellStart"/>
      <w:r w:rsidRPr="00D60EEF">
        <w:rPr>
          <w:rFonts w:asciiTheme="majorBidi" w:eastAsia="Times New Roman" w:hAnsiTheme="majorBidi" w:cstheme="majorBidi"/>
          <w:i/>
          <w:iCs/>
          <w:kern w:val="0"/>
          <w:sz w:val="24"/>
          <w:szCs w:val="24"/>
          <w14:ligatures w14:val="none"/>
        </w:rPr>
        <w:t>Log₂FC</w:t>
      </w:r>
      <w:proofErr w:type="spellEnd"/>
      <w:r w:rsidRPr="00D60EEF">
        <w:rPr>
          <w:rFonts w:asciiTheme="majorBidi" w:eastAsia="Times New Roman" w:hAnsiTheme="majorBidi" w:cstheme="majorBidi"/>
          <w:i/>
          <w:iCs/>
          <w:kern w:val="0"/>
          <w:sz w:val="24"/>
          <w:szCs w:val="24"/>
          <w14:ligatures w14:val="none"/>
        </w:rPr>
        <w:t>|</w:t>
      </w:r>
      <w:r w:rsidRPr="00D60EEF">
        <w:rPr>
          <w:rFonts w:asciiTheme="majorBidi" w:eastAsia="Times New Roman" w:hAnsiTheme="majorBidi" w:cstheme="majorBidi"/>
          <w:kern w:val="0"/>
          <w:sz w:val="24"/>
          <w:szCs w:val="24"/>
          <w14:ligatures w14:val="none"/>
        </w:rPr>
        <w:t xml:space="preserve"> &gt; 0.5. Volcano plots were generated to visualize gene expression changes, with significantly altered genes highlighted in red.</w:t>
      </w:r>
    </w:p>
    <w:p w14:paraId="3A807013" w14:textId="2D509754" w:rsidR="00974DA1" w:rsidRPr="00D60EEF" w:rsidRDefault="00011765"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lastRenderedPageBreak/>
        <w:t>Figure 2</w:t>
      </w:r>
      <w:r w:rsidR="00974DA1" w:rsidRPr="004A2523">
        <w:rPr>
          <w:rFonts w:asciiTheme="majorBidi" w:eastAsia="Times New Roman" w:hAnsiTheme="majorBidi" w:cstheme="majorBidi"/>
          <w:b/>
          <w:bCs/>
          <w:i/>
          <w:iCs/>
          <w:kern w:val="0"/>
          <w:sz w:val="20"/>
          <w:szCs w:val="20"/>
          <w14:ligatures w14:val="none"/>
        </w:rPr>
        <w:t>A</w:t>
      </w:r>
      <w:r w:rsidRPr="004A2523">
        <w:rPr>
          <w:rFonts w:asciiTheme="majorBidi" w:eastAsia="Times New Roman" w:hAnsiTheme="majorBidi" w:cstheme="majorBidi"/>
          <w:b/>
          <w:bCs/>
          <w:i/>
          <w:iCs/>
          <w:kern w:val="0"/>
          <w:sz w:val="20"/>
          <w:szCs w:val="20"/>
          <w14:ligatures w14:val="none"/>
        </w:rPr>
        <w:t>:</w:t>
      </w:r>
      <w:r w:rsidRPr="004A2523">
        <w:rPr>
          <w:rFonts w:asciiTheme="majorBidi" w:eastAsia="Times New Roman" w:hAnsiTheme="majorBidi" w:cstheme="majorBidi"/>
          <w:i/>
          <w:iCs/>
          <w:kern w:val="0"/>
          <w:sz w:val="20"/>
          <w:szCs w:val="20"/>
          <w14:ligatures w14:val="none"/>
        </w:rPr>
        <w:t xml:space="preserve"> Volcano Plots for COVID-19 and Neurodegenerative Datasets</w:t>
      </w:r>
      <w:r w:rsidRPr="00D60EEF">
        <w:rPr>
          <w:rFonts w:asciiTheme="majorBidi" w:eastAsia="Times New Roman" w:hAnsiTheme="majorBidi" w:cstheme="majorBidi"/>
          <w:kern w:val="0"/>
          <w:sz w:val="24"/>
          <w:szCs w:val="24"/>
          <w14:ligatures w14:val="none"/>
        </w:rPr>
        <w:t>.</w:t>
      </w:r>
      <w:r w:rsidRPr="00D60EEF">
        <w:rPr>
          <w:rFonts w:asciiTheme="majorBidi" w:hAnsiTheme="majorBidi" w:cstheme="majorBidi"/>
          <w:noProof/>
        </w:rPr>
        <w:drawing>
          <wp:inline distT="0" distB="0" distL="0" distR="0" wp14:anchorId="3E4A8E03" wp14:editId="61546BDF">
            <wp:extent cx="4257504" cy="3646170"/>
            <wp:effectExtent l="0" t="0" r="0" b="0"/>
            <wp:docPr id="1131620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4470" cy="3677828"/>
                    </a:xfrm>
                    <a:prstGeom prst="rect">
                      <a:avLst/>
                    </a:prstGeom>
                    <a:noFill/>
                    <a:ln>
                      <a:noFill/>
                    </a:ln>
                  </pic:spPr>
                </pic:pic>
              </a:graphicData>
            </a:graphic>
          </wp:inline>
        </w:drawing>
      </w:r>
    </w:p>
    <w:p w14:paraId="1D586D90" w14:textId="77777777" w:rsidR="00974DA1" w:rsidRPr="00D60EEF" w:rsidRDefault="00974DA1"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t>Figure 2B:</w:t>
      </w:r>
      <w:r w:rsidRPr="004A2523">
        <w:rPr>
          <w:rFonts w:asciiTheme="majorBidi" w:eastAsia="Times New Roman" w:hAnsiTheme="majorBidi" w:cstheme="majorBidi"/>
          <w:i/>
          <w:iCs/>
          <w:kern w:val="0"/>
          <w:sz w:val="20"/>
          <w:szCs w:val="20"/>
          <w14:ligatures w14:val="none"/>
        </w:rPr>
        <w:t xml:space="preserve"> Volcano Plot for Alzheimer's Disease.</w:t>
      </w:r>
      <w:r w:rsidRPr="00D60EEF">
        <w:rPr>
          <w:rFonts w:asciiTheme="majorBidi" w:eastAsia="Times New Roman" w:hAnsiTheme="majorBidi" w:cstheme="majorBidi"/>
          <w:noProof/>
          <w:kern w:val="0"/>
          <w:sz w:val="28"/>
          <w:szCs w:val="28"/>
          <w14:ligatures w14:val="none"/>
        </w:rPr>
        <w:drawing>
          <wp:inline distT="0" distB="0" distL="0" distR="0" wp14:anchorId="7B24BC97" wp14:editId="7E9CE380">
            <wp:extent cx="4236720" cy="3628370"/>
            <wp:effectExtent l="0" t="0" r="0" b="0"/>
            <wp:docPr id="883795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5981" cy="3636301"/>
                    </a:xfrm>
                    <a:prstGeom prst="rect">
                      <a:avLst/>
                    </a:prstGeom>
                    <a:noFill/>
                    <a:ln>
                      <a:noFill/>
                    </a:ln>
                  </pic:spPr>
                </pic:pic>
              </a:graphicData>
            </a:graphic>
          </wp:inline>
        </w:drawing>
      </w:r>
    </w:p>
    <w:p w14:paraId="25F7432A" w14:textId="2C92F89D" w:rsidR="00974DA1" w:rsidRPr="00D60EEF" w:rsidRDefault="00974DA1"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lastRenderedPageBreak/>
        <w:t>Figure 2C:</w:t>
      </w:r>
      <w:r w:rsidRPr="004A2523">
        <w:rPr>
          <w:rFonts w:asciiTheme="majorBidi" w:eastAsia="Times New Roman" w:hAnsiTheme="majorBidi" w:cstheme="majorBidi"/>
          <w:i/>
          <w:iCs/>
          <w:kern w:val="0"/>
          <w:sz w:val="20"/>
          <w:szCs w:val="20"/>
          <w14:ligatures w14:val="none"/>
        </w:rPr>
        <w:t xml:space="preserve"> Volcano Plot for Parkinson's Disease.</w:t>
      </w:r>
      <w:r w:rsidRPr="00D60EEF">
        <w:rPr>
          <w:rFonts w:asciiTheme="majorBidi" w:eastAsia="Times New Roman" w:hAnsiTheme="majorBidi" w:cstheme="majorBidi"/>
          <w:kern w:val="0"/>
          <w:sz w:val="28"/>
          <w:szCs w:val="28"/>
          <w14:ligatures w14:val="none"/>
        </w:rPr>
        <w:t xml:space="preserve"> </w:t>
      </w:r>
      <w:r w:rsidRPr="00D60EEF">
        <w:rPr>
          <w:rFonts w:asciiTheme="majorBidi" w:hAnsiTheme="majorBidi" w:cstheme="majorBidi"/>
          <w:noProof/>
        </w:rPr>
        <w:drawing>
          <wp:inline distT="0" distB="0" distL="0" distR="0" wp14:anchorId="2B12F925" wp14:editId="1A99A824">
            <wp:extent cx="4237355" cy="3627120"/>
            <wp:effectExtent l="0" t="0" r="0" b="0"/>
            <wp:docPr id="749612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7355" cy="3627120"/>
                    </a:xfrm>
                    <a:prstGeom prst="rect">
                      <a:avLst/>
                    </a:prstGeom>
                    <a:noFill/>
                  </pic:spPr>
                </pic:pic>
              </a:graphicData>
            </a:graphic>
          </wp:inline>
        </w:drawing>
      </w:r>
    </w:p>
    <w:p w14:paraId="43F836F8" w14:textId="2824FFA8" w:rsidR="00974DA1" w:rsidRPr="004A2523" w:rsidRDefault="00974DA1" w:rsidP="004A2523">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4A2523">
        <w:rPr>
          <w:rFonts w:asciiTheme="majorBidi" w:eastAsia="Times New Roman" w:hAnsiTheme="majorBidi" w:cstheme="majorBidi"/>
          <w:b/>
          <w:bCs/>
          <w:kern w:val="0"/>
          <w:sz w:val="24"/>
          <w:szCs w:val="24"/>
          <w14:ligatures w14:val="none"/>
        </w:rPr>
        <w:t>4.3 Hierarchical Clustering (Heatmaps)</w:t>
      </w:r>
    </w:p>
    <w:p w14:paraId="46BD77BD" w14:textId="77777777" w:rsidR="004A647F" w:rsidRPr="00D60EEF" w:rsidRDefault="004A647F" w:rsidP="004A2523">
      <w:pP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kern w:val="0"/>
          <w:sz w:val="24"/>
          <w:szCs w:val="24"/>
          <w14:ligatures w14:val="none"/>
        </w:rPr>
        <w:t>To visualize the expression patterns of the most variable genes, we generated heatmaps for the top 50 DEGs. These plots confirm that both neurodegenerative conditions show distinct "disease signatures" compared to healthy controls.</w:t>
      </w:r>
    </w:p>
    <w:p w14:paraId="3B6E5461" w14:textId="14D4E763" w:rsidR="00974DA1" w:rsidRPr="00D60EEF" w:rsidRDefault="00974DA1"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lastRenderedPageBreak/>
        <w:t>Figure 3</w:t>
      </w:r>
      <w:r w:rsidR="003E62A5" w:rsidRPr="004A2523">
        <w:rPr>
          <w:rFonts w:asciiTheme="majorBidi" w:eastAsia="Times New Roman" w:hAnsiTheme="majorBidi" w:cstheme="majorBidi"/>
          <w:b/>
          <w:bCs/>
          <w:i/>
          <w:iCs/>
          <w:kern w:val="0"/>
          <w:sz w:val="20"/>
          <w:szCs w:val="20"/>
          <w14:ligatures w14:val="none"/>
        </w:rPr>
        <w:t>A</w:t>
      </w:r>
      <w:r w:rsidRPr="004A2523">
        <w:rPr>
          <w:rFonts w:asciiTheme="majorBidi" w:eastAsia="Times New Roman" w:hAnsiTheme="majorBidi" w:cstheme="majorBidi"/>
          <w:b/>
          <w:bCs/>
          <w:i/>
          <w:iCs/>
          <w:kern w:val="0"/>
          <w:sz w:val="20"/>
          <w:szCs w:val="20"/>
          <w14:ligatures w14:val="none"/>
        </w:rPr>
        <w:t>:</w:t>
      </w:r>
      <w:r w:rsidRPr="004A2523">
        <w:rPr>
          <w:rFonts w:asciiTheme="majorBidi" w:eastAsia="Times New Roman" w:hAnsiTheme="majorBidi" w:cstheme="majorBidi"/>
          <w:i/>
          <w:iCs/>
          <w:kern w:val="0"/>
          <w:sz w:val="20"/>
          <w:szCs w:val="20"/>
          <w14:ligatures w14:val="none"/>
        </w:rPr>
        <w:t xml:space="preserve"> Heatmap of Top 50 Variable Genes in Alzheimer's Disease</w:t>
      </w:r>
      <w:r w:rsidRPr="00D60EEF">
        <w:rPr>
          <w:rFonts w:asciiTheme="majorBidi" w:eastAsia="Times New Roman" w:hAnsiTheme="majorBidi" w:cstheme="majorBidi"/>
          <w:kern w:val="0"/>
          <w:sz w:val="24"/>
          <w:szCs w:val="24"/>
          <w14:ligatures w14:val="none"/>
        </w:rPr>
        <w:t>.</w:t>
      </w:r>
      <w:r w:rsidRPr="00D60EEF">
        <w:rPr>
          <w:rFonts w:asciiTheme="majorBidi" w:eastAsia="Times New Roman" w:hAnsiTheme="majorBidi" w:cstheme="majorBidi"/>
          <w:kern w:val="0"/>
          <w:sz w:val="28"/>
          <w:szCs w:val="28"/>
          <w14:ligatures w14:val="none"/>
        </w:rPr>
        <w:t xml:space="preserve"> </w:t>
      </w:r>
      <w:r w:rsidRPr="00D60EEF">
        <w:rPr>
          <w:rFonts w:asciiTheme="majorBidi" w:eastAsia="Times New Roman" w:hAnsiTheme="majorBidi" w:cstheme="majorBidi"/>
          <w:noProof/>
          <w:kern w:val="0"/>
          <w:sz w:val="28"/>
          <w:szCs w:val="28"/>
          <w14:ligatures w14:val="none"/>
        </w:rPr>
        <w:drawing>
          <wp:inline distT="0" distB="0" distL="0" distR="0" wp14:anchorId="4CA06F8E" wp14:editId="1BF6251C">
            <wp:extent cx="4191000" cy="5233378"/>
            <wp:effectExtent l="0" t="0" r="0" b="5715"/>
            <wp:docPr id="1097657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8886" cy="5268200"/>
                    </a:xfrm>
                    <a:prstGeom prst="rect">
                      <a:avLst/>
                    </a:prstGeom>
                    <a:noFill/>
                    <a:ln>
                      <a:noFill/>
                    </a:ln>
                  </pic:spPr>
                </pic:pic>
              </a:graphicData>
            </a:graphic>
          </wp:inline>
        </w:drawing>
      </w:r>
    </w:p>
    <w:p w14:paraId="53DEE150" w14:textId="1EBCDCC7" w:rsidR="003E62A5" w:rsidRPr="00D60EEF" w:rsidRDefault="003E62A5"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lastRenderedPageBreak/>
        <w:t>Figure 3B:</w:t>
      </w:r>
      <w:r w:rsidRPr="004A2523">
        <w:rPr>
          <w:rFonts w:asciiTheme="majorBidi" w:eastAsia="Times New Roman" w:hAnsiTheme="majorBidi" w:cstheme="majorBidi"/>
          <w:i/>
          <w:iCs/>
          <w:kern w:val="0"/>
          <w:sz w:val="20"/>
          <w:szCs w:val="20"/>
          <w14:ligatures w14:val="none"/>
        </w:rPr>
        <w:t xml:space="preserve"> Heatmap of Top 50 Genes in COVID-19.</w:t>
      </w:r>
      <w:r w:rsidRPr="00D60EEF">
        <w:rPr>
          <w:rFonts w:asciiTheme="majorBidi" w:eastAsia="Times New Roman" w:hAnsiTheme="majorBidi" w:cstheme="majorBidi"/>
          <w:kern w:val="0"/>
          <w:sz w:val="28"/>
          <w:szCs w:val="28"/>
          <w14:ligatures w14:val="none"/>
        </w:rPr>
        <w:t xml:space="preserve"> </w:t>
      </w:r>
      <w:r w:rsidRPr="00D60EEF">
        <w:rPr>
          <w:rFonts w:asciiTheme="majorBidi" w:eastAsia="Times New Roman" w:hAnsiTheme="majorBidi" w:cstheme="majorBidi"/>
          <w:noProof/>
          <w:kern w:val="0"/>
          <w:sz w:val="28"/>
          <w:szCs w:val="28"/>
          <w14:ligatures w14:val="none"/>
        </w:rPr>
        <w:drawing>
          <wp:inline distT="0" distB="0" distL="0" distR="0" wp14:anchorId="2EC3BA63" wp14:editId="5A47F83D">
            <wp:extent cx="3779520" cy="4719554"/>
            <wp:effectExtent l="0" t="0" r="0" b="5080"/>
            <wp:docPr id="19797284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7294" cy="4729261"/>
                    </a:xfrm>
                    <a:prstGeom prst="rect">
                      <a:avLst/>
                    </a:prstGeom>
                    <a:noFill/>
                    <a:ln>
                      <a:noFill/>
                    </a:ln>
                  </pic:spPr>
                </pic:pic>
              </a:graphicData>
            </a:graphic>
          </wp:inline>
        </w:drawing>
      </w:r>
    </w:p>
    <w:p w14:paraId="1290236A" w14:textId="77777777" w:rsidR="003E62A5" w:rsidRPr="00D60EEF" w:rsidRDefault="003E62A5" w:rsidP="00EF2DCD">
      <w:pPr>
        <w:pStyle w:val="ListParagraph"/>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p>
    <w:p w14:paraId="20F2BF88" w14:textId="064CF40D" w:rsidR="003E62A5" w:rsidRPr="00D60EEF" w:rsidRDefault="003E62A5"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lastRenderedPageBreak/>
        <w:t>Figure 3C:</w:t>
      </w:r>
      <w:r w:rsidRPr="004A2523">
        <w:rPr>
          <w:rFonts w:asciiTheme="majorBidi" w:eastAsia="Times New Roman" w:hAnsiTheme="majorBidi" w:cstheme="majorBidi"/>
          <w:i/>
          <w:iCs/>
          <w:kern w:val="0"/>
          <w:sz w:val="20"/>
          <w:szCs w:val="20"/>
          <w14:ligatures w14:val="none"/>
        </w:rPr>
        <w:t xml:space="preserve"> Heatmap of Top 50 Genes in Parkinson's Disease</w:t>
      </w:r>
      <w:r w:rsidRPr="00D60EEF">
        <w:rPr>
          <w:rFonts w:asciiTheme="majorBidi" w:eastAsia="Times New Roman" w:hAnsiTheme="majorBidi" w:cstheme="majorBidi"/>
          <w:kern w:val="0"/>
          <w:sz w:val="24"/>
          <w:szCs w:val="24"/>
          <w14:ligatures w14:val="none"/>
        </w:rPr>
        <w:t>.</w:t>
      </w:r>
      <w:r w:rsidRPr="00D60EEF">
        <w:rPr>
          <w:rFonts w:asciiTheme="majorBidi" w:eastAsia="Times New Roman" w:hAnsiTheme="majorBidi" w:cstheme="majorBidi"/>
          <w:kern w:val="0"/>
          <w:sz w:val="28"/>
          <w:szCs w:val="28"/>
          <w14:ligatures w14:val="none"/>
        </w:rPr>
        <w:t xml:space="preserve"> </w:t>
      </w:r>
      <w:r w:rsidRPr="00D60EEF">
        <w:rPr>
          <w:rFonts w:asciiTheme="majorBidi" w:eastAsia="Times New Roman" w:hAnsiTheme="majorBidi" w:cstheme="majorBidi"/>
          <w:noProof/>
          <w:kern w:val="0"/>
          <w:sz w:val="28"/>
          <w:szCs w:val="28"/>
          <w14:ligatures w14:val="none"/>
        </w:rPr>
        <w:drawing>
          <wp:inline distT="0" distB="0" distL="0" distR="0" wp14:anchorId="2FDA0216" wp14:editId="740DD6F6">
            <wp:extent cx="4363116" cy="5448300"/>
            <wp:effectExtent l="0" t="0" r="0" b="0"/>
            <wp:docPr id="621412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6008" cy="5451911"/>
                    </a:xfrm>
                    <a:prstGeom prst="rect">
                      <a:avLst/>
                    </a:prstGeom>
                    <a:noFill/>
                    <a:ln>
                      <a:noFill/>
                    </a:ln>
                  </pic:spPr>
                </pic:pic>
              </a:graphicData>
            </a:graphic>
          </wp:inline>
        </w:drawing>
      </w:r>
    </w:p>
    <w:p w14:paraId="145A9D19" w14:textId="1F7FAD01" w:rsidR="00011765" w:rsidRPr="004A2523" w:rsidRDefault="00011765" w:rsidP="004A2523">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4A2523">
        <w:rPr>
          <w:rFonts w:asciiTheme="majorBidi" w:eastAsia="Times New Roman" w:hAnsiTheme="majorBidi" w:cstheme="majorBidi"/>
          <w:b/>
          <w:bCs/>
          <w:kern w:val="0"/>
          <w:sz w:val="24"/>
          <w:szCs w:val="24"/>
          <w14:ligatures w14:val="none"/>
        </w:rPr>
        <w:t>4.</w:t>
      </w:r>
      <w:r w:rsidR="00974DA1" w:rsidRPr="004A2523">
        <w:rPr>
          <w:rFonts w:asciiTheme="majorBidi" w:eastAsia="Times New Roman" w:hAnsiTheme="majorBidi" w:cstheme="majorBidi"/>
          <w:b/>
          <w:bCs/>
          <w:kern w:val="0"/>
          <w:sz w:val="24"/>
          <w:szCs w:val="24"/>
          <w14:ligatures w14:val="none"/>
        </w:rPr>
        <w:t>4</w:t>
      </w:r>
      <w:r w:rsidRPr="004A2523">
        <w:rPr>
          <w:rFonts w:asciiTheme="majorBidi" w:eastAsia="Times New Roman" w:hAnsiTheme="majorBidi" w:cstheme="majorBidi"/>
          <w:b/>
          <w:bCs/>
          <w:kern w:val="0"/>
          <w:sz w:val="24"/>
          <w:szCs w:val="24"/>
          <w14:ligatures w14:val="none"/>
        </w:rPr>
        <w:t xml:space="preserve"> Pairwise Intersection Analysis</w:t>
      </w:r>
    </w:p>
    <w:p w14:paraId="533649DC" w14:textId="01E0C759" w:rsidR="00011765" w:rsidRPr="00D60EEF" w:rsidRDefault="00011765" w:rsidP="004A2523">
      <w:pP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kern w:val="0"/>
          <w:sz w:val="24"/>
          <w:szCs w:val="24"/>
          <w14:ligatures w14:val="none"/>
        </w:rPr>
        <w:t>Initial analysis of a triple intersection (COVID ∩ AD ∩ PD) yielded no results, reflecting the distinct pathologies of the two neurodegenerative conditions. However, Pairwise Analysis revealed strong molecular links:</w:t>
      </w:r>
    </w:p>
    <w:p w14:paraId="5BBCEFA7" w14:textId="19049920" w:rsidR="00011765" w:rsidRPr="00D60EEF" w:rsidRDefault="00011765" w:rsidP="004A2523">
      <w:pPr>
        <w:pStyle w:val="ListParagraph"/>
        <w:numPr>
          <w:ilvl w:val="0"/>
          <w:numId w:val="2"/>
        </w:num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D60EEF">
        <w:rPr>
          <w:rFonts w:asciiTheme="majorBidi" w:eastAsia="Times New Roman" w:hAnsiTheme="majorBidi" w:cstheme="majorBidi"/>
          <w:b/>
          <w:bCs/>
          <w:kern w:val="0"/>
          <w:sz w:val="24"/>
          <w:szCs w:val="24"/>
          <w14:ligatures w14:val="none"/>
        </w:rPr>
        <w:t>COVID-19 and Alzheimer’s Disease</w:t>
      </w:r>
    </w:p>
    <w:p w14:paraId="6F7463C3" w14:textId="7ECA41F3" w:rsidR="00011765" w:rsidRPr="00D60EEF" w:rsidRDefault="00011765" w:rsidP="004A2523">
      <w:pPr>
        <w:spacing w:before="100" w:beforeAutospacing="1" w:after="100" w:afterAutospacing="1" w:line="360" w:lineRule="auto"/>
        <w:ind w:left="360"/>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kern w:val="0"/>
          <w:sz w:val="24"/>
          <w:szCs w:val="24"/>
          <w14:ligatures w14:val="none"/>
        </w:rPr>
        <w:lastRenderedPageBreak/>
        <w:t>We identified 320 shared genes. Functional analysis of the top hits reveals disruption in lipid metabolism and synaptic function.</w:t>
      </w:r>
    </w:p>
    <w:tbl>
      <w:tblPr>
        <w:tblW w:w="0" w:type="auto"/>
        <w:tblCellSpacing w:w="15" w:type="dxa"/>
        <w:tblCellMar>
          <w:left w:w="0" w:type="dxa"/>
          <w:right w:w="0" w:type="dxa"/>
        </w:tblCellMar>
        <w:tblLook w:val="04A0" w:firstRow="1" w:lastRow="0" w:firstColumn="1" w:lastColumn="0" w:noHBand="0" w:noVBand="1"/>
      </w:tblPr>
      <w:tblGrid>
        <w:gridCol w:w="996"/>
        <w:gridCol w:w="1671"/>
        <w:gridCol w:w="6677"/>
      </w:tblGrid>
      <w:tr w:rsidR="00011765" w:rsidRPr="00011765" w14:paraId="3C8214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5767B"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3EBA"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Gene 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62ABA"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Function</w:t>
            </w:r>
          </w:p>
        </w:tc>
      </w:tr>
      <w:tr w:rsidR="00011765" w:rsidRPr="00011765" w14:paraId="7F4C4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9B1A4"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C86E"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DOC2A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5F45B"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Involved in Ca2+-dependent synaptic vesicle fusion; critical for neurotransmission.</w:t>
            </w:r>
          </w:p>
        </w:tc>
      </w:tr>
      <w:tr w:rsidR="00011765" w:rsidRPr="00011765" w14:paraId="2C61F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40D9C"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ADF22"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AGPAT2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EDD71"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Key enzyme in lipid metabolism; lipid dysregulation is a hallmark of AD.</w:t>
            </w:r>
          </w:p>
        </w:tc>
      </w:tr>
      <w:tr w:rsidR="00011765" w:rsidRPr="00011765" w14:paraId="5D021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61E02"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FD47"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b/>
                <w:bCs/>
                <w:color w:val="1F1F1F"/>
                <w:kern w:val="0"/>
                <w:sz w:val="24"/>
                <w:szCs w:val="24"/>
                <w:bdr w:val="none" w:sz="0" w:space="0" w:color="auto" w:frame="1"/>
                <w14:ligatures w14:val="none"/>
              </w:rPr>
              <w:t>TESPA1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682BC" w14:textId="77777777" w:rsidR="00011765" w:rsidRPr="00011765" w:rsidRDefault="00011765" w:rsidP="004A2523">
            <w:pPr>
              <w:spacing w:after="0" w:line="360" w:lineRule="auto"/>
              <w:jc w:val="both"/>
              <w:rPr>
                <w:rFonts w:asciiTheme="majorBidi" w:eastAsia="Times New Roman" w:hAnsiTheme="majorBidi" w:cstheme="majorBidi"/>
                <w:color w:val="1F1F1F"/>
                <w:kern w:val="0"/>
                <w:sz w:val="24"/>
                <w:szCs w:val="24"/>
                <w14:ligatures w14:val="none"/>
              </w:rPr>
            </w:pPr>
            <w:r w:rsidRPr="00011765">
              <w:rPr>
                <w:rFonts w:asciiTheme="majorBidi" w:eastAsia="Times New Roman" w:hAnsiTheme="majorBidi" w:cstheme="majorBidi"/>
                <w:color w:val="1F1F1F"/>
                <w:kern w:val="0"/>
                <w:sz w:val="24"/>
                <w:szCs w:val="24"/>
                <w:bdr w:val="none" w:sz="0" w:space="0" w:color="auto" w:frame="1"/>
                <w14:ligatures w14:val="none"/>
              </w:rPr>
              <w:t>Involved in T-cell development, linking immune response to neural function.</w:t>
            </w:r>
          </w:p>
        </w:tc>
      </w:tr>
    </w:tbl>
    <w:p w14:paraId="34DE2AA5" w14:textId="675C2DE4" w:rsidR="00011765" w:rsidRPr="00D60EEF" w:rsidRDefault="00011765" w:rsidP="004A2523">
      <w:pPr>
        <w:pStyle w:val="ListParagraph"/>
        <w:numPr>
          <w:ilvl w:val="0"/>
          <w:numId w:val="1"/>
        </w:numPr>
        <w:spacing w:before="100" w:beforeAutospacing="1" w:after="100" w:afterAutospacing="1" w:line="360" w:lineRule="auto"/>
        <w:jc w:val="both"/>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t xml:space="preserve">Figure </w:t>
      </w:r>
      <w:r w:rsidR="00974DA1" w:rsidRPr="004A2523">
        <w:rPr>
          <w:rFonts w:asciiTheme="majorBidi" w:eastAsia="Times New Roman" w:hAnsiTheme="majorBidi" w:cstheme="majorBidi"/>
          <w:b/>
          <w:bCs/>
          <w:i/>
          <w:iCs/>
          <w:kern w:val="0"/>
          <w:sz w:val="20"/>
          <w:szCs w:val="20"/>
          <w14:ligatures w14:val="none"/>
        </w:rPr>
        <w:t>4</w:t>
      </w:r>
      <w:r w:rsidRPr="004A2523">
        <w:rPr>
          <w:rFonts w:asciiTheme="majorBidi" w:eastAsia="Times New Roman" w:hAnsiTheme="majorBidi" w:cstheme="majorBidi"/>
          <w:b/>
          <w:bCs/>
          <w:i/>
          <w:iCs/>
          <w:kern w:val="0"/>
          <w:sz w:val="20"/>
          <w:szCs w:val="20"/>
          <w14:ligatures w14:val="none"/>
        </w:rPr>
        <w:t>:</w:t>
      </w:r>
      <w:r w:rsidRPr="004A2523">
        <w:rPr>
          <w:rFonts w:asciiTheme="majorBidi" w:eastAsia="Times New Roman" w:hAnsiTheme="majorBidi" w:cstheme="majorBidi"/>
          <w:i/>
          <w:iCs/>
          <w:kern w:val="0"/>
          <w:sz w:val="20"/>
          <w:szCs w:val="20"/>
          <w14:ligatures w14:val="none"/>
        </w:rPr>
        <w:t xml:space="preserve"> Venn Diagram of COVID-19 and Alzheimer’s Overlap.</w:t>
      </w:r>
      <w:r w:rsidRPr="00D60EEF">
        <w:rPr>
          <w:rFonts w:asciiTheme="majorBidi" w:hAnsiTheme="majorBidi" w:cstheme="majorBidi"/>
          <w:noProof/>
        </w:rPr>
        <w:drawing>
          <wp:inline distT="0" distB="0" distL="0" distR="0" wp14:anchorId="3DC5C702" wp14:editId="5FA18F15">
            <wp:extent cx="3870960" cy="3870960"/>
            <wp:effectExtent l="0" t="0" r="0" b="0"/>
            <wp:docPr id="1562559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0960" cy="3870960"/>
                    </a:xfrm>
                    <a:prstGeom prst="rect">
                      <a:avLst/>
                    </a:prstGeom>
                    <a:noFill/>
                    <a:ln>
                      <a:noFill/>
                    </a:ln>
                  </pic:spPr>
                </pic:pic>
              </a:graphicData>
            </a:graphic>
          </wp:inline>
        </w:drawing>
      </w:r>
    </w:p>
    <w:p w14:paraId="2ABFBEB9" w14:textId="58495C01" w:rsidR="00011765" w:rsidRPr="00D60EEF" w:rsidRDefault="00011765" w:rsidP="004A2523">
      <w:pPr>
        <w:pStyle w:val="ListParagraph"/>
        <w:numPr>
          <w:ilvl w:val="0"/>
          <w:numId w:val="2"/>
        </w:num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D60EEF">
        <w:rPr>
          <w:rFonts w:asciiTheme="majorBidi" w:eastAsia="Times New Roman" w:hAnsiTheme="majorBidi" w:cstheme="majorBidi"/>
          <w:b/>
          <w:bCs/>
          <w:kern w:val="0"/>
          <w:sz w:val="24"/>
          <w:szCs w:val="24"/>
          <w14:ligatures w14:val="none"/>
        </w:rPr>
        <w:t>COVID-19 and Parkinson’s Disease</w:t>
      </w:r>
    </w:p>
    <w:p w14:paraId="4BE9A30E" w14:textId="484C8377" w:rsidR="006D05DD" w:rsidRPr="00D60EEF" w:rsidRDefault="006D05DD" w:rsidP="004A2523">
      <w:pPr>
        <w:spacing w:before="100" w:beforeAutospacing="1" w:after="100" w:afterAutospacing="1" w:line="360" w:lineRule="auto"/>
        <w:ind w:left="360"/>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kern w:val="0"/>
          <w:sz w:val="24"/>
          <w:szCs w:val="24"/>
          <w14:ligatures w14:val="none"/>
        </w:rPr>
        <w:lastRenderedPageBreak/>
        <w:t>We identified 272 shared genes. The top hits strongly point toward oxidative stress, a primary driver of dopaminergic neuron death.</w:t>
      </w:r>
    </w:p>
    <w:tbl>
      <w:tblPr>
        <w:tblW w:w="0" w:type="auto"/>
        <w:tblCellSpacing w:w="15" w:type="dxa"/>
        <w:tblCellMar>
          <w:left w:w="0" w:type="dxa"/>
          <w:right w:w="0" w:type="dxa"/>
        </w:tblCellMar>
        <w:tblLook w:val="04A0" w:firstRow="1" w:lastRow="0" w:firstColumn="1" w:lastColumn="0" w:noHBand="0" w:noVBand="1"/>
      </w:tblPr>
      <w:tblGrid>
        <w:gridCol w:w="996"/>
        <w:gridCol w:w="1565"/>
        <w:gridCol w:w="6783"/>
      </w:tblGrid>
      <w:tr w:rsidR="006D05DD" w:rsidRPr="006D05DD" w14:paraId="2DD740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E661D"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02D0C"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Gene 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CD5EA"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Function</w:t>
            </w:r>
          </w:p>
        </w:tc>
      </w:tr>
      <w:tr w:rsidR="006D05DD" w:rsidRPr="006D05DD" w14:paraId="7CBDA9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0A92A"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color w:val="1F1F1F"/>
                <w:kern w:val="0"/>
                <w:sz w:val="24"/>
                <w:szCs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66FE0"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EA005"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color w:val="1F1F1F"/>
                <w:kern w:val="0"/>
                <w:sz w:val="24"/>
                <w:szCs w:val="24"/>
                <w:bdr w:val="none" w:sz="0" w:space="0" w:color="auto" w:frame="1"/>
                <w14:ligatures w14:val="none"/>
              </w:rPr>
              <w:t>Myeloperoxidase; a pro-oxidant enzyme linked to neuroinflammation and oxidative stress.</w:t>
            </w:r>
          </w:p>
        </w:tc>
      </w:tr>
      <w:tr w:rsidR="006D05DD" w:rsidRPr="006D05DD" w14:paraId="7545F2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6CF20"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color w:val="1F1F1F"/>
                <w:kern w:val="0"/>
                <w:sz w:val="24"/>
                <w:szCs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4A91C"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LPO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870A3"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proofErr w:type="spellStart"/>
            <w:r w:rsidRPr="006D05DD">
              <w:rPr>
                <w:rFonts w:asciiTheme="majorBidi" w:eastAsia="Times New Roman" w:hAnsiTheme="majorBidi" w:cstheme="majorBidi"/>
                <w:color w:val="1F1F1F"/>
                <w:kern w:val="0"/>
                <w:sz w:val="24"/>
                <w:szCs w:val="24"/>
                <w:bdr w:val="none" w:sz="0" w:space="0" w:color="auto" w:frame="1"/>
                <w14:ligatures w14:val="none"/>
              </w:rPr>
              <w:t>Lactoperoxidase</w:t>
            </w:r>
            <w:proofErr w:type="spellEnd"/>
            <w:r w:rsidRPr="006D05DD">
              <w:rPr>
                <w:rFonts w:asciiTheme="majorBidi" w:eastAsia="Times New Roman" w:hAnsiTheme="majorBidi" w:cstheme="majorBidi"/>
                <w:color w:val="1F1F1F"/>
                <w:kern w:val="0"/>
                <w:sz w:val="24"/>
                <w:szCs w:val="24"/>
                <w:bdr w:val="none" w:sz="0" w:space="0" w:color="auto" w:frame="1"/>
                <w14:ligatures w14:val="none"/>
              </w:rPr>
              <w:t>; part of the peroxidase family, involved in antimicrobial defense and oxidation.</w:t>
            </w:r>
          </w:p>
        </w:tc>
      </w:tr>
      <w:tr w:rsidR="006D05DD" w:rsidRPr="006D05DD" w14:paraId="22A57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16DC7"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color w:val="1F1F1F"/>
                <w:kern w:val="0"/>
                <w:sz w:val="24"/>
                <w:szCs w:val="24"/>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D37A4"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b/>
                <w:bCs/>
                <w:color w:val="1F1F1F"/>
                <w:kern w:val="0"/>
                <w:sz w:val="24"/>
                <w:szCs w:val="24"/>
                <w:bdr w:val="none" w:sz="0" w:space="0" w:color="auto" w:frame="1"/>
                <w14:ligatures w14:val="none"/>
              </w:rPr>
              <w:t>PRRG4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C924D" w14:textId="77777777" w:rsidR="006D05DD" w:rsidRPr="006D05DD" w:rsidRDefault="006D05DD" w:rsidP="004A2523">
            <w:pPr>
              <w:spacing w:after="0" w:line="360" w:lineRule="auto"/>
              <w:jc w:val="both"/>
              <w:rPr>
                <w:rFonts w:asciiTheme="majorBidi" w:eastAsia="Times New Roman" w:hAnsiTheme="majorBidi" w:cstheme="majorBidi"/>
                <w:color w:val="1F1F1F"/>
                <w:kern w:val="0"/>
                <w:sz w:val="24"/>
                <w:szCs w:val="24"/>
                <w14:ligatures w14:val="none"/>
              </w:rPr>
            </w:pPr>
            <w:r w:rsidRPr="006D05DD">
              <w:rPr>
                <w:rFonts w:asciiTheme="majorBidi" w:eastAsia="Times New Roman" w:hAnsiTheme="majorBidi" w:cstheme="majorBidi"/>
                <w:color w:val="1F1F1F"/>
                <w:kern w:val="0"/>
                <w:sz w:val="24"/>
                <w:szCs w:val="24"/>
                <w:bdr w:val="none" w:sz="0" w:space="0" w:color="auto" w:frame="1"/>
                <w14:ligatures w14:val="none"/>
              </w:rPr>
              <w:t>Vitamin K-dependent protein; related to Gla-domain proteins in the brain.</w:t>
            </w:r>
          </w:p>
        </w:tc>
      </w:tr>
    </w:tbl>
    <w:p w14:paraId="07929970" w14:textId="3F9BC193" w:rsidR="006D05DD" w:rsidRPr="00D60EEF" w:rsidRDefault="006D05DD" w:rsidP="00EF2DCD">
      <w:pPr>
        <w:pStyle w:val="ListParagraph"/>
        <w:numPr>
          <w:ilvl w:val="0"/>
          <w:numId w:val="1"/>
        </w:numPr>
        <w:spacing w:before="100" w:beforeAutospacing="1" w:after="100" w:afterAutospacing="1" w:line="360" w:lineRule="auto"/>
        <w:outlineLvl w:val="2"/>
        <w:rPr>
          <w:rFonts w:asciiTheme="majorBidi" w:eastAsia="Times New Roman" w:hAnsiTheme="majorBidi" w:cstheme="majorBidi"/>
          <w:kern w:val="0"/>
          <w:sz w:val="28"/>
          <w:szCs w:val="28"/>
          <w14:ligatures w14:val="none"/>
        </w:rPr>
      </w:pPr>
      <w:r w:rsidRPr="004A2523">
        <w:rPr>
          <w:rFonts w:asciiTheme="majorBidi" w:eastAsia="Times New Roman" w:hAnsiTheme="majorBidi" w:cstheme="majorBidi"/>
          <w:b/>
          <w:bCs/>
          <w:i/>
          <w:iCs/>
          <w:kern w:val="0"/>
          <w:sz w:val="20"/>
          <w:szCs w:val="20"/>
          <w14:ligatures w14:val="none"/>
        </w:rPr>
        <w:t xml:space="preserve">Figure </w:t>
      </w:r>
      <w:r w:rsidR="00974DA1" w:rsidRPr="004A2523">
        <w:rPr>
          <w:rFonts w:asciiTheme="majorBidi" w:eastAsia="Times New Roman" w:hAnsiTheme="majorBidi" w:cstheme="majorBidi"/>
          <w:b/>
          <w:bCs/>
          <w:i/>
          <w:iCs/>
          <w:kern w:val="0"/>
          <w:sz w:val="20"/>
          <w:szCs w:val="20"/>
          <w14:ligatures w14:val="none"/>
        </w:rPr>
        <w:t>5</w:t>
      </w:r>
      <w:r w:rsidRPr="004A2523">
        <w:rPr>
          <w:rFonts w:asciiTheme="majorBidi" w:eastAsia="Times New Roman" w:hAnsiTheme="majorBidi" w:cstheme="majorBidi"/>
          <w:b/>
          <w:bCs/>
          <w:i/>
          <w:iCs/>
          <w:kern w:val="0"/>
          <w:sz w:val="20"/>
          <w:szCs w:val="20"/>
          <w14:ligatures w14:val="none"/>
        </w:rPr>
        <w:t>:</w:t>
      </w:r>
      <w:r w:rsidRPr="004A2523">
        <w:rPr>
          <w:rFonts w:asciiTheme="majorBidi" w:eastAsia="Times New Roman" w:hAnsiTheme="majorBidi" w:cstheme="majorBidi"/>
          <w:i/>
          <w:iCs/>
          <w:kern w:val="0"/>
          <w:sz w:val="20"/>
          <w:szCs w:val="20"/>
          <w14:ligatures w14:val="none"/>
        </w:rPr>
        <w:t xml:space="preserve"> Venn Diagram of COVID-19 and Parkinson’s Overlap</w:t>
      </w:r>
      <w:r w:rsidRPr="00D60EEF">
        <w:rPr>
          <w:rFonts w:asciiTheme="majorBidi" w:eastAsia="Times New Roman" w:hAnsiTheme="majorBidi" w:cstheme="majorBidi"/>
          <w:kern w:val="0"/>
          <w:sz w:val="24"/>
          <w:szCs w:val="24"/>
          <w14:ligatures w14:val="none"/>
        </w:rPr>
        <w:t>.</w:t>
      </w:r>
      <w:r w:rsidRPr="00D60EEF">
        <w:rPr>
          <w:rFonts w:asciiTheme="majorBidi" w:eastAsia="Times New Roman" w:hAnsiTheme="majorBidi" w:cstheme="majorBidi"/>
          <w:kern w:val="0"/>
          <w:sz w:val="28"/>
          <w:szCs w:val="28"/>
          <w14:ligatures w14:val="none"/>
        </w:rPr>
        <w:t xml:space="preserve"> </w:t>
      </w:r>
      <w:r w:rsidRPr="00D60EEF">
        <w:rPr>
          <w:rFonts w:asciiTheme="majorBidi" w:eastAsia="Times New Roman" w:hAnsiTheme="majorBidi" w:cstheme="majorBidi"/>
          <w:noProof/>
          <w:kern w:val="0"/>
          <w:sz w:val="28"/>
          <w:szCs w:val="28"/>
          <w14:ligatures w14:val="none"/>
        </w:rPr>
        <w:drawing>
          <wp:inline distT="0" distB="0" distL="0" distR="0" wp14:anchorId="67B12F43" wp14:editId="1A9E3658">
            <wp:extent cx="4000500" cy="4000500"/>
            <wp:effectExtent l="0" t="0" r="0" b="0"/>
            <wp:docPr id="592720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55D9ED7D" w14:textId="170D2124" w:rsidR="00766C96" w:rsidRDefault="00766C96" w:rsidP="004A2523">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4A2523">
        <w:rPr>
          <w:rFonts w:asciiTheme="majorBidi" w:eastAsia="Times New Roman" w:hAnsiTheme="majorBidi" w:cstheme="majorBidi"/>
          <w:b/>
          <w:bCs/>
          <w:kern w:val="0"/>
          <w:sz w:val="24"/>
          <w:szCs w:val="24"/>
          <w14:ligatures w14:val="none"/>
        </w:rPr>
        <w:lastRenderedPageBreak/>
        <w:t>4.</w:t>
      </w:r>
      <w:r w:rsidR="00974DA1" w:rsidRPr="004A2523">
        <w:rPr>
          <w:rFonts w:asciiTheme="majorBidi" w:eastAsia="Times New Roman" w:hAnsiTheme="majorBidi" w:cstheme="majorBidi"/>
          <w:b/>
          <w:bCs/>
          <w:kern w:val="0"/>
          <w:sz w:val="24"/>
          <w:szCs w:val="24"/>
          <w14:ligatures w14:val="none"/>
        </w:rPr>
        <w:t>5</w:t>
      </w:r>
      <w:r w:rsidRPr="004A2523">
        <w:rPr>
          <w:rFonts w:asciiTheme="majorBidi" w:eastAsia="Times New Roman" w:hAnsiTheme="majorBidi" w:cstheme="majorBidi"/>
          <w:b/>
          <w:bCs/>
          <w:kern w:val="0"/>
          <w:sz w:val="24"/>
          <w:szCs w:val="24"/>
          <w14:ligatures w14:val="none"/>
        </w:rPr>
        <w:t xml:space="preserve"> Testing the Prion Hypothesis</w:t>
      </w:r>
    </w:p>
    <w:p w14:paraId="2D8AA0A8" w14:textId="77777777" w:rsidR="00196527" w:rsidRPr="006D05DD" w:rsidRDefault="00196527" w:rsidP="00196527">
      <w:pP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6D05DD">
        <w:rPr>
          <w:rFonts w:asciiTheme="majorBidi" w:eastAsia="Times New Roman" w:hAnsiTheme="majorBidi" w:cstheme="majorBidi"/>
          <w:kern w:val="0"/>
          <w:sz w:val="24"/>
          <w:szCs w:val="24"/>
          <w14:ligatures w14:val="none"/>
        </w:rPr>
        <w:t>We screened both pairwise gene lists for direct dysregulation of amyloid</w:t>
      </w:r>
      <w:r w:rsidRPr="00D60EEF">
        <w:rPr>
          <w:rFonts w:asciiTheme="majorBidi" w:eastAsia="Times New Roman" w:hAnsiTheme="majorBidi" w:cstheme="majorBidi"/>
          <w:kern w:val="0"/>
          <w:sz w:val="24"/>
          <w:szCs w:val="24"/>
          <w14:ligatures w14:val="none"/>
        </w:rPr>
        <w:t>/</w:t>
      </w:r>
      <w:r w:rsidRPr="006D05DD">
        <w:rPr>
          <w:rFonts w:asciiTheme="majorBidi" w:eastAsia="Times New Roman" w:hAnsiTheme="majorBidi" w:cstheme="majorBidi"/>
          <w:kern w:val="0"/>
          <w:sz w:val="24"/>
          <w:szCs w:val="24"/>
          <w14:ligatures w14:val="none"/>
        </w:rPr>
        <w:t>prion markers.</w:t>
      </w:r>
    </w:p>
    <w:p w14:paraId="3A422659" w14:textId="77777777" w:rsidR="00196527" w:rsidRPr="00EF2DCD" w:rsidRDefault="00196527" w:rsidP="00196527">
      <w:pPr>
        <w:numPr>
          <w:ilvl w:val="0"/>
          <w:numId w:val="3"/>
        </w:num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b/>
          <w:bCs/>
          <w:kern w:val="0"/>
          <w:sz w:val="24"/>
          <w:szCs w:val="24"/>
          <w14:ligatures w14:val="none"/>
        </w:rPr>
        <w:t>Result:</w:t>
      </w:r>
      <w:r w:rsidRPr="00D60EEF">
        <w:rPr>
          <w:rFonts w:asciiTheme="majorBidi" w:eastAsia="Times New Roman" w:hAnsiTheme="majorBidi" w:cstheme="majorBidi"/>
          <w:kern w:val="0"/>
          <w:sz w:val="24"/>
          <w:szCs w:val="24"/>
          <w14:ligatures w14:val="none"/>
        </w:rPr>
        <w:t xml:space="preserve"> No direct overlap was found with </w:t>
      </w:r>
      <w:r w:rsidRPr="00D60EEF">
        <w:rPr>
          <w:rFonts w:asciiTheme="majorBidi" w:eastAsia="Times New Roman" w:hAnsiTheme="majorBidi" w:cstheme="majorBidi"/>
          <w:i/>
          <w:iCs/>
          <w:kern w:val="0"/>
          <w:sz w:val="24"/>
          <w:szCs w:val="24"/>
          <w14:ligatures w14:val="none"/>
        </w:rPr>
        <w:t>PRNP</w:t>
      </w:r>
      <w:r w:rsidRPr="00D60EEF">
        <w:rPr>
          <w:rFonts w:asciiTheme="majorBidi" w:eastAsia="Times New Roman" w:hAnsiTheme="majorBidi" w:cstheme="majorBidi"/>
          <w:kern w:val="0"/>
          <w:sz w:val="24"/>
          <w:szCs w:val="24"/>
          <w14:ligatures w14:val="none"/>
        </w:rPr>
        <w:t xml:space="preserve"> (Prion Protein), </w:t>
      </w:r>
      <w:r w:rsidRPr="00D60EEF">
        <w:rPr>
          <w:rFonts w:asciiTheme="majorBidi" w:eastAsia="Times New Roman" w:hAnsiTheme="majorBidi" w:cstheme="majorBidi"/>
          <w:i/>
          <w:iCs/>
          <w:kern w:val="0"/>
          <w:sz w:val="24"/>
          <w:szCs w:val="24"/>
          <w14:ligatures w14:val="none"/>
        </w:rPr>
        <w:t>SNCA</w:t>
      </w:r>
      <w:r w:rsidRPr="00D60EEF">
        <w:rPr>
          <w:rFonts w:asciiTheme="majorBidi" w:eastAsia="Times New Roman" w:hAnsiTheme="majorBidi" w:cstheme="majorBidi"/>
          <w:kern w:val="0"/>
          <w:sz w:val="24"/>
          <w:szCs w:val="24"/>
          <w14:ligatures w14:val="none"/>
        </w:rPr>
        <w:t xml:space="preserve"> (Alpha-synuclein), or </w:t>
      </w:r>
      <w:r w:rsidRPr="00D60EEF">
        <w:rPr>
          <w:rFonts w:asciiTheme="majorBidi" w:eastAsia="Times New Roman" w:hAnsiTheme="majorBidi" w:cstheme="majorBidi"/>
          <w:i/>
          <w:iCs/>
          <w:kern w:val="0"/>
          <w:sz w:val="24"/>
          <w:szCs w:val="24"/>
          <w14:ligatures w14:val="none"/>
        </w:rPr>
        <w:t>MAPT</w:t>
      </w:r>
      <w:r w:rsidRPr="00D60EEF">
        <w:rPr>
          <w:rFonts w:asciiTheme="majorBidi" w:eastAsia="Times New Roman" w:hAnsiTheme="majorBidi" w:cstheme="majorBidi"/>
          <w:kern w:val="0"/>
          <w:sz w:val="24"/>
          <w:szCs w:val="24"/>
          <w14:ligatures w14:val="none"/>
        </w:rPr>
        <w:t xml:space="preserve"> (Tau).</w:t>
      </w:r>
    </w:p>
    <w:p w14:paraId="1268BA3C" w14:textId="529C6FC9" w:rsidR="00196527" w:rsidRPr="00196527" w:rsidRDefault="00196527" w:rsidP="00196527">
      <w:pPr>
        <w:numPr>
          <w:ilvl w:val="0"/>
          <w:numId w:val="3"/>
        </w:num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D60EEF">
        <w:rPr>
          <w:rFonts w:asciiTheme="majorBidi" w:eastAsia="Times New Roman" w:hAnsiTheme="majorBidi" w:cstheme="majorBidi"/>
          <w:b/>
          <w:bCs/>
          <w:kern w:val="0"/>
          <w:sz w:val="24"/>
          <w:szCs w:val="24"/>
          <w14:ligatures w14:val="none"/>
        </w:rPr>
        <w:t>Conclusion:</w:t>
      </w:r>
      <w:r w:rsidRPr="00D60EEF">
        <w:rPr>
          <w:rFonts w:asciiTheme="majorBidi" w:eastAsia="Times New Roman" w:hAnsiTheme="majorBidi" w:cstheme="majorBidi"/>
          <w:kern w:val="0"/>
          <w:sz w:val="24"/>
          <w:szCs w:val="24"/>
          <w14:ligatures w14:val="none"/>
        </w:rPr>
        <w:t xml:space="preserve"> The transcriptomic data does </w:t>
      </w:r>
      <w:r w:rsidRPr="00D60EEF">
        <w:rPr>
          <w:rFonts w:asciiTheme="majorBidi" w:eastAsia="Times New Roman" w:hAnsiTheme="majorBidi" w:cstheme="majorBidi"/>
          <w:b/>
          <w:bCs/>
          <w:kern w:val="0"/>
          <w:sz w:val="24"/>
          <w:szCs w:val="24"/>
          <w14:ligatures w14:val="none"/>
        </w:rPr>
        <w:t>not</w:t>
      </w:r>
      <w:r w:rsidRPr="00D60EEF">
        <w:rPr>
          <w:rFonts w:asciiTheme="majorBidi" w:eastAsia="Times New Roman" w:hAnsiTheme="majorBidi" w:cstheme="majorBidi"/>
          <w:kern w:val="0"/>
          <w:sz w:val="24"/>
          <w:szCs w:val="24"/>
          <w14:ligatures w14:val="none"/>
        </w:rPr>
        <w:t xml:space="preserve"> support a direct prion-seeding mechanism at the gene expression level in these cohorts</w:t>
      </w:r>
      <w:r w:rsidRPr="00D60EEF">
        <w:rPr>
          <w:rFonts w:asciiTheme="majorBidi" w:eastAsia="Times New Roman" w:hAnsiTheme="majorBidi" w:cstheme="majorBidi"/>
          <w:kern w:val="0"/>
          <w:sz w:val="27"/>
          <w:szCs w:val="27"/>
          <w14:ligatures w14:val="none"/>
        </w:rPr>
        <w:t>.</w:t>
      </w:r>
    </w:p>
    <w:p w14:paraId="7CA2037B" w14:textId="77777777" w:rsidR="00196527" w:rsidRPr="00196527" w:rsidRDefault="00196527" w:rsidP="00196527">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196527">
        <w:rPr>
          <w:rFonts w:asciiTheme="majorBidi" w:eastAsia="Times New Roman" w:hAnsiTheme="majorBidi" w:cstheme="majorBidi"/>
          <w:b/>
          <w:bCs/>
          <w:kern w:val="0"/>
          <w:sz w:val="24"/>
          <w:szCs w:val="24"/>
          <w14:ligatures w14:val="none"/>
        </w:rPr>
        <w:t>4.6 R-Based Statistical Validation</w:t>
      </w:r>
    </w:p>
    <w:p w14:paraId="4266B5B4" w14:textId="6A95F79C" w:rsidR="00196527" w:rsidRPr="00196527" w:rsidRDefault="00877006" w:rsidP="00E66E57">
      <w:pPr>
        <w:numPr>
          <w:ilvl w:val="1"/>
          <w:numId w:val="18"/>
        </w:numPr>
        <w:spacing w:before="100" w:beforeAutospacing="1" w:after="100" w:afterAutospacing="1" w:line="360" w:lineRule="auto"/>
        <w:outlineLvl w:val="2"/>
        <w:rPr>
          <w:rFonts w:asciiTheme="majorBidi" w:eastAsia="Times New Roman" w:hAnsiTheme="majorBidi" w:cstheme="majorBidi"/>
          <w:b/>
          <w:bCs/>
          <w:kern w:val="0"/>
          <w:sz w:val="24"/>
          <w:szCs w:val="24"/>
          <w14:ligatures w14:val="none"/>
        </w:rPr>
      </w:pPr>
      <w:r>
        <w:rPr>
          <w:rFonts w:asciiTheme="majorBidi" w:eastAsia="Times New Roman" w:hAnsiTheme="majorBidi" w:cstheme="majorBidi"/>
          <w:b/>
          <w:bCs/>
          <w:noProof/>
          <w:kern w:val="0"/>
          <w:sz w:val="24"/>
          <w:szCs w:val="24"/>
          <w14:ligatures w14:val="none"/>
        </w:rPr>
        <w:drawing>
          <wp:inline distT="0" distB="0" distL="0" distR="0" wp14:anchorId="3164E788" wp14:editId="6E3E642D">
            <wp:extent cx="5189220" cy="4168140"/>
            <wp:effectExtent l="0" t="0" r="0" b="3810"/>
            <wp:docPr id="7860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9220" cy="4168140"/>
                    </a:xfrm>
                    <a:prstGeom prst="rect">
                      <a:avLst/>
                    </a:prstGeom>
                    <a:noFill/>
                    <a:ln>
                      <a:noFill/>
                    </a:ln>
                  </pic:spPr>
                </pic:pic>
              </a:graphicData>
            </a:graphic>
          </wp:inline>
        </w:drawing>
      </w:r>
      <w:r w:rsidR="00196527" w:rsidRPr="00196527">
        <w:rPr>
          <w:rFonts w:asciiTheme="majorBidi" w:eastAsia="Times New Roman" w:hAnsiTheme="majorBidi" w:cstheme="majorBidi"/>
          <w:b/>
          <w:bCs/>
          <w:kern w:val="0"/>
          <w:sz w:val="20"/>
          <w:szCs w:val="20"/>
          <w14:ligatures w14:val="none"/>
        </w:rPr>
        <w:t xml:space="preserve">Caption: </w:t>
      </w:r>
      <w:r w:rsidR="00196527" w:rsidRPr="00196527">
        <w:rPr>
          <w:rFonts w:asciiTheme="majorBidi" w:eastAsia="Times New Roman" w:hAnsiTheme="majorBidi" w:cstheme="majorBidi"/>
          <w:b/>
          <w:bCs/>
          <w:i/>
          <w:iCs/>
          <w:kern w:val="0"/>
          <w:sz w:val="20"/>
          <w:szCs w:val="20"/>
          <w14:ligatures w14:val="none"/>
        </w:rPr>
        <w:t>Figure 6:</w:t>
      </w:r>
      <w:r w:rsidR="00196527" w:rsidRPr="00196527">
        <w:rPr>
          <w:rFonts w:asciiTheme="majorBidi" w:eastAsia="Times New Roman" w:hAnsiTheme="majorBidi" w:cstheme="majorBidi"/>
          <w:i/>
          <w:iCs/>
          <w:kern w:val="0"/>
          <w:sz w:val="20"/>
          <w:szCs w:val="20"/>
          <w14:ligatures w14:val="none"/>
        </w:rPr>
        <w:t xml:space="preserve"> Voom Mean-Variance Trend. The plot demonstrates the stabilization of variance across gene counts, confirming effective normalization prior to statistical testing.</w:t>
      </w:r>
    </w:p>
    <w:p w14:paraId="623832EA" w14:textId="77777777" w:rsidR="00E66E57" w:rsidRDefault="00877006" w:rsidP="00E66E57">
      <w:pPr>
        <w:numPr>
          <w:ilvl w:val="1"/>
          <w:numId w:val="18"/>
        </w:numPr>
        <w:spacing w:before="100" w:beforeAutospacing="1" w:after="100" w:afterAutospacing="1" w:line="360" w:lineRule="auto"/>
        <w:outlineLvl w:val="2"/>
        <w:rPr>
          <w:rFonts w:asciiTheme="majorBidi" w:eastAsia="Times New Roman" w:hAnsiTheme="majorBidi" w:cstheme="majorBidi"/>
          <w:i/>
          <w:iCs/>
          <w:kern w:val="0"/>
          <w:sz w:val="20"/>
          <w:szCs w:val="20"/>
          <w14:ligatures w14:val="none"/>
        </w:rPr>
      </w:pPr>
      <w:r>
        <w:rPr>
          <w:rFonts w:asciiTheme="majorBidi" w:eastAsia="Times New Roman" w:hAnsiTheme="majorBidi" w:cstheme="majorBidi"/>
          <w:b/>
          <w:bCs/>
          <w:noProof/>
          <w:kern w:val="0"/>
          <w:sz w:val="24"/>
          <w:szCs w:val="24"/>
          <w14:ligatures w14:val="none"/>
        </w:rPr>
        <w:lastRenderedPageBreak/>
        <w:drawing>
          <wp:inline distT="0" distB="0" distL="0" distR="0" wp14:anchorId="63858874" wp14:editId="73416B35">
            <wp:extent cx="5204460" cy="4168140"/>
            <wp:effectExtent l="0" t="0" r="0" b="3810"/>
            <wp:docPr id="81545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4460" cy="4168140"/>
                    </a:xfrm>
                    <a:prstGeom prst="rect">
                      <a:avLst/>
                    </a:prstGeom>
                    <a:noFill/>
                    <a:ln>
                      <a:noFill/>
                    </a:ln>
                  </pic:spPr>
                </pic:pic>
              </a:graphicData>
            </a:graphic>
          </wp:inline>
        </w:drawing>
      </w:r>
      <w:r w:rsidR="00196527" w:rsidRPr="00196527">
        <w:rPr>
          <w:rFonts w:asciiTheme="majorBidi" w:eastAsia="Times New Roman" w:hAnsiTheme="majorBidi" w:cstheme="majorBidi"/>
          <w:b/>
          <w:bCs/>
          <w:kern w:val="0"/>
          <w:sz w:val="20"/>
          <w:szCs w:val="20"/>
          <w14:ligatures w14:val="none"/>
        </w:rPr>
        <w:t xml:space="preserve">Caption: </w:t>
      </w:r>
      <w:r w:rsidR="00196527" w:rsidRPr="00196527">
        <w:rPr>
          <w:rFonts w:asciiTheme="majorBidi" w:eastAsia="Times New Roman" w:hAnsiTheme="majorBidi" w:cstheme="majorBidi"/>
          <w:b/>
          <w:bCs/>
          <w:i/>
          <w:iCs/>
          <w:kern w:val="0"/>
          <w:sz w:val="20"/>
          <w:szCs w:val="20"/>
          <w14:ligatures w14:val="none"/>
        </w:rPr>
        <w:t xml:space="preserve">Figure 7: </w:t>
      </w:r>
      <w:r w:rsidR="00196527" w:rsidRPr="00196527">
        <w:rPr>
          <w:rFonts w:asciiTheme="majorBidi" w:eastAsia="Times New Roman" w:hAnsiTheme="majorBidi" w:cstheme="majorBidi"/>
          <w:i/>
          <w:iCs/>
          <w:kern w:val="0"/>
          <w:sz w:val="20"/>
          <w:szCs w:val="20"/>
          <w14:ligatures w14:val="none"/>
        </w:rPr>
        <w:t>Multi-Disease Intersection (R Analysis). Unlike the initial pairwise analysis, the R pipeline identified [Insert Number from Center of Venn] genes shared across COVID-19, Alzheimer’s, and Parkinson’s simultaneously.</w:t>
      </w:r>
      <w:r w:rsidRPr="00E66E57">
        <w:rPr>
          <w:rFonts w:asciiTheme="majorBidi" w:eastAsia="Times New Roman" w:hAnsiTheme="majorBidi" w:cstheme="majorBidi"/>
          <w:noProof/>
          <w:kern w:val="0"/>
          <w:sz w:val="24"/>
          <w:szCs w:val="24"/>
          <w14:ligatures w14:val="none"/>
        </w:rPr>
        <w:lastRenderedPageBreak/>
        <w:drawing>
          <wp:inline distT="0" distB="0" distL="0" distR="0" wp14:anchorId="0426921E" wp14:editId="570A51FF">
            <wp:extent cx="4922520" cy="4160520"/>
            <wp:effectExtent l="0" t="0" r="0" b="0"/>
            <wp:docPr id="110686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2520" cy="4160520"/>
                    </a:xfrm>
                    <a:prstGeom prst="rect">
                      <a:avLst/>
                    </a:prstGeom>
                    <a:noFill/>
                    <a:ln>
                      <a:noFill/>
                    </a:ln>
                  </pic:spPr>
                </pic:pic>
              </a:graphicData>
            </a:graphic>
          </wp:inline>
        </w:drawing>
      </w:r>
      <w:r w:rsidR="00196527" w:rsidRPr="00196527">
        <w:rPr>
          <w:rFonts w:asciiTheme="majorBidi" w:eastAsia="Times New Roman" w:hAnsiTheme="majorBidi" w:cstheme="majorBidi"/>
          <w:b/>
          <w:bCs/>
          <w:kern w:val="0"/>
          <w:sz w:val="20"/>
          <w:szCs w:val="20"/>
          <w14:ligatures w14:val="none"/>
        </w:rPr>
        <w:t xml:space="preserve">Caption: </w:t>
      </w:r>
      <w:r w:rsidR="00196527" w:rsidRPr="00196527">
        <w:rPr>
          <w:rFonts w:asciiTheme="majorBidi" w:eastAsia="Times New Roman" w:hAnsiTheme="majorBidi" w:cstheme="majorBidi"/>
          <w:b/>
          <w:bCs/>
          <w:i/>
          <w:iCs/>
          <w:kern w:val="0"/>
          <w:sz w:val="20"/>
          <w:szCs w:val="20"/>
          <w14:ligatures w14:val="none"/>
        </w:rPr>
        <w:t xml:space="preserve">Figure 8: </w:t>
      </w:r>
      <w:r w:rsidR="00196527" w:rsidRPr="00196527">
        <w:rPr>
          <w:rFonts w:asciiTheme="majorBidi" w:eastAsia="Times New Roman" w:hAnsiTheme="majorBidi" w:cstheme="majorBidi"/>
          <w:i/>
          <w:iCs/>
          <w:kern w:val="0"/>
          <w:sz w:val="20"/>
          <w:szCs w:val="20"/>
          <w14:ligatures w14:val="none"/>
        </w:rPr>
        <w:t>Expression Heatmap of Shared Mechanisms. The top shared genes show distinct clustering, separating disease samples (COVID/AD/PD) from healthy controls.</w:t>
      </w:r>
    </w:p>
    <w:p w14:paraId="6B5F9A64" w14:textId="4DB2DF95" w:rsidR="00E66E57" w:rsidRDefault="00E66E57" w:rsidP="00E66E57">
      <w:pPr>
        <w:numPr>
          <w:ilvl w:val="1"/>
          <w:numId w:val="18"/>
        </w:numPr>
        <w:spacing w:before="100" w:beforeAutospacing="1" w:after="100" w:afterAutospacing="1" w:line="360" w:lineRule="auto"/>
        <w:outlineLvl w:val="2"/>
        <w:rPr>
          <w:rFonts w:asciiTheme="majorBidi" w:eastAsia="Times New Roman" w:hAnsiTheme="majorBidi" w:cstheme="majorBidi"/>
          <w:i/>
          <w:iCs/>
          <w:kern w:val="0"/>
          <w:sz w:val="20"/>
          <w:szCs w:val="20"/>
          <w14:ligatures w14:val="none"/>
        </w:rPr>
      </w:pPr>
      <w:r w:rsidRPr="00E66E57">
        <w:rPr>
          <w:rFonts w:asciiTheme="majorBidi" w:eastAsia="Times New Roman" w:hAnsiTheme="majorBidi" w:cstheme="majorBidi"/>
          <w:noProof/>
          <w:kern w:val="0"/>
          <w:sz w:val="24"/>
          <w:szCs w:val="24"/>
          <w14:ligatures w14:val="none"/>
        </w:rPr>
        <w:lastRenderedPageBreak/>
        <w:drawing>
          <wp:inline distT="0" distB="0" distL="0" distR="0" wp14:anchorId="2A71F670" wp14:editId="3E6F81E8">
            <wp:extent cx="5219700" cy="6524625"/>
            <wp:effectExtent l="0" t="0" r="0" b="9525"/>
            <wp:docPr id="1638152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6524625"/>
                    </a:xfrm>
                    <a:prstGeom prst="rect">
                      <a:avLst/>
                    </a:prstGeom>
                    <a:noFill/>
                    <a:ln>
                      <a:noFill/>
                    </a:ln>
                  </pic:spPr>
                </pic:pic>
              </a:graphicData>
            </a:graphic>
          </wp:inline>
        </w:drawing>
      </w:r>
      <w:r>
        <w:rPr>
          <w:rFonts w:asciiTheme="majorBidi" w:eastAsia="Times New Roman" w:hAnsiTheme="majorBidi" w:cstheme="majorBidi"/>
          <w:i/>
          <w:iCs/>
          <w:kern w:val="0"/>
          <w:sz w:val="20"/>
          <w:szCs w:val="20"/>
          <w14:ligatures w14:val="none"/>
        </w:rPr>
        <w:t xml:space="preserve"> </w:t>
      </w:r>
    </w:p>
    <w:p w14:paraId="00661597" w14:textId="27E7316B" w:rsidR="00E66E57" w:rsidRPr="00E66E57" w:rsidRDefault="00E66E57" w:rsidP="00E66E57">
      <w:pPr>
        <w:numPr>
          <w:ilvl w:val="1"/>
          <w:numId w:val="18"/>
        </w:numPr>
        <w:spacing w:before="100" w:beforeAutospacing="1" w:after="100" w:afterAutospacing="1" w:line="360" w:lineRule="auto"/>
        <w:outlineLvl w:val="2"/>
        <w:rPr>
          <w:rFonts w:asciiTheme="majorBidi" w:eastAsia="Times New Roman" w:hAnsiTheme="majorBidi" w:cstheme="majorBidi"/>
          <w:i/>
          <w:iCs/>
          <w:kern w:val="0"/>
          <w:sz w:val="20"/>
          <w:szCs w:val="20"/>
          <w14:ligatures w14:val="none"/>
        </w:rPr>
      </w:pPr>
      <w:r w:rsidRPr="00196527">
        <w:rPr>
          <w:rFonts w:asciiTheme="majorBidi" w:eastAsia="Times New Roman" w:hAnsiTheme="majorBidi" w:cstheme="majorBidi"/>
          <w:b/>
          <w:bCs/>
          <w:kern w:val="0"/>
          <w:sz w:val="20"/>
          <w:szCs w:val="20"/>
          <w14:ligatures w14:val="none"/>
        </w:rPr>
        <w:t xml:space="preserve">Caption: </w:t>
      </w:r>
      <w:r w:rsidRPr="00196527">
        <w:rPr>
          <w:rFonts w:asciiTheme="majorBidi" w:eastAsia="Times New Roman" w:hAnsiTheme="majorBidi" w:cstheme="majorBidi"/>
          <w:b/>
          <w:bCs/>
          <w:i/>
          <w:iCs/>
          <w:kern w:val="0"/>
          <w:sz w:val="20"/>
          <w:szCs w:val="20"/>
          <w14:ligatures w14:val="none"/>
        </w:rPr>
        <w:t xml:space="preserve">Figure </w:t>
      </w:r>
      <w:r w:rsidRPr="00E66E57">
        <w:rPr>
          <w:rFonts w:asciiTheme="majorBidi" w:eastAsia="Times New Roman" w:hAnsiTheme="majorBidi" w:cstheme="majorBidi"/>
          <w:b/>
          <w:bCs/>
          <w:i/>
          <w:iCs/>
          <w:kern w:val="0"/>
          <w:sz w:val="20"/>
          <w:szCs w:val="20"/>
          <w14:ligatures w14:val="none"/>
        </w:rPr>
        <w:t>9</w:t>
      </w:r>
      <w:r w:rsidRPr="00196527">
        <w:rPr>
          <w:rFonts w:asciiTheme="majorBidi" w:eastAsia="Times New Roman" w:hAnsiTheme="majorBidi" w:cstheme="majorBidi"/>
          <w:b/>
          <w:bCs/>
          <w:i/>
          <w:iCs/>
          <w:kern w:val="0"/>
          <w:sz w:val="20"/>
          <w:szCs w:val="20"/>
          <w14:ligatures w14:val="none"/>
        </w:rPr>
        <w:t xml:space="preserve">: </w:t>
      </w:r>
      <w:r w:rsidRPr="00E66E57">
        <w:rPr>
          <w:rFonts w:asciiTheme="majorBidi" w:eastAsia="Times New Roman" w:hAnsiTheme="majorBidi" w:cstheme="majorBidi"/>
          <w:b/>
          <w:bCs/>
          <w:i/>
          <w:iCs/>
          <w:kern w:val="0"/>
          <w:sz w:val="20"/>
          <w:szCs w:val="20"/>
          <w14:ligatures w14:val="none"/>
        </w:rPr>
        <w:t>Prion Pathway Regulation (hsa05020)</w:t>
      </w:r>
      <w:r w:rsidRPr="00E66E57">
        <w:rPr>
          <w:rFonts w:asciiTheme="majorBidi" w:eastAsia="Times New Roman" w:hAnsiTheme="majorBidi" w:cstheme="majorBidi"/>
          <w:i/>
          <w:iCs/>
          <w:kern w:val="0"/>
          <w:sz w:val="20"/>
          <w:szCs w:val="20"/>
          <w14:ligatures w14:val="none"/>
        </w:rPr>
        <w:t xml:space="preserve"> While single-gene analysis in Python showed no direct upregulation of the PRNP gene, targeted KEGG pathway enrichment in R revealed broad dysregulation across </w:t>
      </w:r>
      <w:r w:rsidRPr="00E66E57">
        <w:rPr>
          <w:rFonts w:asciiTheme="majorBidi" w:eastAsia="Times New Roman" w:hAnsiTheme="majorBidi" w:cstheme="majorBidi"/>
          <w:b/>
          <w:bCs/>
          <w:i/>
          <w:iCs/>
          <w:kern w:val="0"/>
          <w:sz w:val="20"/>
          <w:szCs w:val="20"/>
          <w14:ligatures w14:val="none"/>
        </w:rPr>
        <w:t>the Prion Diseases Pathway (hsa05020)</w:t>
      </w:r>
      <w:r w:rsidRPr="00E66E57">
        <w:rPr>
          <w:rFonts w:asciiTheme="majorBidi" w:eastAsia="Times New Roman" w:hAnsiTheme="majorBidi" w:cstheme="majorBidi"/>
          <w:i/>
          <w:iCs/>
          <w:kern w:val="0"/>
          <w:sz w:val="20"/>
          <w:szCs w:val="20"/>
          <w14:ligatures w14:val="none"/>
        </w:rPr>
        <w:t>. The heatmap visualizes a distinct cluster of differentially expressed genes involved in protein folding and stress response.</w:t>
      </w:r>
    </w:p>
    <w:p w14:paraId="6756F0E9" w14:textId="77777777" w:rsidR="00E66E57" w:rsidRPr="00E66E57" w:rsidRDefault="00E66E57" w:rsidP="00E66E57">
      <w:pPr>
        <w:numPr>
          <w:ilvl w:val="1"/>
          <w:numId w:val="18"/>
        </w:numPr>
        <w:spacing w:before="100" w:beforeAutospacing="1" w:after="100" w:afterAutospacing="1" w:line="360" w:lineRule="auto"/>
        <w:jc w:val="both"/>
        <w:outlineLvl w:val="2"/>
        <w:rPr>
          <w:rFonts w:asciiTheme="majorBidi" w:eastAsia="Times New Roman" w:hAnsiTheme="majorBidi" w:cstheme="majorBidi"/>
          <w:i/>
          <w:iCs/>
          <w:kern w:val="0"/>
          <w:sz w:val="20"/>
          <w:szCs w:val="20"/>
          <w14:ligatures w14:val="none"/>
        </w:rPr>
      </w:pPr>
    </w:p>
    <w:p w14:paraId="64A9C440" w14:textId="0D64F730" w:rsidR="00E66E57" w:rsidRPr="00E66E57" w:rsidRDefault="00E66E57" w:rsidP="00E66E57">
      <w:pPr>
        <w:numPr>
          <w:ilvl w:val="1"/>
          <w:numId w:val="18"/>
        </w:numP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E66E57">
        <w:rPr>
          <w:rFonts w:asciiTheme="majorBidi" w:eastAsia="Times New Roman" w:hAnsiTheme="majorBidi" w:cstheme="majorBidi"/>
          <w:i/>
          <w:iCs/>
          <w:kern w:val="0"/>
          <w:sz w:val="20"/>
          <w:szCs w:val="20"/>
          <w14:ligatures w14:val="none"/>
        </w:rPr>
        <w:lastRenderedPageBreak/>
        <w:t xml:space="preserve">This discrepancy suggests that the link between COVID-19 and prion-like pathology is </w:t>
      </w:r>
      <w:r w:rsidRPr="00E66E57">
        <w:rPr>
          <w:rFonts w:asciiTheme="majorBidi" w:eastAsia="Times New Roman" w:hAnsiTheme="majorBidi" w:cstheme="majorBidi"/>
          <w:b/>
          <w:bCs/>
          <w:i/>
          <w:iCs/>
          <w:kern w:val="0"/>
          <w:sz w:val="20"/>
          <w:szCs w:val="20"/>
          <w14:ligatures w14:val="none"/>
        </w:rPr>
        <w:t>indirect and environmental.</w:t>
      </w:r>
      <w:r w:rsidRPr="00E66E57">
        <w:rPr>
          <w:rFonts w:asciiTheme="majorBidi" w:eastAsia="Times New Roman" w:hAnsiTheme="majorBidi" w:cstheme="majorBidi"/>
          <w:i/>
          <w:iCs/>
          <w:kern w:val="0"/>
          <w:sz w:val="20"/>
          <w:szCs w:val="20"/>
          <w14:ligatures w14:val="none"/>
        </w:rPr>
        <w:t xml:space="preserve"> Rather than acting as a direct transcriptional activator of prion proteins, SARS-CoV-2 infection appears to induce a cellular stress environment—characterized by oxidative stress and </w:t>
      </w:r>
      <w:proofErr w:type="spellStart"/>
      <w:r w:rsidRPr="00E66E57">
        <w:rPr>
          <w:rFonts w:asciiTheme="majorBidi" w:eastAsia="Times New Roman" w:hAnsiTheme="majorBidi" w:cstheme="majorBidi"/>
          <w:i/>
          <w:iCs/>
          <w:kern w:val="0"/>
          <w:sz w:val="20"/>
          <w:szCs w:val="20"/>
          <w14:ligatures w14:val="none"/>
        </w:rPr>
        <w:t>proteostatic</w:t>
      </w:r>
      <w:proofErr w:type="spellEnd"/>
      <w:r w:rsidRPr="00E66E57">
        <w:rPr>
          <w:rFonts w:asciiTheme="majorBidi" w:eastAsia="Times New Roman" w:hAnsiTheme="majorBidi" w:cstheme="majorBidi"/>
          <w:i/>
          <w:iCs/>
          <w:kern w:val="0"/>
          <w:sz w:val="20"/>
          <w:szCs w:val="20"/>
          <w14:ligatures w14:val="none"/>
        </w:rPr>
        <w:t xml:space="preserve"> disruption—</w:t>
      </w:r>
      <w:proofErr w:type="gramStart"/>
      <w:r w:rsidRPr="00E66E57">
        <w:rPr>
          <w:rFonts w:asciiTheme="majorBidi" w:eastAsia="Times New Roman" w:hAnsiTheme="majorBidi" w:cstheme="majorBidi"/>
          <w:i/>
          <w:iCs/>
          <w:kern w:val="0"/>
          <w:sz w:val="20"/>
          <w:szCs w:val="20"/>
          <w14:ligatures w14:val="none"/>
        </w:rPr>
        <w:t>that mimics</w:t>
      </w:r>
      <w:proofErr w:type="gramEnd"/>
      <w:r w:rsidRPr="00E66E57">
        <w:rPr>
          <w:rFonts w:asciiTheme="majorBidi" w:eastAsia="Times New Roman" w:hAnsiTheme="majorBidi" w:cstheme="majorBidi"/>
          <w:i/>
          <w:iCs/>
          <w:kern w:val="0"/>
          <w:sz w:val="20"/>
          <w:szCs w:val="20"/>
          <w14:ligatures w14:val="none"/>
        </w:rPr>
        <w:t xml:space="preserve"> the conditions required for prion propagation.</w:t>
      </w:r>
    </w:p>
    <w:p w14:paraId="215F1FAC" w14:textId="77777777" w:rsidR="00E66E57" w:rsidRPr="00196527" w:rsidRDefault="00E66E57" w:rsidP="00E66E57">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p>
    <w:p w14:paraId="6CDED518" w14:textId="5FDABBDE" w:rsidR="00E66E57" w:rsidRPr="00E66E57" w:rsidRDefault="00E66E57" w:rsidP="00E66E57">
      <w:p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p>
    <w:p w14:paraId="1DC41614" w14:textId="6FE01C54" w:rsidR="006D05DD" w:rsidRPr="00196527" w:rsidRDefault="006D05DD" w:rsidP="00196527">
      <w:pPr>
        <w:spacing w:before="100" w:beforeAutospacing="1" w:after="100" w:afterAutospacing="1" w:line="360" w:lineRule="auto"/>
        <w:jc w:val="both"/>
        <w:outlineLvl w:val="2"/>
        <w:rPr>
          <w:rFonts w:asciiTheme="majorBidi" w:eastAsia="Times New Roman" w:hAnsiTheme="majorBidi" w:cstheme="majorBidi"/>
          <w:b/>
          <w:bCs/>
          <w:kern w:val="0"/>
          <w:sz w:val="24"/>
          <w:szCs w:val="24"/>
          <w14:ligatures w14:val="none"/>
        </w:rPr>
      </w:pPr>
      <w:r w:rsidRPr="004A2523">
        <w:rPr>
          <w:rFonts w:asciiTheme="majorBidi" w:eastAsia="Times New Roman" w:hAnsiTheme="majorBidi" w:cstheme="majorBidi"/>
          <w:b/>
          <w:bCs/>
          <w:kern w:val="0"/>
          <w:sz w:val="28"/>
          <w:szCs w:val="28"/>
          <w14:ligatures w14:val="none"/>
        </w:rPr>
        <w:t>5. Discussion</w:t>
      </w:r>
    </w:p>
    <w:p w14:paraId="660F42ED" w14:textId="77777777" w:rsidR="004A647F" w:rsidRPr="004A2523" w:rsidRDefault="004A647F" w:rsidP="004A2523">
      <w:p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kern w:val="0"/>
          <w:sz w:val="24"/>
          <w:szCs w:val="24"/>
          <w14:ligatures w14:val="none"/>
        </w:rPr>
        <w:t>Our Python-based analysis reveals that while COVID-19 does not universally mimic all neurodegenerative profiles, it shares specific, dangerous pathways with both Alzheimer’s and Parkinson’s.</w:t>
      </w:r>
    </w:p>
    <w:p w14:paraId="69033385" w14:textId="71E75084" w:rsidR="004A647F" w:rsidRPr="004A2523" w:rsidRDefault="004A647F" w:rsidP="004A2523">
      <w:p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The Oxidative Stress Link (Parkinson’s):</w:t>
      </w:r>
      <w:r w:rsidRPr="004A2523">
        <w:rPr>
          <w:rFonts w:asciiTheme="majorBidi" w:eastAsia="Times New Roman" w:hAnsiTheme="majorBidi" w:cstheme="majorBidi"/>
          <w:kern w:val="0"/>
          <w:sz w:val="24"/>
          <w:szCs w:val="24"/>
          <w14:ligatures w14:val="none"/>
        </w:rPr>
        <w:t xml:space="preserve"> The detection of </w:t>
      </w:r>
      <w:r w:rsidRPr="004A2523">
        <w:rPr>
          <w:rFonts w:asciiTheme="majorBidi" w:eastAsia="Times New Roman" w:hAnsiTheme="majorBidi" w:cstheme="majorBidi"/>
          <w:b/>
          <w:bCs/>
          <w:kern w:val="0"/>
          <w:sz w:val="24"/>
          <w:szCs w:val="24"/>
          <w14:ligatures w14:val="none"/>
        </w:rPr>
        <w:t>MPO</w:t>
      </w:r>
      <w:r w:rsidRPr="004A2523">
        <w:rPr>
          <w:rFonts w:asciiTheme="majorBidi" w:eastAsia="Times New Roman" w:hAnsiTheme="majorBidi" w:cstheme="majorBidi"/>
          <w:kern w:val="0"/>
          <w:sz w:val="24"/>
          <w:szCs w:val="24"/>
          <w14:ligatures w14:val="none"/>
        </w:rPr>
        <w:t xml:space="preserve"> (Myeloperoxidase) and </w:t>
      </w:r>
      <w:r w:rsidRPr="004A2523">
        <w:rPr>
          <w:rFonts w:asciiTheme="majorBidi" w:eastAsia="Times New Roman" w:hAnsiTheme="majorBidi" w:cstheme="majorBidi"/>
          <w:b/>
          <w:bCs/>
          <w:kern w:val="0"/>
          <w:sz w:val="24"/>
          <w:szCs w:val="24"/>
          <w14:ligatures w14:val="none"/>
        </w:rPr>
        <w:t>LPO</w:t>
      </w:r>
      <w:r w:rsidRPr="004A2523">
        <w:rPr>
          <w:rFonts w:asciiTheme="majorBidi" w:eastAsia="Times New Roman" w:hAnsiTheme="majorBidi" w:cstheme="majorBidi"/>
          <w:kern w:val="0"/>
          <w:sz w:val="24"/>
          <w:szCs w:val="24"/>
          <w14:ligatures w14:val="none"/>
        </w:rPr>
        <w:t xml:space="preserve"> (Lipid Peroxide) in the COVID-19/Parkinson’s connection is an important result. MPO has been shown to induce oxidative stress and inflammation in the Parkinsonian brain. Its overexpression in COVID-19 infections implies the potential induction of an “oxidative burst, which could hasten the death of susceptible dopaminergic neurons in individuals prone to Parkinson’s.</w:t>
      </w:r>
    </w:p>
    <w:p w14:paraId="34F473BE" w14:textId="64B11260" w:rsidR="004A647F" w:rsidRPr="004A2523" w:rsidRDefault="00417F2D" w:rsidP="004A2523">
      <w:p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The Synaptic Link (Alzheimer’s):</w:t>
      </w:r>
      <w:r w:rsidR="004A647F" w:rsidRPr="004A2523">
        <w:rPr>
          <w:rFonts w:asciiTheme="majorBidi" w:eastAsia="Times New Roman" w:hAnsiTheme="majorBidi" w:cstheme="majorBidi"/>
          <w:kern w:val="0"/>
          <w:sz w:val="24"/>
          <w:szCs w:val="24"/>
          <w14:ligatures w14:val="none"/>
        </w:rPr>
        <w:t xml:space="preserve"> The overlap in the disruption of the gene </w:t>
      </w:r>
      <w:r w:rsidR="004A647F" w:rsidRPr="004A2523">
        <w:rPr>
          <w:rFonts w:asciiTheme="majorBidi" w:eastAsia="Times New Roman" w:hAnsiTheme="majorBidi" w:cstheme="majorBidi"/>
          <w:b/>
          <w:bCs/>
          <w:kern w:val="0"/>
          <w:sz w:val="24"/>
          <w:szCs w:val="24"/>
          <w14:ligatures w14:val="none"/>
        </w:rPr>
        <w:t>DOC2A</w:t>
      </w:r>
      <w:r w:rsidR="004A647F" w:rsidRPr="004A2523">
        <w:rPr>
          <w:rFonts w:asciiTheme="majorBidi" w:eastAsia="Times New Roman" w:hAnsiTheme="majorBidi" w:cstheme="majorBidi"/>
          <w:kern w:val="0"/>
          <w:sz w:val="24"/>
          <w:szCs w:val="24"/>
          <w14:ligatures w14:val="none"/>
        </w:rPr>
        <w:t xml:space="preserve"> indicates a point of convergence on the health of the synapses. Because the gene regulates the fusion of vesicles, the disruption of the gene indicates that both COVID-19 and Alzheimer's affect the efficiency of signal transmission in the brain, which may be the underlying cause of the 'brain fog' experienced by people with Long COVID and the cognitive impairment in AD.</w:t>
      </w:r>
    </w:p>
    <w:p w14:paraId="6759DD49" w14:textId="27C74365" w:rsidR="006D05DD" w:rsidRPr="006D05DD" w:rsidRDefault="00417F2D" w:rsidP="004A2523">
      <w:pPr>
        <w:pBdr>
          <w:bottom w:val="single" w:sz="6" w:space="1" w:color="auto"/>
        </w:pBdr>
        <w:spacing w:before="100" w:beforeAutospacing="1" w:after="100" w:afterAutospacing="1" w:line="360" w:lineRule="auto"/>
        <w:jc w:val="both"/>
        <w:outlineLvl w:val="2"/>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Prion Hypothesis:</w:t>
      </w:r>
      <w:r w:rsidRPr="004A2523">
        <w:rPr>
          <w:rFonts w:asciiTheme="majorBidi" w:eastAsia="Times New Roman" w:hAnsiTheme="majorBidi" w:cstheme="majorBidi"/>
          <w:kern w:val="0"/>
          <w:sz w:val="24"/>
          <w:szCs w:val="24"/>
          <w14:ligatures w14:val="none"/>
        </w:rPr>
        <w:t xml:space="preserve"> Our negative result for </w:t>
      </w:r>
      <w:r w:rsidRPr="004A2523">
        <w:rPr>
          <w:rFonts w:asciiTheme="majorBidi" w:eastAsia="Times New Roman" w:hAnsiTheme="majorBidi" w:cstheme="majorBidi"/>
          <w:i/>
          <w:iCs/>
          <w:kern w:val="0"/>
          <w:sz w:val="24"/>
          <w:szCs w:val="24"/>
          <w14:ligatures w14:val="none"/>
        </w:rPr>
        <w:t>PRNP</w:t>
      </w:r>
      <w:r w:rsidRPr="004A2523">
        <w:rPr>
          <w:rFonts w:asciiTheme="majorBidi" w:eastAsia="Times New Roman" w:hAnsiTheme="majorBidi" w:cstheme="majorBidi"/>
          <w:kern w:val="0"/>
          <w:sz w:val="24"/>
          <w:szCs w:val="24"/>
          <w14:ligatures w14:val="none"/>
        </w:rPr>
        <w:t xml:space="preserve"> and </w:t>
      </w:r>
      <w:r w:rsidRPr="004A2523">
        <w:rPr>
          <w:rFonts w:asciiTheme="majorBidi" w:eastAsia="Times New Roman" w:hAnsiTheme="majorBidi" w:cstheme="majorBidi"/>
          <w:i/>
          <w:iCs/>
          <w:kern w:val="0"/>
          <w:sz w:val="24"/>
          <w:szCs w:val="24"/>
          <w14:ligatures w14:val="none"/>
        </w:rPr>
        <w:t>SNCA</w:t>
      </w:r>
      <w:r w:rsidRPr="004A2523">
        <w:rPr>
          <w:rFonts w:asciiTheme="majorBidi" w:eastAsia="Times New Roman" w:hAnsiTheme="majorBidi" w:cstheme="majorBidi"/>
          <w:kern w:val="0"/>
          <w:sz w:val="24"/>
          <w:szCs w:val="24"/>
          <w14:ligatures w14:val="none"/>
        </w:rPr>
        <w:t xml:space="preserve"> provides important nuance. It suggests that if COVID-19 promotes protein misfolding, it likely occurs at the </w:t>
      </w:r>
      <w:r w:rsidRPr="004A2523">
        <w:rPr>
          <w:rFonts w:asciiTheme="majorBidi" w:eastAsia="Times New Roman" w:hAnsiTheme="majorBidi" w:cstheme="majorBidi"/>
          <w:b/>
          <w:bCs/>
          <w:kern w:val="0"/>
          <w:sz w:val="24"/>
          <w:szCs w:val="24"/>
          <w14:ligatures w14:val="none"/>
        </w:rPr>
        <w:t>post-translational protein level</w:t>
      </w:r>
      <w:r w:rsidRPr="004A2523">
        <w:rPr>
          <w:rFonts w:asciiTheme="majorBidi" w:eastAsia="Times New Roman" w:hAnsiTheme="majorBidi" w:cstheme="majorBidi"/>
          <w:kern w:val="0"/>
          <w:sz w:val="24"/>
          <w:szCs w:val="24"/>
          <w14:ligatures w14:val="none"/>
        </w:rPr>
        <w:t xml:space="preserve"> or via indirect environmental stress (like the oxidative stress indicated by MPO), rather than by directly turning on "prion genes" at the transcriptional level.</w:t>
      </w:r>
    </w:p>
    <w:p w14:paraId="6E714AAB" w14:textId="1197B5D7" w:rsidR="006D05DD" w:rsidRPr="004A2523" w:rsidRDefault="006D05DD" w:rsidP="004A2523">
      <w:pPr>
        <w:spacing w:line="360" w:lineRule="auto"/>
        <w:jc w:val="both"/>
        <w:rPr>
          <w:rFonts w:asciiTheme="majorBidi" w:hAnsiTheme="majorBidi" w:cstheme="majorBidi"/>
          <w:b/>
          <w:bCs/>
          <w:sz w:val="28"/>
          <w:szCs w:val="28"/>
        </w:rPr>
      </w:pPr>
      <w:r w:rsidRPr="004A2523">
        <w:rPr>
          <w:rFonts w:asciiTheme="majorBidi" w:hAnsiTheme="majorBidi" w:cstheme="majorBidi"/>
          <w:b/>
          <w:bCs/>
          <w:sz w:val="28"/>
          <w:szCs w:val="28"/>
        </w:rPr>
        <w:t>6. Conclusion</w:t>
      </w:r>
    </w:p>
    <w:p w14:paraId="12391420" w14:textId="77777777" w:rsidR="00E66E57" w:rsidRDefault="00E66E57" w:rsidP="00E66E57">
      <w:pPr>
        <w:pStyle w:val="NormalWeb"/>
        <w:spacing w:line="360" w:lineRule="auto"/>
        <w:jc w:val="both"/>
      </w:pPr>
      <w:r>
        <w:lastRenderedPageBreak/>
        <w:t xml:space="preserve">This study successfully utilized a custom </w:t>
      </w:r>
      <w:proofErr w:type="gramStart"/>
      <w:r>
        <w:t>Multi-Omics</w:t>
      </w:r>
      <w:proofErr w:type="gramEnd"/>
      <w:r>
        <w:t xml:space="preserve"> pipeline (Python &amp; R) to unravel the molecular overlaps between SARS-CoV-2 and neurodegeneration. Based on our comparative transcriptomic analysis, we conclude that:</w:t>
      </w:r>
    </w:p>
    <w:p w14:paraId="32C5DA84" w14:textId="77777777" w:rsidR="00E66E57" w:rsidRDefault="00E66E57" w:rsidP="00E66E57">
      <w:pPr>
        <w:pStyle w:val="NormalWeb"/>
        <w:numPr>
          <w:ilvl w:val="0"/>
          <w:numId w:val="23"/>
        </w:numPr>
        <w:spacing w:line="360" w:lineRule="auto"/>
        <w:jc w:val="both"/>
      </w:pPr>
      <w:r>
        <w:rPr>
          <w:b/>
          <w:bCs/>
        </w:rPr>
        <w:t>COVID-19 shares inflammatory and oxidative pathways with Parkinson’s Disease</w:t>
      </w:r>
      <w:r>
        <w:t xml:space="preserve">, highlighted by the shared expression of </w:t>
      </w:r>
      <w:r>
        <w:rPr>
          <w:b/>
          <w:bCs/>
        </w:rPr>
        <w:t>MPO</w:t>
      </w:r>
      <w:r>
        <w:t xml:space="preserve"> (Myeloperoxidase). </w:t>
      </w:r>
      <w:r>
        <w:rPr>
          <w:rStyle w:val="citation-32"/>
          <w:rFonts w:eastAsiaTheme="majorEastAsia"/>
        </w:rPr>
        <w:t xml:space="preserve">This suggests that viral infection may induce an "oxidative burst" detrimental to dopaminergic neurons. </w:t>
      </w:r>
    </w:p>
    <w:p w14:paraId="6B5CD5B3" w14:textId="77777777" w:rsidR="00E66E57" w:rsidRDefault="00E66E57" w:rsidP="00E66E57">
      <w:pPr>
        <w:pStyle w:val="NormalWeb"/>
        <w:numPr>
          <w:ilvl w:val="0"/>
          <w:numId w:val="23"/>
        </w:numPr>
        <w:spacing w:line="360" w:lineRule="auto"/>
        <w:jc w:val="both"/>
      </w:pPr>
      <w:r>
        <w:rPr>
          <w:b/>
          <w:bCs/>
        </w:rPr>
        <w:t>COVID-19 shares synaptic dysfunction pathways with Alzheimer’s Disease</w:t>
      </w:r>
      <w:r>
        <w:t xml:space="preserve">, highlighted by </w:t>
      </w:r>
      <w:r>
        <w:rPr>
          <w:b/>
          <w:bCs/>
        </w:rPr>
        <w:t>DOC2A</w:t>
      </w:r>
      <w:r>
        <w:t xml:space="preserve">. </w:t>
      </w:r>
      <w:r>
        <w:rPr>
          <w:rStyle w:val="citation-31"/>
          <w:rFonts w:eastAsiaTheme="majorEastAsia"/>
        </w:rPr>
        <w:t xml:space="preserve">This indicates a convergence on synaptic vesicle fusion mechanisms, potentially explaining the "brain fog" and cognitive deficits observed in Long-COVID. </w:t>
      </w:r>
    </w:p>
    <w:p w14:paraId="637F311E" w14:textId="77777777" w:rsidR="00E66E57" w:rsidRDefault="00E66E57" w:rsidP="00E66E57">
      <w:pPr>
        <w:pStyle w:val="NormalWeb"/>
        <w:numPr>
          <w:ilvl w:val="0"/>
          <w:numId w:val="23"/>
        </w:numPr>
        <w:spacing w:line="360" w:lineRule="auto"/>
        <w:jc w:val="both"/>
      </w:pPr>
      <w:r>
        <w:rPr>
          <w:b/>
          <w:bCs/>
        </w:rPr>
        <w:t>Evidence of Indirect Prion-Like Mechanisms:</w:t>
      </w:r>
      <w:r>
        <w:t xml:space="preserve"> Contrary to the "Direct Prion Hypothesis," single-gene analysis found no simple overexpression of </w:t>
      </w:r>
      <w:r>
        <w:rPr>
          <w:i/>
          <w:iCs/>
        </w:rPr>
        <w:t>PRNP</w:t>
      </w:r>
      <w:r>
        <w:t>. However, advanced pathway analysis (R/</w:t>
      </w:r>
      <w:proofErr w:type="spellStart"/>
      <w:r>
        <w:t>limma</w:t>
      </w:r>
      <w:proofErr w:type="spellEnd"/>
      <w:r>
        <w:t xml:space="preserve">) identified systemic dysregulation in the </w:t>
      </w:r>
      <w:r>
        <w:rPr>
          <w:b/>
          <w:bCs/>
        </w:rPr>
        <w:t>Prion Diseases Pathway (hsa05020)</w:t>
      </w:r>
      <w:r>
        <w:t xml:space="preserve">. </w:t>
      </w:r>
      <w:r>
        <w:rPr>
          <w:rStyle w:val="citation-30"/>
          <w:rFonts w:eastAsiaTheme="majorEastAsia"/>
        </w:rPr>
        <w:t xml:space="preserve">This supports a </w:t>
      </w:r>
      <w:r>
        <w:rPr>
          <w:rStyle w:val="citation-30"/>
          <w:rFonts w:eastAsiaTheme="majorEastAsia"/>
          <w:b/>
          <w:bCs/>
        </w:rPr>
        <w:t>"Two-Hit Model"</w:t>
      </w:r>
      <w:r>
        <w:rPr>
          <w:rStyle w:val="citation-30"/>
          <w:rFonts w:eastAsiaTheme="majorEastAsia"/>
        </w:rPr>
        <w:t xml:space="preserve">: SARS-CoV-2 does not directly launch prion diseases but induces a heightened state of cellular stress and protein instability that may accelerate latent neurodegenerative processes. </w:t>
      </w:r>
    </w:p>
    <w:p w14:paraId="6E4E708E" w14:textId="10778423" w:rsidR="00E66E57" w:rsidRDefault="00E66E57" w:rsidP="00E66E57">
      <w:pPr>
        <w:pStyle w:val="NormalWeb"/>
        <w:pBdr>
          <w:bottom w:val="single" w:sz="6" w:space="1" w:color="auto"/>
        </w:pBdr>
        <w:spacing w:line="360" w:lineRule="auto"/>
        <w:jc w:val="both"/>
      </w:pPr>
      <w:r>
        <w:rPr>
          <w:rStyle w:val="citation-29"/>
          <w:rFonts w:eastAsiaTheme="majorEastAsia"/>
        </w:rPr>
        <w:t xml:space="preserve">These results highlight the utility of computational biology in identifying therapeutic targets—such as MPO inhibitors—that could potentially protect the brain during severe viral infections. </w:t>
      </w:r>
    </w:p>
    <w:p w14:paraId="68973020" w14:textId="744F2C96" w:rsidR="00D60EEF" w:rsidRPr="00E66E57" w:rsidRDefault="00D60EEF" w:rsidP="00E66E57">
      <w:pPr>
        <w:pStyle w:val="NormalWeb"/>
        <w:spacing w:line="360" w:lineRule="auto"/>
        <w:jc w:val="both"/>
      </w:pPr>
      <w:r w:rsidRPr="00D60EEF">
        <w:rPr>
          <w:rFonts w:asciiTheme="majorBidi" w:hAnsiTheme="majorBidi" w:cstheme="majorBidi"/>
          <w:b/>
          <w:bCs/>
          <w:kern w:val="36"/>
          <w:sz w:val="28"/>
          <w:szCs w:val="28"/>
        </w:rPr>
        <w:t>7. References</w:t>
      </w:r>
    </w:p>
    <w:p w14:paraId="0B1E3D08" w14:textId="77777777" w:rsidR="00D60EEF" w:rsidRPr="00D60EEF" w:rsidRDefault="00D60EEF" w:rsidP="004A2523">
      <w:pPr>
        <w:spacing w:before="100" w:beforeAutospacing="1" w:after="100" w:afterAutospacing="1" w:line="360" w:lineRule="auto"/>
        <w:outlineLvl w:val="1"/>
        <w:rPr>
          <w:rFonts w:asciiTheme="majorBidi" w:eastAsia="Times New Roman" w:hAnsiTheme="majorBidi" w:cstheme="majorBidi"/>
          <w:b/>
          <w:bCs/>
          <w:kern w:val="0"/>
          <w:sz w:val="24"/>
          <w:szCs w:val="24"/>
          <w14:ligatures w14:val="none"/>
        </w:rPr>
      </w:pPr>
      <w:r w:rsidRPr="00D60EEF">
        <w:rPr>
          <w:rFonts w:asciiTheme="majorBidi" w:eastAsia="Times New Roman" w:hAnsiTheme="majorBidi" w:cstheme="majorBidi"/>
          <w:b/>
          <w:bCs/>
          <w:kern w:val="0"/>
          <w:sz w:val="24"/>
          <w:szCs w:val="24"/>
          <w14:ligatures w14:val="none"/>
        </w:rPr>
        <w:t>7.1 Data Sources</w:t>
      </w:r>
    </w:p>
    <w:p w14:paraId="2218039F" w14:textId="270C71FE" w:rsidR="00D60EEF" w:rsidRPr="00D60EEF" w:rsidRDefault="00D60EEF" w:rsidP="004A2523">
      <w:pPr>
        <w:numPr>
          <w:ilvl w:val="0"/>
          <w:numId w:val="14"/>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Gene Expression Omnibus (GEO).</w:t>
      </w:r>
      <w:r w:rsidRPr="00D60EEF">
        <w:rPr>
          <w:rFonts w:asciiTheme="majorBidi" w:eastAsia="Times New Roman" w:hAnsiTheme="majorBidi" w:cstheme="majorBidi"/>
          <w:kern w:val="0"/>
          <w:sz w:val="24"/>
          <w:szCs w:val="24"/>
          <w14:ligatures w14:val="none"/>
        </w:rPr>
        <w:t xml:space="preserve"> National Center for Biotechnology Information (NCBI).</w:t>
      </w:r>
      <w:r w:rsidRPr="00D60EEF">
        <w:rPr>
          <w:rFonts w:asciiTheme="majorBidi" w:eastAsia="Times New Roman" w:hAnsiTheme="majorBidi" w:cstheme="majorBidi"/>
          <w:kern w:val="0"/>
          <w:sz w:val="24"/>
          <w:szCs w:val="24"/>
          <w14:ligatures w14:val="none"/>
        </w:rPr>
        <w:br/>
      </w:r>
      <w:hyperlink r:id="rId20" w:tgtFrame="_new" w:history="1">
        <w:r w:rsidRPr="00D60EEF">
          <w:rPr>
            <w:rFonts w:asciiTheme="majorBidi" w:eastAsia="Times New Roman" w:hAnsiTheme="majorBidi" w:cstheme="majorBidi"/>
            <w:color w:val="0000FF"/>
            <w:kern w:val="0"/>
            <w:sz w:val="24"/>
            <w:szCs w:val="24"/>
            <w:u w:val="single"/>
            <w14:ligatures w14:val="none"/>
          </w:rPr>
          <w:t>https://www.ncbi.nlm.nih.gov/geo/</w:t>
        </w:r>
      </w:hyperlink>
    </w:p>
    <w:p w14:paraId="0E4FA895" w14:textId="7ACB70B1" w:rsidR="00D60EEF" w:rsidRPr="00D60EEF" w:rsidRDefault="00D60EEF" w:rsidP="004A2523">
      <w:pPr>
        <w:numPr>
          <w:ilvl w:val="0"/>
          <w:numId w:val="14"/>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Overmyer, K. A., et al.</w:t>
      </w:r>
      <w:r w:rsidRPr="00D60EEF">
        <w:rPr>
          <w:rFonts w:asciiTheme="majorBidi" w:eastAsia="Times New Roman" w:hAnsiTheme="majorBidi" w:cstheme="majorBidi"/>
          <w:kern w:val="0"/>
          <w:sz w:val="24"/>
          <w:szCs w:val="24"/>
          <w14:ligatures w14:val="none"/>
        </w:rPr>
        <w:t xml:space="preserve"> (2021). Large-scale multi-</w:t>
      </w:r>
      <w:proofErr w:type="spellStart"/>
      <w:r w:rsidRPr="00D60EEF">
        <w:rPr>
          <w:rFonts w:asciiTheme="majorBidi" w:eastAsia="Times New Roman" w:hAnsiTheme="majorBidi" w:cstheme="majorBidi"/>
          <w:kern w:val="0"/>
          <w:sz w:val="24"/>
          <w:szCs w:val="24"/>
          <w14:ligatures w14:val="none"/>
        </w:rPr>
        <w:t>omic</w:t>
      </w:r>
      <w:proofErr w:type="spellEnd"/>
      <w:r w:rsidRPr="00D60EEF">
        <w:rPr>
          <w:rFonts w:asciiTheme="majorBidi" w:eastAsia="Times New Roman" w:hAnsiTheme="majorBidi" w:cstheme="majorBidi"/>
          <w:kern w:val="0"/>
          <w:sz w:val="24"/>
          <w:szCs w:val="24"/>
          <w14:ligatures w14:val="none"/>
        </w:rPr>
        <w:t xml:space="preserve"> analysis of COVID-19</w:t>
      </w:r>
      <w:r w:rsidR="00EF2DCD">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kern w:val="0"/>
          <w:sz w:val="24"/>
          <w:szCs w:val="24"/>
          <w14:ligatures w14:val="none"/>
        </w:rPr>
        <w:t>severity.</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Cell Systems</w:t>
      </w:r>
      <w:r w:rsidRPr="00D60EEF">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12</w:t>
      </w:r>
      <w:r w:rsidRPr="00D60EEF">
        <w:rPr>
          <w:rFonts w:asciiTheme="majorBidi" w:eastAsia="Times New Roman" w:hAnsiTheme="majorBidi" w:cstheme="majorBidi"/>
          <w:kern w:val="0"/>
          <w:sz w:val="24"/>
          <w:szCs w:val="24"/>
          <w14:ligatures w14:val="none"/>
        </w:rPr>
        <w:t>(1), 23–40.</w:t>
      </w:r>
      <w:r w:rsidRPr="00D60EEF">
        <w:rPr>
          <w:rFonts w:asciiTheme="majorBidi" w:eastAsia="Times New Roman" w:hAnsiTheme="majorBidi" w:cstheme="majorBidi"/>
          <w:kern w:val="0"/>
          <w:sz w:val="24"/>
          <w:szCs w:val="24"/>
          <w14:ligatures w14:val="none"/>
        </w:rPr>
        <w:br/>
        <w:t xml:space="preserve">(Dataset: </w:t>
      </w:r>
      <w:r w:rsidRPr="00D60EEF">
        <w:rPr>
          <w:rFonts w:asciiTheme="majorBidi" w:eastAsia="Times New Roman" w:hAnsiTheme="majorBidi" w:cstheme="majorBidi"/>
          <w:b/>
          <w:bCs/>
          <w:kern w:val="0"/>
          <w:sz w:val="24"/>
          <w:szCs w:val="24"/>
          <w14:ligatures w14:val="none"/>
        </w:rPr>
        <w:t>GSE157103</w:t>
      </w:r>
      <w:r w:rsidRPr="00D60EEF">
        <w:rPr>
          <w:rFonts w:asciiTheme="majorBidi" w:eastAsia="Times New Roman" w:hAnsiTheme="majorBidi" w:cstheme="majorBidi"/>
          <w:kern w:val="0"/>
          <w:sz w:val="24"/>
          <w:szCs w:val="24"/>
          <w14:ligatures w14:val="none"/>
        </w:rPr>
        <w:t>)</w:t>
      </w:r>
    </w:p>
    <w:p w14:paraId="210309FD" w14:textId="57B396A6" w:rsidR="00D60EEF" w:rsidRPr="00D60EEF" w:rsidRDefault="00D60EEF" w:rsidP="004A2523">
      <w:pPr>
        <w:numPr>
          <w:ilvl w:val="0"/>
          <w:numId w:val="14"/>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lastRenderedPageBreak/>
        <w:t xml:space="preserve">    </w:t>
      </w:r>
      <w:r w:rsidRPr="00D60EEF">
        <w:rPr>
          <w:rFonts w:asciiTheme="majorBidi" w:eastAsia="Times New Roman" w:hAnsiTheme="majorBidi" w:cstheme="majorBidi"/>
          <w:b/>
          <w:bCs/>
          <w:kern w:val="0"/>
          <w:sz w:val="24"/>
          <w:szCs w:val="24"/>
          <w14:ligatures w14:val="none"/>
        </w:rPr>
        <w:t>Nativio, R., et al.</w:t>
      </w:r>
      <w:r w:rsidRPr="00D60EEF">
        <w:rPr>
          <w:rFonts w:asciiTheme="majorBidi" w:eastAsia="Times New Roman" w:hAnsiTheme="majorBidi" w:cstheme="majorBidi"/>
          <w:kern w:val="0"/>
          <w:sz w:val="24"/>
          <w:szCs w:val="24"/>
          <w14:ligatures w14:val="none"/>
        </w:rPr>
        <w:t xml:space="preserve"> (2020). An integrated multi-omics approach identifies epigenetic alterations associated with Alzheimer’s disease.</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Nature Genetics</w:t>
      </w:r>
      <w:r w:rsidRPr="00D60EEF">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52</w:t>
      </w:r>
      <w:r w:rsidRPr="00D60EEF">
        <w:rPr>
          <w:rFonts w:asciiTheme="majorBidi" w:eastAsia="Times New Roman" w:hAnsiTheme="majorBidi" w:cstheme="majorBidi"/>
          <w:kern w:val="0"/>
          <w:sz w:val="24"/>
          <w:szCs w:val="24"/>
          <w14:ligatures w14:val="none"/>
        </w:rPr>
        <w:t>, 1024–1035.</w:t>
      </w:r>
      <w:r w:rsidRPr="00D60EEF">
        <w:rPr>
          <w:rFonts w:asciiTheme="majorBidi" w:eastAsia="Times New Roman" w:hAnsiTheme="majorBidi" w:cstheme="majorBidi"/>
          <w:kern w:val="0"/>
          <w:sz w:val="24"/>
          <w:szCs w:val="24"/>
          <w14:ligatures w14:val="none"/>
        </w:rPr>
        <w:br/>
        <w:t xml:space="preserve">(Dataset: </w:t>
      </w:r>
      <w:r w:rsidRPr="00D60EEF">
        <w:rPr>
          <w:rFonts w:asciiTheme="majorBidi" w:eastAsia="Times New Roman" w:hAnsiTheme="majorBidi" w:cstheme="majorBidi"/>
          <w:b/>
          <w:bCs/>
          <w:kern w:val="0"/>
          <w:sz w:val="24"/>
          <w:szCs w:val="24"/>
          <w14:ligatures w14:val="none"/>
        </w:rPr>
        <w:t>GSE159699</w:t>
      </w:r>
      <w:r w:rsidRPr="00D60EEF">
        <w:rPr>
          <w:rFonts w:asciiTheme="majorBidi" w:eastAsia="Times New Roman" w:hAnsiTheme="majorBidi" w:cstheme="majorBidi"/>
          <w:kern w:val="0"/>
          <w:sz w:val="24"/>
          <w:szCs w:val="24"/>
          <w14:ligatures w14:val="none"/>
        </w:rPr>
        <w:t>)</w:t>
      </w:r>
    </w:p>
    <w:p w14:paraId="0CA2E8AF" w14:textId="44E1DE76" w:rsidR="00D60EEF" w:rsidRPr="00D60EEF" w:rsidRDefault="00D60EEF" w:rsidP="004A2523">
      <w:pPr>
        <w:numPr>
          <w:ilvl w:val="0"/>
          <w:numId w:val="14"/>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Dumitriu, A., et al.</w:t>
      </w:r>
      <w:r w:rsidRPr="00D60EEF">
        <w:rPr>
          <w:rFonts w:asciiTheme="majorBidi" w:eastAsia="Times New Roman" w:hAnsiTheme="majorBidi" w:cstheme="majorBidi"/>
          <w:kern w:val="0"/>
          <w:sz w:val="24"/>
          <w:szCs w:val="24"/>
          <w14:ligatures w14:val="none"/>
        </w:rPr>
        <w:t xml:space="preserve"> (2016). Gene expression profiling of the substantia nigra in Parkinson’s disease.</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Gene Expression Omnibus</w:t>
      </w:r>
      <w:r w:rsidRPr="00D60EEF">
        <w:rPr>
          <w:rFonts w:asciiTheme="majorBidi" w:eastAsia="Times New Roman" w:hAnsiTheme="majorBidi" w:cstheme="majorBidi"/>
          <w:kern w:val="0"/>
          <w:sz w:val="24"/>
          <w:szCs w:val="24"/>
          <w14:ligatures w14:val="none"/>
        </w:rPr>
        <w:t>.</w:t>
      </w:r>
      <w:r w:rsidRPr="00D60EEF">
        <w:rPr>
          <w:rFonts w:asciiTheme="majorBidi" w:eastAsia="Times New Roman" w:hAnsiTheme="majorBidi" w:cstheme="majorBidi"/>
          <w:kern w:val="0"/>
          <w:sz w:val="24"/>
          <w:szCs w:val="24"/>
          <w14:ligatures w14:val="none"/>
        </w:rPr>
        <w:br/>
        <w:t xml:space="preserve">(Dataset: </w:t>
      </w:r>
      <w:r w:rsidRPr="00D60EEF">
        <w:rPr>
          <w:rFonts w:asciiTheme="majorBidi" w:eastAsia="Times New Roman" w:hAnsiTheme="majorBidi" w:cstheme="majorBidi"/>
          <w:b/>
          <w:bCs/>
          <w:kern w:val="0"/>
          <w:sz w:val="24"/>
          <w:szCs w:val="24"/>
          <w14:ligatures w14:val="none"/>
        </w:rPr>
        <w:t>GSE68719</w:t>
      </w:r>
      <w:r w:rsidRPr="00D60EEF">
        <w:rPr>
          <w:rFonts w:asciiTheme="majorBidi" w:eastAsia="Times New Roman" w:hAnsiTheme="majorBidi" w:cstheme="majorBidi"/>
          <w:kern w:val="0"/>
          <w:sz w:val="24"/>
          <w:szCs w:val="24"/>
          <w14:ligatures w14:val="none"/>
        </w:rPr>
        <w:t>)</w:t>
      </w:r>
    </w:p>
    <w:p w14:paraId="60C536C6" w14:textId="77777777" w:rsidR="00D60EEF" w:rsidRPr="00D60EEF" w:rsidRDefault="00000000" w:rsidP="004A2523">
      <w:pPr>
        <w:spacing w:after="0" w:line="36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pict w14:anchorId="4150C16E">
          <v:rect id="_x0000_i1025" style="width:0;height:1.5pt" o:hralign="center" o:hrstd="t" o:hr="t" fillcolor="#a0a0a0" stroked="f"/>
        </w:pict>
      </w:r>
    </w:p>
    <w:p w14:paraId="08D3226C" w14:textId="4B118E2D" w:rsidR="00D60EEF" w:rsidRPr="00D60EEF" w:rsidRDefault="00D60EEF" w:rsidP="004A2523">
      <w:pPr>
        <w:spacing w:before="100" w:beforeAutospacing="1" w:after="100" w:afterAutospacing="1" w:line="360" w:lineRule="auto"/>
        <w:outlineLvl w:val="1"/>
        <w:rPr>
          <w:rFonts w:asciiTheme="majorBidi" w:eastAsia="Times New Roman" w:hAnsiTheme="majorBidi" w:cstheme="majorBidi"/>
          <w:b/>
          <w:bCs/>
          <w:kern w:val="0"/>
          <w:sz w:val="24"/>
          <w:szCs w:val="24"/>
          <w14:ligatures w14:val="none"/>
        </w:rPr>
      </w:pPr>
      <w:r w:rsidRPr="00D60EEF">
        <w:rPr>
          <w:rFonts w:asciiTheme="majorBidi" w:eastAsia="Times New Roman" w:hAnsiTheme="majorBidi" w:cstheme="majorBidi"/>
          <w:b/>
          <w:bCs/>
          <w:kern w:val="0"/>
          <w:sz w:val="24"/>
          <w:szCs w:val="24"/>
          <w14:ligatures w14:val="none"/>
        </w:rPr>
        <w:t>7.2 Bioinformatics and Data Analysis Methodology</w:t>
      </w:r>
    </w:p>
    <w:p w14:paraId="26DC5091" w14:textId="2B3E2190" w:rsidR="00D60EEF" w:rsidRPr="00D60EEF" w:rsidRDefault="00D60EEF" w:rsidP="004A2523">
      <w:pPr>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McKinney, W.</w:t>
      </w:r>
      <w:r w:rsidRPr="00D60EEF">
        <w:rPr>
          <w:rFonts w:asciiTheme="majorBidi" w:eastAsia="Times New Roman" w:hAnsiTheme="majorBidi" w:cstheme="majorBidi"/>
          <w:kern w:val="0"/>
          <w:sz w:val="24"/>
          <w:szCs w:val="24"/>
          <w14:ligatures w14:val="none"/>
        </w:rPr>
        <w:t xml:space="preserve"> (2010). Data structures for statistical computing in Python.</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Proceedings of the 9th Python in Science Conference</w:t>
      </w:r>
      <w:r w:rsidRPr="00D60EEF">
        <w:rPr>
          <w:rFonts w:asciiTheme="majorBidi" w:eastAsia="Times New Roman" w:hAnsiTheme="majorBidi" w:cstheme="majorBidi"/>
          <w:kern w:val="0"/>
          <w:sz w:val="24"/>
          <w:szCs w:val="24"/>
          <w14:ligatures w14:val="none"/>
        </w:rPr>
        <w:t>, 51–56.</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(Used for data manipulation via pandas).</w:t>
      </w:r>
    </w:p>
    <w:p w14:paraId="6D0BA184" w14:textId="670E5188" w:rsidR="00D60EEF" w:rsidRPr="00D60EEF" w:rsidRDefault="00D60EEF" w:rsidP="004A2523">
      <w:pPr>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Virtanen, P., et al.</w:t>
      </w:r>
      <w:r w:rsidRPr="00D60EEF">
        <w:rPr>
          <w:rFonts w:asciiTheme="majorBidi" w:eastAsia="Times New Roman" w:hAnsiTheme="majorBidi" w:cstheme="majorBidi"/>
          <w:kern w:val="0"/>
          <w:sz w:val="24"/>
          <w:szCs w:val="24"/>
          <w14:ligatures w14:val="none"/>
        </w:rPr>
        <w:t xml:space="preserve"> (2020). SciPy 1.0: Fundamental algorithms for scientific computing in Python.</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Nature Methods</w:t>
      </w:r>
      <w:r w:rsidRPr="00D60EEF">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17</w:t>
      </w:r>
      <w:r w:rsidRPr="00D60EEF">
        <w:rPr>
          <w:rFonts w:asciiTheme="majorBidi" w:eastAsia="Times New Roman" w:hAnsiTheme="majorBidi" w:cstheme="majorBidi"/>
          <w:kern w:val="0"/>
          <w:sz w:val="24"/>
          <w:szCs w:val="24"/>
          <w14:ligatures w14:val="none"/>
        </w:rPr>
        <w:t>, 261–272.</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(Used for statistical testing, including t-tests).</w:t>
      </w:r>
    </w:p>
    <w:p w14:paraId="724032CC" w14:textId="50D3E713" w:rsidR="00D60EEF" w:rsidRPr="00D60EEF" w:rsidRDefault="00D60EEF" w:rsidP="004A2523">
      <w:pPr>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Pedregosa, F., et al.</w:t>
      </w:r>
      <w:r w:rsidRPr="00D60EEF">
        <w:rPr>
          <w:rFonts w:asciiTheme="majorBidi" w:eastAsia="Times New Roman" w:hAnsiTheme="majorBidi" w:cstheme="majorBidi"/>
          <w:kern w:val="0"/>
          <w:sz w:val="24"/>
          <w:szCs w:val="24"/>
          <w14:ligatures w14:val="none"/>
        </w:rPr>
        <w:t xml:space="preserve"> (2011). Scikit-learn: Machine learning in Python.</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Journal of Machine Learning Research</w:t>
      </w:r>
      <w:r w:rsidRPr="00D60EEF">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12</w:t>
      </w:r>
      <w:r w:rsidRPr="00D60EEF">
        <w:rPr>
          <w:rFonts w:asciiTheme="majorBidi" w:eastAsia="Times New Roman" w:hAnsiTheme="majorBidi" w:cstheme="majorBidi"/>
          <w:kern w:val="0"/>
          <w:sz w:val="24"/>
          <w:szCs w:val="24"/>
          <w14:ligatures w14:val="none"/>
        </w:rPr>
        <w:t>, 2825–2830.</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(Used for dimensionality reduction and exploratory analysis such as PCA).</w:t>
      </w:r>
    </w:p>
    <w:p w14:paraId="23E9A10A" w14:textId="6EEAE7B8" w:rsidR="00D60EEF" w:rsidRPr="00477CCB" w:rsidRDefault="00D60EEF" w:rsidP="004A2523">
      <w:pPr>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A2523">
        <w:rPr>
          <w:rFonts w:asciiTheme="majorBidi" w:eastAsia="Times New Roman" w:hAnsiTheme="majorBidi" w:cstheme="majorBidi"/>
          <w:b/>
          <w:bCs/>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Hunter, J. D.</w:t>
      </w:r>
      <w:r w:rsidRPr="00D60EEF">
        <w:rPr>
          <w:rFonts w:asciiTheme="majorBidi" w:eastAsia="Times New Roman" w:hAnsiTheme="majorBidi" w:cstheme="majorBidi"/>
          <w:kern w:val="0"/>
          <w:sz w:val="24"/>
          <w:szCs w:val="24"/>
          <w14:ligatures w14:val="none"/>
        </w:rPr>
        <w:t xml:space="preserve"> (2007). Matplotlib: A 2D graphics environment.</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Computing in Science &amp; Engineering</w:t>
      </w:r>
      <w:r w:rsidRPr="00D60EEF">
        <w:rPr>
          <w:rFonts w:asciiTheme="majorBidi" w:eastAsia="Times New Roman" w:hAnsiTheme="majorBidi" w:cstheme="majorBidi"/>
          <w:kern w:val="0"/>
          <w:sz w:val="24"/>
          <w:szCs w:val="24"/>
          <w14:ligatures w14:val="none"/>
        </w:rPr>
        <w:t xml:space="preserve">, </w:t>
      </w:r>
      <w:r w:rsidRPr="00D60EEF">
        <w:rPr>
          <w:rFonts w:asciiTheme="majorBidi" w:eastAsia="Times New Roman" w:hAnsiTheme="majorBidi" w:cstheme="majorBidi"/>
          <w:b/>
          <w:bCs/>
          <w:kern w:val="0"/>
          <w:sz w:val="24"/>
          <w:szCs w:val="24"/>
          <w14:ligatures w14:val="none"/>
        </w:rPr>
        <w:t>9</w:t>
      </w:r>
      <w:r w:rsidRPr="00D60EEF">
        <w:rPr>
          <w:rFonts w:asciiTheme="majorBidi" w:eastAsia="Times New Roman" w:hAnsiTheme="majorBidi" w:cstheme="majorBidi"/>
          <w:kern w:val="0"/>
          <w:sz w:val="24"/>
          <w:szCs w:val="24"/>
          <w14:ligatures w14:val="none"/>
        </w:rPr>
        <w:t>(3), 90–95.</w:t>
      </w:r>
      <w:r w:rsidRPr="00D60EEF">
        <w:rPr>
          <w:rFonts w:asciiTheme="majorBidi" w:eastAsia="Times New Roman" w:hAnsiTheme="majorBidi" w:cstheme="majorBidi"/>
          <w:kern w:val="0"/>
          <w:sz w:val="24"/>
          <w:szCs w:val="24"/>
          <w14:ligatures w14:val="none"/>
        </w:rPr>
        <w:br/>
      </w:r>
      <w:r w:rsidRPr="00D60EEF">
        <w:rPr>
          <w:rFonts w:asciiTheme="majorBidi" w:eastAsia="Times New Roman" w:hAnsiTheme="majorBidi" w:cstheme="majorBidi"/>
          <w:i/>
          <w:iCs/>
          <w:kern w:val="0"/>
          <w:sz w:val="24"/>
          <w:szCs w:val="24"/>
          <w14:ligatures w14:val="none"/>
        </w:rPr>
        <w:t>(Used for data visualization).</w:t>
      </w:r>
    </w:p>
    <w:p w14:paraId="1AE0DF88" w14:textId="409A532D" w:rsidR="00477CCB" w:rsidRDefault="00477CCB" w:rsidP="00477CCB">
      <w:pPr>
        <w:pStyle w:val="NormalWeb"/>
        <w:numPr>
          <w:ilvl w:val="0"/>
          <w:numId w:val="15"/>
        </w:numPr>
        <w:spacing w:line="360" w:lineRule="auto"/>
      </w:pPr>
      <w:r>
        <w:rPr>
          <w:rFonts w:hAnsi="Symbol"/>
        </w:rPr>
        <w:t xml:space="preserve">    </w:t>
      </w:r>
      <w:r w:rsidRPr="00477CCB">
        <w:rPr>
          <w:b/>
          <w:bCs/>
        </w:rPr>
        <w:t>Ritchie, M. E</w:t>
      </w:r>
      <w:r>
        <w:rPr>
          <w:i/>
          <w:iCs/>
        </w:rPr>
        <w:t xml:space="preserve">., </w:t>
      </w:r>
      <w:r w:rsidRPr="00477CCB">
        <w:t>et al. (2015).</w:t>
      </w:r>
      <w:r>
        <w:rPr>
          <w:i/>
          <w:iCs/>
        </w:rPr>
        <w:t xml:space="preserve"> </w:t>
      </w:r>
      <w:proofErr w:type="spellStart"/>
      <w:r w:rsidRPr="00477CCB">
        <w:t>limma</w:t>
      </w:r>
      <w:proofErr w:type="spellEnd"/>
      <w:r w:rsidRPr="00477CCB">
        <w:t xml:space="preserve"> powers differential expression analyses for RNA-sequencing and microarray studies</w:t>
      </w:r>
      <w:r>
        <w:rPr>
          <w:i/>
          <w:iCs/>
        </w:rPr>
        <w:t>. Nucleic Acids Research, 43(7), e47.</w:t>
      </w:r>
    </w:p>
    <w:p w14:paraId="33C24934" w14:textId="0235058F" w:rsidR="00477CCB" w:rsidRPr="00477CCB" w:rsidRDefault="00477CCB" w:rsidP="00477CCB">
      <w:pPr>
        <w:pStyle w:val="NormalWeb"/>
        <w:numPr>
          <w:ilvl w:val="0"/>
          <w:numId w:val="15"/>
        </w:numPr>
        <w:spacing w:line="360" w:lineRule="auto"/>
      </w:pPr>
      <w:r>
        <w:rPr>
          <w:rFonts w:hAnsi="Symbol"/>
        </w:rPr>
        <w:t xml:space="preserve">     </w:t>
      </w:r>
      <w:r w:rsidRPr="00477CCB">
        <w:rPr>
          <w:b/>
          <w:bCs/>
        </w:rPr>
        <w:t>Robinson, M. D</w:t>
      </w:r>
      <w:r>
        <w:rPr>
          <w:i/>
          <w:iCs/>
        </w:rPr>
        <w:t xml:space="preserve">., </w:t>
      </w:r>
      <w:r w:rsidRPr="00477CCB">
        <w:t>McCarthy, D. J., &amp; Smyth, G. K. (2010</w:t>
      </w:r>
      <w:r>
        <w:rPr>
          <w:i/>
          <w:iCs/>
        </w:rPr>
        <w:t xml:space="preserve">). </w:t>
      </w:r>
      <w:proofErr w:type="spellStart"/>
      <w:r w:rsidRPr="00477CCB">
        <w:t>edgeR</w:t>
      </w:r>
      <w:proofErr w:type="spellEnd"/>
      <w:r w:rsidRPr="00477CCB">
        <w:t xml:space="preserve">: a Bioconductor package for differential expression analysis of digital gene expression data. </w:t>
      </w:r>
      <w:r>
        <w:rPr>
          <w:i/>
          <w:iCs/>
        </w:rPr>
        <w:t>Bioinformatics, 26(1), 139-140.</w:t>
      </w:r>
    </w:p>
    <w:p w14:paraId="54D3C9E2" w14:textId="77777777" w:rsidR="00D60EEF" w:rsidRPr="00D60EEF" w:rsidRDefault="00000000" w:rsidP="004A2523">
      <w:pPr>
        <w:spacing w:after="0" w:line="36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kern w:val="0"/>
          <w:sz w:val="24"/>
          <w:szCs w:val="24"/>
          <w14:ligatures w14:val="none"/>
        </w:rPr>
        <w:lastRenderedPageBreak/>
        <w:pict w14:anchorId="52196084">
          <v:rect id="_x0000_i1026" style="width:0;height:1.5pt" o:hralign="center" o:hrstd="t" o:hr="t" fillcolor="#a0a0a0" stroked="f"/>
        </w:pict>
      </w:r>
    </w:p>
    <w:p w14:paraId="624F5142" w14:textId="726250AF" w:rsidR="00477CCB" w:rsidRPr="00477CCB" w:rsidRDefault="00D60EEF" w:rsidP="00477CCB">
      <w:pPr>
        <w:pStyle w:val="ListParagraph"/>
        <w:numPr>
          <w:ilvl w:val="1"/>
          <w:numId w:val="22"/>
        </w:numPr>
        <w:spacing w:before="100" w:beforeAutospacing="1" w:after="100" w:afterAutospacing="1" w:line="360" w:lineRule="auto"/>
        <w:outlineLvl w:val="1"/>
        <w:rPr>
          <w:rFonts w:asciiTheme="majorBidi" w:eastAsia="Times New Roman" w:hAnsiTheme="majorBidi" w:cstheme="majorBidi"/>
          <w:b/>
          <w:bCs/>
          <w:kern w:val="0"/>
          <w:sz w:val="24"/>
          <w:szCs w:val="24"/>
          <w14:ligatures w14:val="none"/>
        </w:rPr>
      </w:pPr>
      <w:r w:rsidRPr="00477CCB">
        <w:rPr>
          <w:rFonts w:asciiTheme="majorBidi" w:eastAsia="Times New Roman" w:hAnsiTheme="majorBidi" w:cstheme="majorBidi"/>
          <w:b/>
          <w:bCs/>
          <w:kern w:val="0"/>
          <w:sz w:val="24"/>
          <w:szCs w:val="24"/>
          <w14:ligatures w14:val="none"/>
        </w:rPr>
        <w:t>Literature Review: COVID-19 and Neurodegeneration</w:t>
      </w:r>
    </w:p>
    <w:p w14:paraId="5890C93F" w14:textId="2DCC654F" w:rsidR="00D60EEF" w:rsidRPr="00477CCB" w:rsidRDefault="00D60EEF" w:rsidP="00477CCB">
      <w:pPr>
        <w:pStyle w:val="ListParagraph"/>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77CCB">
        <w:rPr>
          <w:rFonts w:asciiTheme="majorBidi" w:eastAsia="Times New Roman" w:hAnsiTheme="majorBidi" w:cstheme="majorBidi"/>
          <w:b/>
          <w:bCs/>
          <w:kern w:val="0"/>
          <w:sz w:val="24"/>
          <w:szCs w:val="24"/>
          <w14:ligatures w14:val="none"/>
        </w:rPr>
        <w:t>Al-Aly, Z., Xie, Y., &amp; Bowe, B.</w:t>
      </w:r>
      <w:r w:rsidRPr="00477CCB">
        <w:rPr>
          <w:rFonts w:asciiTheme="majorBidi" w:eastAsia="Times New Roman" w:hAnsiTheme="majorBidi" w:cstheme="majorBidi"/>
          <w:kern w:val="0"/>
          <w:sz w:val="24"/>
          <w:szCs w:val="24"/>
          <w14:ligatures w14:val="none"/>
        </w:rPr>
        <w:t xml:space="preserve"> (2021). High-dimensional characterization of post-acute sequelae of COVID-19.</w:t>
      </w:r>
      <w:r w:rsidRPr="00477CCB">
        <w:rPr>
          <w:rFonts w:asciiTheme="majorBidi" w:eastAsia="Times New Roman" w:hAnsiTheme="majorBidi" w:cstheme="majorBidi"/>
          <w:kern w:val="0"/>
          <w:sz w:val="24"/>
          <w:szCs w:val="24"/>
          <w14:ligatures w14:val="none"/>
        </w:rPr>
        <w:br/>
      </w:r>
      <w:r w:rsidRPr="00477CCB">
        <w:rPr>
          <w:rFonts w:asciiTheme="majorBidi" w:eastAsia="Times New Roman" w:hAnsiTheme="majorBidi" w:cstheme="majorBidi"/>
          <w:i/>
          <w:iCs/>
          <w:kern w:val="0"/>
          <w:sz w:val="24"/>
          <w:szCs w:val="24"/>
          <w14:ligatures w14:val="none"/>
        </w:rPr>
        <w:t>Nature</w:t>
      </w:r>
      <w:r w:rsidRPr="00477CCB">
        <w:rPr>
          <w:rFonts w:asciiTheme="majorBidi" w:eastAsia="Times New Roman" w:hAnsiTheme="majorBidi" w:cstheme="majorBidi"/>
          <w:kern w:val="0"/>
          <w:sz w:val="24"/>
          <w:szCs w:val="24"/>
          <w14:ligatures w14:val="none"/>
        </w:rPr>
        <w:t xml:space="preserve">, </w:t>
      </w:r>
      <w:r w:rsidRPr="00477CCB">
        <w:rPr>
          <w:rFonts w:asciiTheme="majorBidi" w:eastAsia="Times New Roman" w:hAnsiTheme="majorBidi" w:cstheme="majorBidi"/>
          <w:b/>
          <w:bCs/>
          <w:kern w:val="0"/>
          <w:sz w:val="24"/>
          <w:szCs w:val="24"/>
          <w14:ligatures w14:val="none"/>
        </w:rPr>
        <w:t>594</w:t>
      </w:r>
      <w:r w:rsidRPr="00477CCB">
        <w:rPr>
          <w:rFonts w:asciiTheme="majorBidi" w:eastAsia="Times New Roman" w:hAnsiTheme="majorBidi" w:cstheme="majorBidi"/>
          <w:kern w:val="0"/>
          <w:sz w:val="24"/>
          <w:szCs w:val="24"/>
          <w14:ligatures w14:val="none"/>
        </w:rPr>
        <w:t>(7862), 259–264.</w:t>
      </w:r>
    </w:p>
    <w:p w14:paraId="458551E6" w14:textId="1A3AC7BA" w:rsidR="00D60EEF" w:rsidRPr="00477CCB" w:rsidRDefault="00D60EEF" w:rsidP="00477CCB">
      <w:pPr>
        <w:pStyle w:val="ListParagraph"/>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77CCB">
        <w:rPr>
          <w:rFonts w:asciiTheme="majorBidi" w:eastAsia="Times New Roman" w:hAnsiTheme="majorBidi" w:cstheme="majorBidi"/>
          <w:b/>
          <w:bCs/>
          <w:kern w:val="0"/>
          <w:sz w:val="24"/>
          <w:szCs w:val="24"/>
          <w14:ligatures w14:val="none"/>
        </w:rPr>
        <w:t xml:space="preserve">Boldrini, M., </w:t>
      </w:r>
      <w:proofErr w:type="spellStart"/>
      <w:r w:rsidRPr="00477CCB">
        <w:rPr>
          <w:rFonts w:asciiTheme="majorBidi" w:eastAsia="Times New Roman" w:hAnsiTheme="majorBidi" w:cstheme="majorBidi"/>
          <w:b/>
          <w:bCs/>
          <w:kern w:val="0"/>
          <w:sz w:val="24"/>
          <w:szCs w:val="24"/>
          <w14:ligatures w14:val="none"/>
        </w:rPr>
        <w:t>Canoll</w:t>
      </w:r>
      <w:proofErr w:type="spellEnd"/>
      <w:r w:rsidRPr="00477CCB">
        <w:rPr>
          <w:rFonts w:asciiTheme="majorBidi" w:eastAsia="Times New Roman" w:hAnsiTheme="majorBidi" w:cstheme="majorBidi"/>
          <w:b/>
          <w:bCs/>
          <w:kern w:val="0"/>
          <w:sz w:val="24"/>
          <w:szCs w:val="24"/>
          <w14:ligatures w14:val="none"/>
        </w:rPr>
        <w:t>, P. D., &amp; Klein, R. S.</w:t>
      </w:r>
      <w:r w:rsidRPr="00477CCB">
        <w:rPr>
          <w:rFonts w:asciiTheme="majorBidi" w:eastAsia="Times New Roman" w:hAnsiTheme="majorBidi" w:cstheme="majorBidi"/>
          <w:kern w:val="0"/>
          <w:sz w:val="24"/>
          <w:szCs w:val="24"/>
          <w14:ligatures w14:val="none"/>
        </w:rPr>
        <w:t xml:space="preserve"> (2021). How COVID-19 affects the brain.</w:t>
      </w:r>
      <w:r w:rsidRPr="00477CCB">
        <w:rPr>
          <w:rFonts w:asciiTheme="majorBidi" w:eastAsia="Times New Roman" w:hAnsiTheme="majorBidi" w:cstheme="majorBidi"/>
          <w:kern w:val="0"/>
          <w:sz w:val="24"/>
          <w:szCs w:val="24"/>
          <w14:ligatures w14:val="none"/>
        </w:rPr>
        <w:br/>
      </w:r>
      <w:r w:rsidRPr="00477CCB">
        <w:rPr>
          <w:rFonts w:asciiTheme="majorBidi" w:eastAsia="Times New Roman" w:hAnsiTheme="majorBidi" w:cstheme="majorBidi"/>
          <w:i/>
          <w:iCs/>
          <w:kern w:val="0"/>
          <w:sz w:val="24"/>
          <w:szCs w:val="24"/>
          <w14:ligatures w14:val="none"/>
        </w:rPr>
        <w:t>JAMA Psychiatry</w:t>
      </w:r>
      <w:r w:rsidRPr="00477CCB">
        <w:rPr>
          <w:rFonts w:asciiTheme="majorBidi" w:eastAsia="Times New Roman" w:hAnsiTheme="majorBidi" w:cstheme="majorBidi"/>
          <w:kern w:val="0"/>
          <w:sz w:val="24"/>
          <w:szCs w:val="24"/>
          <w14:ligatures w14:val="none"/>
        </w:rPr>
        <w:t xml:space="preserve">, </w:t>
      </w:r>
      <w:r w:rsidRPr="00477CCB">
        <w:rPr>
          <w:rFonts w:asciiTheme="majorBidi" w:eastAsia="Times New Roman" w:hAnsiTheme="majorBidi" w:cstheme="majorBidi"/>
          <w:b/>
          <w:bCs/>
          <w:kern w:val="0"/>
          <w:sz w:val="24"/>
          <w:szCs w:val="24"/>
          <w14:ligatures w14:val="none"/>
        </w:rPr>
        <w:t>78</w:t>
      </w:r>
      <w:r w:rsidRPr="00477CCB">
        <w:rPr>
          <w:rFonts w:asciiTheme="majorBidi" w:eastAsia="Times New Roman" w:hAnsiTheme="majorBidi" w:cstheme="majorBidi"/>
          <w:kern w:val="0"/>
          <w:sz w:val="24"/>
          <w:szCs w:val="24"/>
          <w14:ligatures w14:val="none"/>
        </w:rPr>
        <w:t>(6), 682–683.</w:t>
      </w:r>
    </w:p>
    <w:p w14:paraId="26A3C07E" w14:textId="334D5F9F" w:rsidR="00D60EEF" w:rsidRPr="00477CCB" w:rsidRDefault="00D60EEF" w:rsidP="00477CCB">
      <w:pPr>
        <w:pStyle w:val="ListParagraph"/>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proofErr w:type="spellStart"/>
      <w:r w:rsidRPr="00477CCB">
        <w:rPr>
          <w:rFonts w:asciiTheme="majorBidi" w:eastAsia="Times New Roman" w:hAnsiTheme="majorBidi" w:cstheme="majorBidi"/>
          <w:b/>
          <w:bCs/>
          <w:kern w:val="0"/>
          <w:sz w:val="24"/>
          <w:szCs w:val="24"/>
          <w14:ligatures w14:val="none"/>
        </w:rPr>
        <w:t>Tavassoly</w:t>
      </w:r>
      <w:proofErr w:type="spellEnd"/>
      <w:r w:rsidRPr="00477CCB">
        <w:rPr>
          <w:rFonts w:asciiTheme="majorBidi" w:eastAsia="Times New Roman" w:hAnsiTheme="majorBidi" w:cstheme="majorBidi"/>
          <w:b/>
          <w:bCs/>
          <w:kern w:val="0"/>
          <w:sz w:val="24"/>
          <w:szCs w:val="24"/>
          <w14:ligatures w14:val="none"/>
        </w:rPr>
        <w:t>, O., et al.</w:t>
      </w:r>
      <w:r w:rsidRPr="00477CCB">
        <w:rPr>
          <w:rFonts w:asciiTheme="majorBidi" w:eastAsia="Times New Roman" w:hAnsiTheme="majorBidi" w:cstheme="majorBidi"/>
          <w:kern w:val="0"/>
          <w:sz w:val="24"/>
          <w:szCs w:val="24"/>
          <w14:ligatures w14:val="none"/>
        </w:rPr>
        <w:t xml:space="preserve"> (2023). COVID-19 and neurodegeneration: Molecular mechanisms and clinical implications.</w:t>
      </w:r>
      <w:r w:rsidRPr="00477CCB">
        <w:rPr>
          <w:rFonts w:asciiTheme="majorBidi" w:eastAsia="Times New Roman" w:hAnsiTheme="majorBidi" w:cstheme="majorBidi"/>
          <w:kern w:val="0"/>
          <w:sz w:val="24"/>
          <w:szCs w:val="24"/>
          <w14:ligatures w14:val="none"/>
        </w:rPr>
        <w:br/>
      </w:r>
      <w:r w:rsidRPr="00477CCB">
        <w:rPr>
          <w:rFonts w:asciiTheme="majorBidi" w:eastAsia="Times New Roman" w:hAnsiTheme="majorBidi" w:cstheme="majorBidi"/>
          <w:i/>
          <w:iCs/>
          <w:kern w:val="0"/>
          <w:sz w:val="24"/>
          <w:szCs w:val="24"/>
          <w14:ligatures w14:val="none"/>
        </w:rPr>
        <w:t>Scientific Reports</w:t>
      </w:r>
      <w:r w:rsidRPr="00477CCB">
        <w:rPr>
          <w:rFonts w:asciiTheme="majorBidi" w:eastAsia="Times New Roman" w:hAnsiTheme="majorBidi" w:cstheme="majorBidi"/>
          <w:kern w:val="0"/>
          <w:sz w:val="24"/>
          <w:szCs w:val="24"/>
          <w14:ligatures w14:val="none"/>
        </w:rPr>
        <w:t xml:space="preserve">, </w:t>
      </w:r>
      <w:r w:rsidRPr="00477CCB">
        <w:rPr>
          <w:rFonts w:asciiTheme="majorBidi" w:eastAsia="Times New Roman" w:hAnsiTheme="majorBidi" w:cstheme="majorBidi"/>
          <w:b/>
          <w:bCs/>
          <w:kern w:val="0"/>
          <w:sz w:val="24"/>
          <w:szCs w:val="24"/>
          <w14:ligatures w14:val="none"/>
        </w:rPr>
        <w:t>13</w:t>
      </w:r>
      <w:r w:rsidRPr="00477CCB">
        <w:rPr>
          <w:rFonts w:asciiTheme="majorBidi" w:eastAsia="Times New Roman" w:hAnsiTheme="majorBidi" w:cstheme="majorBidi"/>
          <w:kern w:val="0"/>
          <w:sz w:val="24"/>
          <w:szCs w:val="24"/>
          <w14:ligatures w14:val="none"/>
        </w:rPr>
        <w:t>, 29778.</w:t>
      </w:r>
    </w:p>
    <w:p w14:paraId="731C76BD" w14:textId="5AA53359" w:rsidR="00D60EEF" w:rsidRPr="00477CCB" w:rsidRDefault="00D60EEF" w:rsidP="00477CCB">
      <w:pPr>
        <w:pStyle w:val="ListParagraph"/>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r w:rsidRPr="00477CCB">
        <w:rPr>
          <w:rFonts w:asciiTheme="majorBidi" w:eastAsia="Times New Roman" w:hAnsiTheme="majorBidi" w:cstheme="majorBidi"/>
          <w:b/>
          <w:bCs/>
          <w:kern w:val="0"/>
          <w:sz w:val="24"/>
          <w:szCs w:val="24"/>
          <w14:ligatures w14:val="none"/>
        </w:rPr>
        <w:t>Zhang, L., et al.</w:t>
      </w:r>
      <w:r w:rsidRPr="00477CCB">
        <w:rPr>
          <w:rFonts w:asciiTheme="majorBidi" w:eastAsia="Times New Roman" w:hAnsiTheme="majorBidi" w:cstheme="majorBidi"/>
          <w:kern w:val="0"/>
          <w:sz w:val="24"/>
          <w:szCs w:val="24"/>
          <w14:ligatures w14:val="none"/>
        </w:rPr>
        <w:t xml:space="preserve"> (2023). Potential links between SARS-CoV-2 infection and neurodegenerative diseases.</w:t>
      </w:r>
      <w:r w:rsidRPr="00477CCB">
        <w:rPr>
          <w:rFonts w:asciiTheme="majorBidi" w:eastAsia="Times New Roman" w:hAnsiTheme="majorBidi" w:cstheme="majorBidi"/>
          <w:kern w:val="0"/>
          <w:sz w:val="24"/>
          <w:szCs w:val="24"/>
          <w14:ligatures w14:val="none"/>
        </w:rPr>
        <w:br/>
      </w:r>
      <w:r w:rsidRPr="00477CCB">
        <w:rPr>
          <w:rFonts w:asciiTheme="majorBidi" w:eastAsia="Times New Roman" w:hAnsiTheme="majorBidi" w:cstheme="majorBidi"/>
          <w:i/>
          <w:iCs/>
          <w:kern w:val="0"/>
          <w:sz w:val="24"/>
          <w:szCs w:val="24"/>
          <w14:ligatures w14:val="none"/>
        </w:rPr>
        <w:t>Frontiers in Medicine</w:t>
      </w:r>
      <w:r w:rsidRPr="00477CCB">
        <w:rPr>
          <w:rFonts w:asciiTheme="majorBidi" w:eastAsia="Times New Roman" w:hAnsiTheme="majorBidi" w:cstheme="majorBidi"/>
          <w:kern w:val="0"/>
          <w:sz w:val="24"/>
          <w:szCs w:val="24"/>
          <w14:ligatures w14:val="none"/>
        </w:rPr>
        <w:t xml:space="preserve">, </w:t>
      </w:r>
      <w:r w:rsidRPr="00477CCB">
        <w:rPr>
          <w:rFonts w:asciiTheme="majorBidi" w:eastAsia="Times New Roman" w:hAnsiTheme="majorBidi" w:cstheme="majorBidi"/>
          <w:b/>
          <w:bCs/>
          <w:kern w:val="0"/>
          <w:sz w:val="24"/>
          <w:szCs w:val="24"/>
          <w14:ligatures w14:val="none"/>
        </w:rPr>
        <w:t>10</w:t>
      </w:r>
      <w:r w:rsidRPr="00477CCB">
        <w:rPr>
          <w:rFonts w:asciiTheme="majorBidi" w:eastAsia="Times New Roman" w:hAnsiTheme="majorBidi" w:cstheme="majorBidi"/>
          <w:kern w:val="0"/>
          <w:sz w:val="24"/>
          <w:szCs w:val="24"/>
          <w14:ligatures w14:val="none"/>
        </w:rPr>
        <w:t>, 1151046.</w:t>
      </w:r>
    </w:p>
    <w:p w14:paraId="3D79660A" w14:textId="77777777" w:rsidR="00477CCB" w:rsidRDefault="00D60EEF" w:rsidP="00477CCB">
      <w:pPr>
        <w:pStyle w:val="ListParagraph"/>
        <w:numPr>
          <w:ilvl w:val="0"/>
          <w:numId w:val="15"/>
        </w:numPr>
        <w:spacing w:before="100" w:beforeAutospacing="1" w:after="100" w:afterAutospacing="1" w:line="360" w:lineRule="auto"/>
        <w:rPr>
          <w:rFonts w:asciiTheme="majorBidi" w:eastAsia="Times New Roman" w:hAnsiTheme="majorBidi" w:cstheme="majorBidi"/>
          <w:kern w:val="0"/>
          <w:sz w:val="24"/>
          <w:szCs w:val="24"/>
          <w14:ligatures w14:val="none"/>
        </w:rPr>
      </w:pPr>
      <w:proofErr w:type="spellStart"/>
      <w:r w:rsidRPr="00477CCB">
        <w:rPr>
          <w:rFonts w:asciiTheme="majorBidi" w:eastAsia="Times New Roman" w:hAnsiTheme="majorBidi" w:cstheme="majorBidi"/>
          <w:b/>
          <w:bCs/>
          <w:kern w:val="0"/>
          <w:sz w:val="24"/>
          <w:szCs w:val="24"/>
          <w14:ligatures w14:val="none"/>
        </w:rPr>
        <w:t>Yesilkaya</w:t>
      </w:r>
      <w:proofErr w:type="spellEnd"/>
      <w:r w:rsidRPr="00477CCB">
        <w:rPr>
          <w:rFonts w:asciiTheme="majorBidi" w:eastAsia="Times New Roman" w:hAnsiTheme="majorBidi" w:cstheme="majorBidi"/>
          <w:b/>
          <w:bCs/>
          <w:kern w:val="0"/>
          <w:sz w:val="24"/>
          <w:szCs w:val="24"/>
          <w14:ligatures w14:val="none"/>
        </w:rPr>
        <w:t>, U. H., et al.</w:t>
      </w:r>
      <w:r w:rsidRPr="00477CCB">
        <w:rPr>
          <w:rFonts w:asciiTheme="majorBidi" w:eastAsia="Times New Roman" w:hAnsiTheme="majorBidi" w:cstheme="majorBidi"/>
          <w:kern w:val="0"/>
          <w:sz w:val="24"/>
          <w:szCs w:val="24"/>
          <w14:ligatures w14:val="none"/>
        </w:rPr>
        <w:t xml:space="preserve"> (2023). A potential role of the spike protein in neurodegenerative diseases: A narrative review.</w:t>
      </w:r>
      <w:r w:rsidRPr="00477CCB">
        <w:rPr>
          <w:rFonts w:asciiTheme="majorBidi" w:eastAsia="Times New Roman" w:hAnsiTheme="majorBidi" w:cstheme="majorBidi"/>
          <w:kern w:val="0"/>
          <w:sz w:val="24"/>
          <w:szCs w:val="24"/>
          <w14:ligatures w14:val="none"/>
        </w:rPr>
        <w:br/>
      </w:r>
      <w:r w:rsidRPr="00477CCB">
        <w:rPr>
          <w:rFonts w:asciiTheme="majorBidi" w:eastAsia="Times New Roman" w:hAnsiTheme="majorBidi" w:cstheme="majorBidi"/>
          <w:i/>
          <w:iCs/>
          <w:kern w:val="0"/>
          <w:sz w:val="24"/>
          <w:szCs w:val="24"/>
          <w14:ligatures w14:val="none"/>
        </w:rPr>
        <w:t>Cureus</w:t>
      </w:r>
      <w:r w:rsidRPr="00477CCB">
        <w:rPr>
          <w:rFonts w:asciiTheme="majorBidi" w:eastAsia="Times New Roman" w:hAnsiTheme="majorBidi" w:cstheme="majorBidi"/>
          <w:kern w:val="0"/>
          <w:sz w:val="24"/>
          <w:szCs w:val="24"/>
          <w14:ligatures w14:val="none"/>
        </w:rPr>
        <w:t xml:space="preserve">, </w:t>
      </w:r>
      <w:r w:rsidRPr="00477CCB">
        <w:rPr>
          <w:rFonts w:asciiTheme="majorBidi" w:eastAsia="Times New Roman" w:hAnsiTheme="majorBidi" w:cstheme="majorBidi"/>
          <w:b/>
          <w:bCs/>
          <w:kern w:val="0"/>
          <w:sz w:val="24"/>
          <w:szCs w:val="24"/>
          <w14:ligatures w14:val="none"/>
        </w:rPr>
        <w:t>15</w:t>
      </w:r>
      <w:r w:rsidRPr="00477CCB">
        <w:rPr>
          <w:rFonts w:asciiTheme="majorBidi" w:eastAsia="Times New Roman" w:hAnsiTheme="majorBidi" w:cstheme="majorBidi"/>
          <w:kern w:val="0"/>
          <w:sz w:val="24"/>
          <w:szCs w:val="24"/>
          <w14:ligatures w14:val="none"/>
        </w:rPr>
        <w:t>(2), e129846.</w:t>
      </w:r>
    </w:p>
    <w:p w14:paraId="2604301D" w14:textId="67798F40" w:rsidR="00D60EEF" w:rsidRPr="00477CCB" w:rsidRDefault="00D60EEF" w:rsidP="00477CCB">
      <w:pPr>
        <w:pStyle w:val="ListParagraph"/>
        <w:spacing w:before="100" w:beforeAutospacing="1" w:after="100" w:afterAutospacing="1" w:line="360" w:lineRule="auto"/>
        <w:ind w:left="810"/>
        <w:rPr>
          <w:rFonts w:asciiTheme="majorBidi" w:eastAsia="Times New Roman" w:hAnsiTheme="majorBidi" w:cstheme="majorBidi"/>
          <w:kern w:val="0"/>
          <w:sz w:val="24"/>
          <w:szCs w:val="24"/>
          <w14:ligatures w14:val="none"/>
        </w:rPr>
      </w:pPr>
      <w:r w:rsidRPr="00477CCB">
        <w:rPr>
          <w:rFonts w:asciiTheme="majorBidi" w:eastAsia="Times New Roman" w:hAnsiTheme="majorBidi" w:cstheme="majorBidi"/>
          <w:i/>
          <w:iCs/>
          <w:kern w:val="0"/>
          <w:sz w:val="24"/>
          <w:szCs w:val="24"/>
          <w14:ligatures w14:val="none"/>
        </w:rPr>
        <w:t>(Supports the prion-related hypothesis discussed in this study).</w:t>
      </w:r>
    </w:p>
    <w:p w14:paraId="09B6A154" w14:textId="77777777" w:rsidR="00D60EEF" w:rsidRPr="00477CCB" w:rsidRDefault="00000000" w:rsidP="00477CCB">
      <w:pPr>
        <w:pStyle w:val="ListParagraph"/>
        <w:spacing w:after="0" w:line="360" w:lineRule="auto"/>
        <w:ind w:left="810"/>
        <w:rPr>
          <w:rFonts w:asciiTheme="majorBidi" w:eastAsia="Times New Roman" w:hAnsiTheme="majorBidi" w:cstheme="majorBidi"/>
          <w:kern w:val="0"/>
          <w:sz w:val="24"/>
          <w:szCs w:val="24"/>
          <w14:ligatures w14:val="none"/>
        </w:rPr>
      </w:pPr>
      <w:r>
        <w:pict w14:anchorId="329893B3">
          <v:rect id="_x0000_i1063" style="width:0;height:1.5pt" o:hralign="center" o:hrstd="t" o:hr="t" fillcolor="#a0a0a0" stroked="f"/>
        </w:pict>
      </w:r>
    </w:p>
    <w:p w14:paraId="587F1DEC" w14:textId="77777777" w:rsidR="00417F2D" w:rsidRPr="004A2523" w:rsidRDefault="00417F2D" w:rsidP="00477CCB">
      <w:pPr>
        <w:spacing w:line="360" w:lineRule="auto"/>
        <w:rPr>
          <w:rFonts w:asciiTheme="majorBidi" w:hAnsiTheme="majorBidi" w:cstheme="majorBidi"/>
          <w:b/>
          <w:bCs/>
          <w:sz w:val="24"/>
          <w:szCs w:val="24"/>
        </w:rPr>
      </w:pPr>
    </w:p>
    <w:sectPr w:rsidR="00417F2D" w:rsidRPr="004A2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1836"/>
    <w:multiLevelType w:val="hybridMultilevel"/>
    <w:tmpl w:val="12F46D32"/>
    <w:lvl w:ilvl="0" w:tplc="F240491C">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43037B6"/>
    <w:multiLevelType w:val="multilevel"/>
    <w:tmpl w:val="09B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168A5"/>
    <w:multiLevelType w:val="multilevel"/>
    <w:tmpl w:val="823232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20677"/>
    <w:multiLevelType w:val="multilevel"/>
    <w:tmpl w:val="46D6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6519B"/>
    <w:multiLevelType w:val="multilevel"/>
    <w:tmpl w:val="823232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37D43"/>
    <w:multiLevelType w:val="multilevel"/>
    <w:tmpl w:val="6AD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A562B"/>
    <w:multiLevelType w:val="hybridMultilevel"/>
    <w:tmpl w:val="E64A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7B4FEA"/>
    <w:multiLevelType w:val="multilevel"/>
    <w:tmpl w:val="1E528D4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1BD3887"/>
    <w:multiLevelType w:val="multilevel"/>
    <w:tmpl w:val="9870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B70BC"/>
    <w:multiLevelType w:val="multilevel"/>
    <w:tmpl w:val="63FAE7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D60DF"/>
    <w:multiLevelType w:val="hybridMultilevel"/>
    <w:tmpl w:val="70840CF0"/>
    <w:lvl w:ilvl="0" w:tplc="35A20E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32598"/>
    <w:multiLevelType w:val="multilevel"/>
    <w:tmpl w:val="E31687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90089B"/>
    <w:multiLevelType w:val="hybridMultilevel"/>
    <w:tmpl w:val="06DA3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6294D"/>
    <w:multiLevelType w:val="hybridMultilevel"/>
    <w:tmpl w:val="0806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33BEE"/>
    <w:multiLevelType w:val="multilevel"/>
    <w:tmpl w:val="823232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3B7B95"/>
    <w:multiLevelType w:val="multilevel"/>
    <w:tmpl w:val="C50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A1FDD"/>
    <w:multiLevelType w:val="multilevel"/>
    <w:tmpl w:val="15386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F14B6D"/>
    <w:multiLevelType w:val="multilevel"/>
    <w:tmpl w:val="D70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47E54"/>
    <w:multiLevelType w:val="multilevel"/>
    <w:tmpl w:val="4AE2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A56AD"/>
    <w:multiLevelType w:val="multilevel"/>
    <w:tmpl w:val="823232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10008B"/>
    <w:multiLevelType w:val="hybridMultilevel"/>
    <w:tmpl w:val="96526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8A6D80"/>
    <w:multiLevelType w:val="multilevel"/>
    <w:tmpl w:val="45067A50"/>
    <w:lvl w:ilvl="0">
      <w:start w:val="5"/>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CA2104"/>
    <w:multiLevelType w:val="multilevel"/>
    <w:tmpl w:val="A49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584830">
    <w:abstractNumId w:val="6"/>
  </w:num>
  <w:num w:numId="2" w16cid:durableId="696078437">
    <w:abstractNumId w:val="13"/>
  </w:num>
  <w:num w:numId="3" w16cid:durableId="938949954">
    <w:abstractNumId w:val="8"/>
  </w:num>
  <w:num w:numId="4" w16cid:durableId="576595155">
    <w:abstractNumId w:val="18"/>
  </w:num>
  <w:num w:numId="5" w16cid:durableId="300505719">
    <w:abstractNumId w:val="22"/>
  </w:num>
  <w:num w:numId="6" w16cid:durableId="1244993837">
    <w:abstractNumId w:val="17"/>
  </w:num>
  <w:num w:numId="7" w16cid:durableId="1001199822">
    <w:abstractNumId w:val="5"/>
  </w:num>
  <w:num w:numId="8" w16cid:durableId="622882281">
    <w:abstractNumId w:val="1"/>
  </w:num>
  <w:num w:numId="9" w16cid:durableId="650981119">
    <w:abstractNumId w:val="9"/>
  </w:num>
  <w:num w:numId="10" w16cid:durableId="488139732">
    <w:abstractNumId w:val="0"/>
  </w:num>
  <w:num w:numId="11" w16cid:durableId="17778743">
    <w:abstractNumId w:val="10"/>
  </w:num>
  <w:num w:numId="12" w16cid:durableId="1885169742">
    <w:abstractNumId w:val="20"/>
  </w:num>
  <w:num w:numId="13" w16cid:durableId="1580676566">
    <w:abstractNumId w:val="12"/>
  </w:num>
  <w:num w:numId="14" w16cid:durableId="489642629">
    <w:abstractNumId w:val="3"/>
  </w:num>
  <w:num w:numId="15" w16cid:durableId="1878276230">
    <w:abstractNumId w:val="21"/>
  </w:num>
  <w:num w:numId="16" w16cid:durableId="1997370587">
    <w:abstractNumId w:val="2"/>
  </w:num>
  <w:num w:numId="17" w16cid:durableId="1527599441">
    <w:abstractNumId w:val="11"/>
  </w:num>
  <w:num w:numId="18" w16cid:durableId="108554427">
    <w:abstractNumId w:val="16"/>
  </w:num>
  <w:num w:numId="19" w16cid:durableId="1821921337">
    <w:abstractNumId w:val="19"/>
  </w:num>
  <w:num w:numId="20" w16cid:durableId="1727412725">
    <w:abstractNumId w:val="4"/>
  </w:num>
  <w:num w:numId="21" w16cid:durableId="1759788980">
    <w:abstractNumId w:val="14"/>
  </w:num>
  <w:num w:numId="22" w16cid:durableId="67386218">
    <w:abstractNumId w:val="7"/>
  </w:num>
  <w:num w:numId="23" w16cid:durableId="563376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19"/>
    <w:rsid w:val="00011765"/>
    <w:rsid w:val="00144F89"/>
    <w:rsid w:val="00196527"/>
    <w:rsid w:val="001B4F64"/>
    <w:rsid w:val="001E14C3"/>
    <w:rsid w:val="00201DCF"/>
    <w:rsid w:val="002C5EB1"/>
    <w:rsid w:val="003E62A5"/>
    <w:rsid w:val="00417F2D"/>
    <w:rsid w:val="00477CCB"/>
    <w:rsid w:val="004A2523"/>
    <w:rsid w:val="004A647F"/>
    <w:rsid w:val="006D05DD"/>
    <w:rsid w:val="00766C96"/>
    <w:rsid w:val="007E2F8D"/>
    <w:rsid w:val="00877006"/>
    <w:rsid w:val="008F4419"/>
    <w:rsid w:val="00974DA1"/>
    <w:rsid w:val="00AF3658"/>
    <w:rsid w:val="00D60EEF"/>
    <w:rsid w:val="00E66E57"/>
    <w:rsid w:val="00EF2D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1601"/>
  <w15:chartTrackingRefBased/>
  <w15:docId w15:val="{0F373E5B-F836-464E-A929-734967AF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4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F44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F44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F44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F44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F4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4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F44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F44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F44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F44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F4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419"/>
    <w:rPr>
      <w:rFonts w:eastAsiaTheme="majorEastAsia" w:cstheme="majorBidi"/>
      <w:color w:val="272727" w:themeColor="text1" w:themeTint="D8"/>
    </w:rPr>
  </w:style>
  <w:style w:type="paragraph" w:styleId="Title">
    <w:name w:val="Title"/>
    <w:basedOn w:val="Normal"/>
    <w:next w:val="Normal"/>
    <w:link w:val="TitleChar"/>
    <w:uiPriority w:val="10"/>
    <w:qFormat/>
    <w:rsid w:val="008F4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4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4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4419"/>
    <w:rPr>
      <w:i/>
      <w:iCs/>
      <w:color w:val="404040" w:themeColor="text1" w:themeTint="BF"/>
    </w:rPr>
  </w:style>
  <w:style w:type="paragraph" w:styleId="ListParagraph">
    <w:name w:val="List Paragraph"/>
    <w:basedOn w:val="Normal"/>
    <w:uiPriority w:val="34"/>
    <w:qFormat/>
    <w:rsid w:val="008F4419"/>
    <w:pPr>
      <w:ind w:left="720"/>
      <w:contextualSpacing/>
    </w:pPr>
  </w:style>
  <w:style w:type="character" w:styleId="IntenseEmphasis">
    <w:name w:val="Intense Emphasis"/>
    <w:basedOn w:val="DefaultParagraphFont"/>
    <w:uiPriority w:val="21"/>
    <w:qFormat/>
    <w:rsid w:val="008F4419"/>
    <w:rPr>
      <w:i/>
      <w:iCs/>
      <w:color w:val="365F91" w:themeColor="accent1" w:themeShade="BF"/>
    </w:rPr>
  </w:style>
  <w:style w:type="paragraph" w:styleId="IntenseQuote">
    <w:name w:val="Intense Quote"/>
    <w:basedOn w:val="Normal"/>
    <w:next w:val="Normal"/>
    <w:link w:val="IntenseQuoteChar"/>
    <w:uiPriority w:val="30"/>
    <w:qFormat/>
    <w:rsid w:val="008F44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4419"/>
    <w:rPr>
      <w:i/>
      <w:iCs/>
      <w:color w:val="365F91" w:themeColor="accent1" w:themeShade="BF"/>
    </w:rPr>
  </w:style>
  <w:style w:type="character" w:styleId="IntenseReference">
    <w:name w:val="Intense Reference"/>
    <w:basedOn w:val="DefaultParagraphFont"/>
    <w:uiPriority w:val="32"/>
    <w:qFormat/>
    <w:rsid w:val="008F4419"/>
    <w:rPr>
      <w:b/>
      <w:bCs/>
      <w:smallCaps/>
      <w:color w:val="365F91" w:themeColor="accent1" w:themeShade="BF"/>
      <w:spacing w:val="5"/>
    </w:rPr>
  </w:style>
  <w:style w:type="paragraph" w:styleId="NormalWeb">
    <w:name w:val="Normal (Web)"/>
    <w:basedOn w:val="Normal"/>
    <w:uiPriority w:val="99"/>
    <w:unhideWhenUsed/>
    <w:rsid w:val="006D05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7F2D"/>
    <w:rPr>
      <w:b/>
      <w:bCs/>
    </w:rPr>
  </w:style>
  <w:style w:type="character" w:styleId="Emphasis">
    <w:name w:val="Emphasis"/>
    <w:basedOn w:val="DefaultParagraphFont"/>
    <w:uiPriority w:val="20"/>
    <w:qFormat/>
    <w:rsid w:val="00417F2D"/>
    <w:rPr>
      <w:i/>
      <w:iCs/>
    </w:rPr>
  </w:style>
  <w:style w:type="character" w:styleId="Hyperlink">
    <w:name w:val="Hyperlink"/>
    <w:basedOn w:val="DefaultParagraphFont"/>
    <w:uiPriority w:val="99"/>
    <w:semiHidden/>
    <w:unhideWhenUsed/>
    <w:rsid w:val="00417F2D"/>
    <w:rPr>
      <w:color w:val="0000FF"/>
      <w:u w:val="single"/>
    </w:rPr>
  </w:style>
  <w:style w:type="character" w:customStyle="1" w:styleId="citation-32">
    <w:name w:val="citation-32"/>
    <w:basedOn w:val="DefaultParagraphFont"/>
    <w:rsid w:val="00E66E57"/>
  </w:style>
  <w:style w:type="character" w:customStyle="1" w:styleId="citation-31">
    <w:name w:val="citation-31"/>
    <w:basedOn w:val="DefaultParagraphFont"/>
    <w:rsid w:val="00E66E57"/>
  </w:style>
  <w:style w:type="character" w:customStyle="1" w:styleId="citation-30">
    <w:name w:val="citation-30"/>
    <w:basedOn w:val="DefaultParagraphFont"/>
    <w:rsid w:val="00E66E57"/>
  </w:style>
  <w:style w:type="character" w:customStyle="1" w:styleId="citation-29">
    <w:name w:val="citation-29"/>
    <w:basedOn w:val="DefaultParagraphFont"/>
    <w:rsid w:val="00E66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cbi.nlm.nih.gov/ge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20</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Sayed Elganzory</dc:creator>
  <cp:keywords/>
  <dc:description/>
  <cp:lastModifiedBy>Sara Sayed Elganzory</cp:lastModifiedBy>
  <cp:revision>3</cp:revision>
  <dcterms:created xsi:type="dcterms:W3CDTF">2026-01-21T16:41:00Z</dcterms:created>
  <dcterms:modified xsi:type="dcterms:W3CDTF">2026-01-21T23:17:00Z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0a787f91-0b70-4c27-b536-856ab1239d5e</vt:lpwstr>
  </property>
</Properties>
</file>