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280"/>
        <w:jc w:val="center"/>
      </w:pPr>
      <w:r>
        <w:rPr>
          <w:rFonts w:ascii="Calibri" w:hAnsi="Calibri" w:eastAsia="Calibri"/>
          <w:b/>
          <w:color w:val="2E74B5"/>
          <w:sz w:val="24"/>
        </w:rPr>
        <w:t>MARIEVIK+</w:t>
      </w:r>
    </w:p>
    <w:p>
      <w:pPr>
        <w:spacing w:after="240"/>
        <w:jc w:val="center"/>
      </w:pPr>
      <w:r>
        <w:rPr>
          <w:rFonts w:ascii="Calibri" w:hAnsi="Calibri" w:eastAsia="Calibri"/>
          <w:b/>
          <w:color w:val="0B2545"/>
          <w:sz w:val="60"/>
        </w:rPr>
        <w:t>Flexibility of the</w:t>
        <w:br/>
        <w:t>Built Environment</w:t>
      </w:r>
    </w:p>
    <w:p>
      <w:pPr>
        <w:spacing w:after="520"/>
        <w:jc w:val="center"/>
      </w:pPr>
      <w:r>
        <w:rPr>
          <w:rFonts w:ascii="Calibri" w:hAnsi="Calibri" w:eastAsia="Calibri"/>
          <w:color w:val="1F4D78"/>
          <w:sz w:val="28"/>
        </w:rPr>
        <w:t>Research and innovation handbook for scalable,</w:t>
        <w:br/>
        <w:t>value-based circular and adaptive buildings</w:t>
      </w:r>
    </w:p>
    <w:p>
      <w:pPr>
        <w:spacing w:after="1800"/>
        <w:jc w:val="center"/>
      </w:pPr>
      <w:r>
        <w:rPr>
          <w:rFonts w:ascii="Calibri" w:hAnsi="Calibri" w:eastAsia="Calibri"/>
          <w:b/>
          <w:color w:val="2E74B5"/>
          <w:sz w:val="19"/>
        </w:rPr>
        <w:t>THEORY  •  METHODS  •  CAVF  •  LAB PROTOCOLS  •  CASES  •  KPIs</w:t>
      </w:r>
    </w:p>
    <w:p>
      <w:pPr>
        <w:spacing w:after="80"/>
        <w:jc w:val="center"/>
      </w:pPr>
      <w:r>
        <w:rPr>
          <w:rFonts w:ascii="Calibri" w:hAnsi="Calibri" w:eastAsia="Calibri"/>
          <w:b/>
          <w:color w:val="0B2545"/>
          <w:sz w:val="21"/>
        </w:rPr>
        <w:t>Project period: July 2026–June 2029</w:t>
      </w:r>
    </w:p>
    <w:p>
      <w:pPr>
        <w:spacing w:after="80"/>
        <w:jc w:val="center"/>
      </w:pPr>
      <w:r>
        <w:rPr>
          <w:rFonts w:ascii="Calibri" w:hAnsi="Calibri" w:eastAsia="Calibri"/>
          <w:color w:val="5E6B78"/>
          <w:sz w:val="19"/>
        </w:rPr>
        <w:t>Research design • Version 1.0 • September 2026</w:t>
      </w:r>
    </w:p>
    <w:p>
      <w:pPr>
        <w:jc w:val="center"/>
      </w:pPr>
      <w:r>
        <w:rPr>
          <w:rFonts w:ascii="Calibri" w:hAnsi="Calibri" w:eastAsia="Calibri"/>
          <w:i/>
          <w:color w:val="5E6B78"/>
          <w:sz w:val="17"/>
        </w:rPr>
        <w:t>Prepared from the MARIEVIK+ project description and an evidence review of academic, EU, Swedish and professional sources</w:t>
      </w:r>
    </w:p>
    <w:p>
      <w:r>
        <w:br w:type="page"/>
      </w:r>
    </w:p>
    <w:p>
      <w:pPr>
        <w:pStyle w:val="Heading1"/>
        <w:spacing w:before="0"/>
      </w:pPr>
      <w:r>
        <w:t>Contents</w:t>
      </w:r>
    </w:p>
    <w:p>
      <w:pPr>
        <w:spacing w:after="200"/>
      </w:pPr>
      <w:r>
        <w:t>A working handbook: read the executive synthesis first, then use sections 5–12 as the project operating protocol.</w:t>
      </w:r>
    </w:p>
    <w:p>
      <w:pPr>
        <w:numPr>
          <w:ilvl w:val="0"/>
          <w:numId w:val="10"/>
        </w:numPr>
      </w:pPr>
      <w:r>
        <w:rPr>
          <w:rFonts w:ascii="Calibri" w:hAnsi="Calibri" w:eastAsia="Calibri"/>
          <w:b w:val="0"/>
        </w:rPr>
        <w:t>Executive synthesis</w:t>
      </w:r>
    </w:p>
    <w:p>
      <w:pPr>
        <w:numPr>
          <w:ilvl w:val="0"/>
          <w:numId w:val="10"/>
        </w:numPr>
      </w:pPr>
      <w:r>
        <w:rPr>
          <w:rFonts w:ascii="Calibri" w:hAnsi="Calibri" w:eastAsia="Calibri"/>
          <w:b w:val="0"/>
        </w:rPr>
        <w:t>1. MARIEVIK+ as a research and innovation system</w:t>
      </w:r>
    </w:p>
    <w:p>
      <w:pPr>
        <w:numPr>
          <w:ilvl w:val="0"/>
          <w:numId w:val="10"/>
        </w:numPr>
      </w:pPr>
      <w:r>
        <w:rPr>
          <w:rFonts w:ascii="Calibri" w:hAnsi="Calibri" w:eastAsia="Calibri"/>
          <w:b w:val="0"/>
        </w:rPr>
        <w:t>2. Conceptual foundations</w:t>
      </w:r>
    </w:p>
    <w:p>
      <w:pPr>
        <w:numPr>
          <w:ilvl w:val="0"/>
          <w:numId w:val="10"/>
        </w:numPr>
      </w:pPr>
      <w:r>
        <w:rPr>
          <w:rFonts w:ascii="Calibri" w:hAnsi="Calibri" w:eastAsia="Calibri"/>
          <w:b w:val="0"/>
        </w:rPr>
        <w:t>3. Theory base for MARIEVIK+</w:t>
      </w:r>
    </w:p>
    <w:p>
      <w:pPr>
        <w:numPr>
          <w:ilvl w:val="0"/>
          <w:numId w:val="10"/>
        </w:numPr>
      </w:pPr>
      <w:r>
        <w:rPr>
          <w:rFonts w:ascii="Calibri" w:hAnsi="Calibri" w:eastAsia="Calibri"/>
          <w:b w:val="0"/>
        </w:rPr>
        <w:t>4. State of knowledge: assessment frameworks</w:t>
      </w:r>
    </w:p>
    <w:p>
      <w:pPr>
        <w:numPr>
          <w:ilvl w:val="0"/>
          <w:numId w:val="10"/>
        </w:numPr>
      </w:pPr>
      <w:r>
        <w:rPr>
          <w:rFonts w:ascii="Calibri" w:hAnsi="Calibri" w:eastAsia="Calibri"/>
          <w:b w:val="0"/>
        </w:rPr>
        <w:t>5. The proposed Circular &amp; Adaptive Valuation Framework (CAVF)</w:t>
      </w:r>
    </w:p>
    <w:p>
      <w:pPr>
        <w:numPr>
          <w:ilvl w:val="0"/>
          <w:numId w:val="10"/>
        </w:numPr>
      </w:pPr>
      <w:r>
        <w:rPr>
          <w:rFonts w:ascii="Calibri" w:hAnsi="Calibri" w:eastAsia="Calibri"/>
          <w:b w:val="0"/>
        </w:rPr>
        <w:t>6. Digital analysis and modelling lab</w:t>
      </w:r>
    </w:p>
    <w:p>
      <w:pPr>
        <w:numPr>
          <w:ilvl w:val="0"/>
          <w:numId w:val="10"/>
        </w:numPr>
      </w:pPr>
      <w:r>
        <w:rPr>
          <w:rFonts w:ascii="Calibri" w:hAnsi="Calibri" w:eastAsia="Calibri"/>
          <w:b w:val="0"/>
        </w:rPr>
        <w:t>7. Physical DoTank and prototype method</w:t>
      </w:r>
    </w:p>
    <w:p>
      <w:pPr>
        <w:numPr>
          <w:ilvl w:val="0"/>
          <w:numId w:val="10"/>
        </w:numPr>
      </w:pPr>
      <w:r>
        <w:rPr>
          <w:rFonts w:ascii="Calibri" w:hAnsi="Calibri" w:eastAsia="Calibri"/>
          <w:b w:val="0"/>
        </w:rPr>
        <w:t>8. Financial valuation and investment lab</w:t>
      </w:r>
    </w:p>
    <w:p>
      <w:pPr>
        <w:numPr>
          <w:ilvl w:val="0"/>
          <w:numId w:val="10"/>
        </w:numPr>
      </w:pPr>
      <w:r>
        <w:rPr>
          <w:rFonts w:ascii="Calibri" w:hAnsi="Calibri" w:eastAsia="Calibri"/>
          <w:b w:val="0"/>
        </w:rPr>
        <w:t>9. Cross-case research design</w:t>
      </w:r>
    </w:p>
    <w:p>
      <w:pPr>
        <w:numPr>
          <w:ilvl w:val="0"/>
          <w:numId w:val="10"/>
        </w:numPr>
      </w:pPr>
      <w:r>
        <w:rPr>
          <w:rFonts w:ascii="Calibri" w:hAnsi="Calibri" w:eastAsia="Calibri"/>
          <w:b w:val="0"/>
        </w:rPr>
        <w:t>10. Measurement framework and KPI dictionary</w:t>
      </w:r>
    </w:p>
    <w:p>
      <w:pPr>
        <w:numPr>
          <w:ilvl w:val="0"/>
          <w:numId w:val="10"/>
        </w:numPr>
      </w:pPr>
      <w:r>
        <w:rPr>
          <w:rFonts w:ascii="Calibri" w:hAnsi="Calibri" w:eastAsia="Calibri"/>
          <w:b w:val="0"/>
        </w:rPr>
        <w:t>11. MARIEVIK+ implementation protocol, July 2026–June 2029</w:t>
      </w:r>
    </w:p>
    <w:p>
      <w:pPr>
        <w:numPr>
          <w:ilvl w:val="0"/>
          <w:numId w:val="10"/>
        </w:numPr>
      </w:pPr>
      <w:r>
        <w:rPr>
          <w:rFonts w:ascii="Calibri" w:hAnsi="Calibri" w:eastAsia="Calibri"/>
          <w:b w:val="0"/>
        </w:rPr>
        <w:t>12. Case-specific method packages</w:t>
      </w:r>
    </w:p>
    <w:p>
      <w:pPr>
        <w:numPr>
          <w:ilvl w:val="0"/>
          <w:numId w:val="10"/>
        </w:numPr>
      </w:pPr>
      <w:r>
        <w:rPr>
          <w:rFonts w:ascii="Calibri" w:hAnsi="Calibri" w:eastAsia="Calibri"/>
          <w:b w:val="0"/>
        </w:rPr>
        <w:t>13. Policy, standards and market context</w:t>
      </w:r>
    </w:p>
    <w:p>
      <w:pPr>
        <w:numPr>
          <w:ilvl w:val="0"/>
          <w:numId w:val="10"/>
        </w:numPr>
      </w:pPr>
      <w:r>
        <w:rPr>
          <w:rFonts w:ascii="Calibri" w:hAnsi="Calibri" w:eastAsia="Calibri"/>
          <w:b w:val="0"/>
        </w:rPr>
        <w:t>14. Governance, ethics and research quality</w:t>
      </w:r>
    </w:p>
    <w:p>
      <w:pPr>
        <w:numPr>
          <w:ilvl w:val="0"/>
          <w:numId w:val="10"/>
        </w:numPr>
      </w:pPr>
      <w:r>
        <w:rPr>
          <w:rFonts w:ascii="Calibri" w:hAnsi="Calibri" w:eastAsia="Calibri"/>
          <w:b w:val="0"/>
        </w:rPr>
        <w:t>15. Risks, failure modes and mitigations</w:t>
      </w:r>
    </w:p>
    <w:p>
      <w:pPr>
        <w:numPr>
          <w:ilvl w:val="0"/>
          <w:numId w:val="10"/>
        </w:numPr>
      </w:pPr>
      <w:r>
        <w:rPr>
          <w:rFonts w:ascii="Calibri" w:hAnsi="Calibri" w:eastAsia="Calibri"/>
          <w:b w:val="0"/>
        </w:rPr>
        <w:t>16. Deliverables and publication programme</w:t>
      </w:r>
    </w:p>
    <w:p>
      <w:pPr>
        <w:numPr>
          <w:ilvl w:val="0"/>
          <w:numId w:val="10"/>
        </w:numPr>
      </w:pPr>
      <w:r>
        <w:rPr>
          <w:rFonts w:ascii="Calibri" w:hAnsi="Calibri" w:eastAsia="Calibri"/>
          <w:b w:val="0"/>
        </w:rPr>
        <w:t>17. Minimum templates</w:t>
      </w:r>
    </w:p>
    <w:p>
      <w:pPr>
        <w:numPr>
          <w:ilvl w:val="0"/>
          <w:numId w:val="10"/>
        </w:numPr>
      </w:pPr>
      <w:r>
        <w:rPr>
          <w:rFonts w:ascii="Calibri" w:hAnsi="Calibri" w:eastAsia="Calibri"/>
          <w:b w:val="0"/>
        </w:rPr>
        <w:t>18. Recommended reading and source base</w:t>
      </w:r>
    </w:p>
    <w:p>
      <w:pPr>
        <w:numPr>
          <w:ilvl w:val="0"/>
          <w:numId w:val="10"/>
        </w:numPr>
      </w:pPr>
      <w:r>
        <w:rPr>
          <w:rFonts w:ascii="Calibri" w:hAnsi="Calibri" w:eastAsia="Calibri"/>
          <w:b w:val="0"/>
        </w:rPr>
        <w:t>19. Final research position</w:t>
      </w:r>
    </w:p>
    <w:p>
      <w:r>
        <w:br w:type="page"/>
      </w:r>
    </w:p>
    <w:p>
      <w:pPr>
        <w:pStyle w:val="Heading2"/>
      </w:pPr>
      <w:r>
        <w:rPr>
          <w:rFonts w:ascii="Calibri" w:hAnsi="Calibri" w:eastAsia="Calibri"/>
          <w:b w:val="0"/>
        </w:rPr>
        <w:t>Executive synthesis</w:t>
      </w:r>
    </w:p>
    <w:p>
      <w:r>
        <w:rPr>
          <w:rFonts w:ascii="Calibri" w:hAnsi="Calibri" w:eastAsia="Calibri"/>
          <w:b w:val="0"/>
        </w:rPr>
        <w:t>MARIEVIK+ addresses a real implementation gap. Buildings can be designed, converted, shared, dismantled and reused more effectively than current practice allows, but the value of that flexibility is rarely visible in the investment calculation, property valuation, procurement model or asset-management decision. Technical solutions therefore remain demonstrations rather than normal practice. The project’s central task is not to prove that adaptability is desirable in general. It is to show, under specified uncertainties and for specified decision-makers, when flexibility changes a decision and how that value can be evidenced without double counting.</w:t>
      </w:r>
    </w:p>
    <w:p>
      <w:r>
        <w:rPr>
          <w:rFonts w:ascii="Calibri" w:hAnsi="Calibri" w:eastAsia="Calibri"/>
          <w:b w:val="0"/>
        </w:rPr>
        <w:t>The evidence supports six conclusions.</w:t>
      </w:r>
    </w:p>
    <w:p>
      <w:pPr>
        <w:numPr>
          <w:ilvl w:val="0"/>
          <w:numId w:val="12"/>
        </w:numPr>
      </w:pPr>
      <w:r>
        <w:rPr>
          <w:rFonts w:ascii="Calibri" w:hAnsi="Calibri" w:eastAsia="Calibri"/>
          <w:b/>
        </w:rPr>
        <w:t>Flexibility is multi-dimensional.</w:t>
      </w:r>
      <w:r>
        <w:rPr>
          <w:rFonts w:ascii="Calibri" w:hAnsi="Calibri" w:eastAsia="Calibri"/>
          <w:b w:val="0"/>
        </w:rPr>
        <w:t xml:space="preserve"> It includes spatial and functional change, accessible and separable services, structural reserve capacity, reversible connections, recoverable materials, operational and temporal sharing, energy-demand flexibility, climate resilience, inclusive use, and the organizational and contractual capacity to act. A single score can support communication, but the underlying dimensions must remain visible.</w:t>
      </w:r>
    </w:p>
    <w:p>
      <w:pPr>
        <w:numPr>
          <w:ilvl w:val="0"/>
          <w:numId w:val="13"/>
        </w:numPr>
      </w:pPr>
      <w:r>
        <w:rPr>
          <w:rFonts w:ascii="Calibri" w:hAnsi="Calibri" w:eastAsia="Calibri"/>
          <w:b/>
        </w:rPr>
        <w:t>Flexibility is contingent, not automatically sustainable.</w:t>
      </w:r>
      <w:r>
        <w:rPr>
          <w:rFonts w:ascii="Calibri" w:hAnsi="Calibri" w:eastAsia="Calibri"/>
          <w:b w:val="0"/>
        </w:rPr>
        <w:t xml:space="preserve"> Extra structure, redundancy, floor area or technical capacity can add upfront carbon and cost. The benefit occurs only if a plausible future change is exercised, demolition or major replacement is avoided, and the building remains useful. MARIEVIK+ must compare flexibility premiums against probabilities, timing, transformation impacts and avoided alternatives.</w:t>
      </w:r>
    </w:p>
    <w:p>
      <w:pPr>
        <w:numPr>
          <w:ilvl w:val="0"/>
          <w:numId w:val="14"/>
        </w:numPr>
      </w:pPr>
      <w:r>
        <w:rPr>
          <w:rFonts w:ascii="Calibri" w:hAnsi="Calibri" w:eastAsia="Calibri"/>
          <w:b/>
        </w:rPr>
        <w:t>Static life-cycle assessment and discounted cash flow are necessary but insufficient.</w:t>
      </w:r>
      <w:r>
        <w:rPr>
          <w:rFonts w:ascii="Calibri" w:hAnsi="Calibri" w:eastAsia="Calibri"/>
          <w:b w:val="0"/>
        </w:rPr>
        <w:t xml:space="preserve"> They should be the transparent base case. They need to be extended with scenarios, sensitivity and probabilistic analysis, and—where managerial choice under uncertainty is material—real-options analysis. Flexibility is valuable because it preserves choices; conventional DCF often treats uncertain future choices as fixed commitments or ignores them.</w:t>
      </w:r>
    </w:p>
    <w:p>
      <w:pPr>
        <w:numPr>
          <w:ilvl w:val="0"/>
          <w:numId w:val="15"/>
        </w:numPr>
      </w:pPr>
      <w:r>
        <w:rPr>
          <w:rFonts w:ascii="Calibri" w:hAnsi="Calibri" w:eastAsia="Calibri"/>
          <w:b/>
        </w:rPr>
        <w:t>EU and Swedish policy is moving toward whole-life evidence.</w:t>
      </w:r>
      <w:r>
        <w:rPr>
          <w:rFonts w:ascii="Calibri" w:hAnsi="Calibri" w:eastAsia="Calibri"/>
          <w:b w:val="0"/>
        </w:rPr>
        <w:t xml:space="preserve"> The recast Energy Performance of Buildings Directive requires disclosure of life-cycle global-warming potential for large new buildings from 2028 and all new buildings from 2030. Boverket submitted Swedish implementation proposals in May 2026. The new Construction Products Regulation introduces the basis for interoperable digital product passports and information supporting reuse. This strengthens the project’s relevance, but policy compliance alone will not monetize adaptability.</w:t>
      </w:r>
    </w:p>
    <w:p>
      <w:pPr>
        <w:numPr>
          <w:ilvl w:val="0"/>
          <w:numId w:val="16"/>
        </w:numPr>
      </w:pPr>
      <w:r>
        <w:rPr>
          <w:rFonts w:ascii="Calibri" w:hAnsi="Calibri" w:eastAsia="Calibri"/>
          <w:b/>
        </w:rPr>
        <w:t>Existing assessment frameworks are inputs, not the CAVF.</w:t>
      </w:r>
      <w:r>
        <w:rPr>
          <w:rFonts w:ascii="Calibri" w:hAnsi="Calibri" w:eastAsia="Calibri"/>
          <w:b w:val="0"/>
        </w:rPr>
        <w:t xml:space="preserve"> ISO 20887, Level(s) 2.3 and 2.4, Flex 4.0, AdaptSTAR and related models provide useful criteria. Reviews consistently report definition inconsistency, limited validation and weak linkage to structures, quantitative performance and investment decisions. MARIEVIK+ should therefore use established criteria to measure physical capacity, then add scenario, life-cycle, financial, social and decision evidence.</w:t>
      </w:r>
    </w:p>
    <w:p>
      <w:pPr>
        <w:numPr>
          <w:ilvl w:val="0"/>
          <w:numId w:val="17"/>
        </w:numPr>
      </w:pPr>
      <w:r>
        <w:rPr>
          <w:rFonts w:ascii="Calibri" w:hAnsi="Calibri" w:eastAsia="Calibri"/>
          <w:b/>
        </w:rPr>
        <w:t>The decisive unit of proof is the decision episode.</w:t>
      </w:r>
      <w:r>
        <w:rPr>
          <w:rFonts w:ascii="Calibri" w:hAnsi="Calibri" w:eastAsia="Calibri"/>
          <w:b w:val="0"/>
        </w:rPr>
        <w:t xml:space="preserve"> The project should document actual choices—retain or demolish; convert or rebuild; specify reversible or conventional assembly; share or build more area; invest now or stage; accept a flexibility premium or reject it—and test whether CAVF information changes the choice, its timing, its design, its contract or its financing.</w:t>
      </w:r>
    </w:p>
    <w:p>
      <w:pPr>
        <w:pStyle w:val="Heading3"/>
      </w:pPr>
      <w:r>
        <w:rPr>
          <w:rFonts w:ascii="Calibri" w:hAnsi="Calibri" w:eastAsia="Calibri"/>
          <w:b w:val="0"/>
        </w:rPr>
        <w:t>The proposed CAVF in one sentence</w:t>
      </w:r>
    </w:p>
    <w:p>
      <w:r>
        <w:rPr>
          <w:rFonts w:ascii="Calibri" w:hAnsi="Calibri" w:eastAsia="Calibri"/>
          <w:b w:val="0"/>
        </w:rPr>
        <w:t xml:space="preserve">The </w:t>
      </w:r>
      <w:r>
        <w:rPr>
          <w:rFonts w:ascii="Calibri" w:hAnsi="Calibri" w:eastAsia="Calibri"/>
          <w:b/>
        </w:rPr>
        <w:t>Circular &amp; Adaptive Valuation Framework (CAVF)</w:t>
      </w:r>
      <w:r>
        <w:rPr>
          <w:rFonts w:ascii="Calibri" w:hAnsi="Calibri" w:eastAsia="Calibri"/>
          <w:b w:val="0"/>
        </w:rPr>
        <w:t xml:space="preserve"> is a scenario-based decision framework that connects (a) measurable physical and operational flexibility, (b) life-cycle environmental and social consequences, (c) discounted costs, revenues, risks and real-option value, and (d) the distribution of value among actors, while preserving uncertainty and data quality rather than hiding them in a composite score.</w:t>
      </w:r>
    </w:p>
    <w:p>
      <w:pPr>
        <w:pStyle w:val="Heading3"/>
      </w:pPr>
      <w:r>
        <w:rPr>
          <w:rFonts w:ascii="Calibri" w:hAnsi="Calibri" w:eastAsia="Calibri"/>
          <w:b w:val="0"/>
        </w:rPr>
        <w:t>Ten project rules</w:t>
      </w:r>
    </w:p>
    <w:p>
      <w:pPr>
        <w:numPr>
          <w:ilvl w:val="0"/>
          <w:numId w:val="18"/>
        </w:numPr>
      </w:pPr>
      <w:r>
        <w:rPr>
          <w:rFonts w:ascii="Calibri" w:hAnsi="Calibri" w:eastAsia="Calibri"/>
          <w:b w:val="0"/>
        </w:rPr>
        <w:t>Define the decision, decision-maker, time horizon and counterfactual before selecting indicators.</w:t>
      </w:r>
    </w:p>
    <w:p>
      <w:pPr>
        <w:numPr>
          <w:ilvl w:val="0"/>
          <w:numId w:val="18"/>
        </w:numPr>
      </w:pPr>
      <w:r>
        <w:rPr>
          <w:rFonts w:ascii="Calibri" w:hAnsi="Calibri" w:eastAsia="Calibri"/>
          <w:b w:val="0"/>
        </w:rPr>
        <w:t>Keep capacity for change separate from realized change and from benefit.</w:t>
      </w:r>
    </w:p>
    <w:p>
      <w:pPr>
        <w:numPr>
          <w:ilvl w:val="0"/>
          <w:numId w:val="18"/>
        </w:numPr>
      </w:pPr>
      <w:r>
        <w:rPr>
          <w:rFonts w:ascii="Calibri" w:hAnsi="Calibri" w:eastAsia="Calibri"/>
          <w:b w:val="0"/>
        </w:rPr>
        <w:t>Use one common core protocol across cases and contextual modules for offices, housing, schools, care and shared cultural uses.</w:t>
      </w:r>
    </w:p>
    <w:p>
      <w:pPr>
        <w:numPr>
          <w:ilvl w:val="0"/>
          <w:numId w:val="18"/>
        </w:numPr>
      </w:pPr>
      <w:r>
        <w:rPr>
          <w:rFonts w:ascii="Calibri" w:hAnsi="Calibri" w:eastAsia="Calibri"/>
          <w:b w:val="0"/>
        </w:rPr>
        <w:t>Compare at least three futures: expected, adverse/rapid-change and stable/no-change.</w:t>
      </w:r>
    </w:p>
    <w:p>
      <w:pPr>
        <w:numPr>
          <w:ilvl w:val="0"/>
          <w:numId w:val="18"/>
        </w:numPr>
      </w:pPr>
      <w:r>
        <w:rPr>
          <w:rFonts w:ascii="Calibri" w:hAnsi="Calibri" w:eastAsia="Calibri"/>
          <w:b w:val="0"/>
        </w:rPr>
        <w:t>Report A1–A5 and A–C separately; report module D separately and never use it to conceal current burdens.</w:t>
      </w:r>
    </w:p>
    <w:p>
      <w:pPr>
        <w:numPr>
          <w:ilvl w:val="0"/>
          <w:numId w:val="18"/>
        </w:numPr>
      </w:pPr>
      <w:r>
        <w:rPr>
          <w:rFonts w:ascii="Calibri" w:hAnsi="Calibri" w:eastAsia="Calibri"/>
          <w:b w:val="0"/>
        </w:rPr>
        <w:t>Start financial analysis with transparent LCC/DCF; add real options only where the option and exercise decision are explicit.</w:t>
      </w:r>
    </w:p>
    <w:p>
      <w:pPr>
        <w:numPr>
          <w:ilvl w:val="0"/>
          <w:numId w:val="18"/>
        </w:numPr>
      </w:pPr>
      <w:r>
        <w:rPr>
          <w:rFonts w:ascii="Calibri" w:hAnsi="Calibri" w:eastAsia="Calibri"/>
          <w:b w:val="0"/>
        </w:rPr>
        <w:t>Monetize only defensible cash-flow, cost, residual-value or risk channels; use MCDA for material non-monetized outcomes.</w:t>
      </w:r>
    </w:p>
    <w:p>
      <w:pPr>
        <w:numPr>
          <w:ilvl w:val="0"/>
          <w:numId w:val="18"/>
        </w:numPr>
      </w:pPr>
      <w:r>
        <w:rPr>
          <w:rFonts w:ascii="Calibri" w:hAnsi="Calibri" w:eastAsia="Calibri"/>
          <w:b w:val="0"/>
        </w:rPr>
        <w:t>Treat occupancy, inclusion, comfort and user agency as performance, not as anecdotes.</w:t>
      </w:r>
    </w:p>
    <w:p>
      <w:pPr>
        <w:numPr>
          <w:ilvl w:val="0"/>
          <w:numId w:val="18"/>
        </w:numPr>
      </w:pPr>
      <w:r>
        <w:rPr>
          <w:rFonts w:ascii="Calibri" w:hAnsi="Calibri" w:eastAsia="Calibri"/>
          <w:b w:val="0"/>
        </w:rPr>
        <w:t>Validate digital data against the physical asset and assign an owner, update event and quality grade to each field.</w:t>
      </w:r>
    </w:p>
    <w:p>
      <w:pPr>
        <w:numPr>
          <w:ilvl w:val="0"/>
          <w:numId w:val="18"/>
        </w:numPr>
      </w:pPr>
      <w:r>
        <w:rPr>
          <w:rFonts w:ascii="Calibri" w:hAnsi="Calibri" w:eastAsia="Calibri"/>
          <w:b w:val="0"/>
        </w:rPr>
        <w:t>Judge project success by changed decisions and repeatable adoption, not by model sophistication alone.</w:t>
      </w:r>
    </w:p>
    <w:p>
      <w:pPr>
        <w:pStyle w:val="Heading1"/>
      </w:pPr>
      <w:r>
        <w:rPr>
          <w:rFonts w:ascii="Calibri" w:hAnsi="Calibri" w:eastAsia="Calibri"/>
          <w:b w:val="0"/>
        </w:rPr>
        <w:t>1. MARIEVIK+ as a research and innovation system</w:t>
      </w:r>
    </w:p>
    <w:p>
      <w:pPr>
        <w:pStyle w:val="Heading2"/>
      </w:pPr>
      <w:r>
        <w:rPr>
          <w:rFonts w:ascii="Calibri" w:hAnsi="Calibri" w:eastAsia="Calibri"/>
          <w:b w:val="0"/>
        </w:rPr>
        <w:t>1.1 The project problem</w:t>
      </w:r>
    </w:p>
    <w:p>
      <w:r>
        <w:rPr>
          <w:rFonts w:ascii="Calibri" w:hAnsi="Calibri" w:eastAsia="Calibri"/>
          <w:b w:val="0"/>
        </w:rPr>
        <w:t>The project description identifies a mismatch between the useful life of buildings and the decision systems that shape them. Current investment and valuation models emphasize short-term, visible costs and near-term income. They often omit the economic significance of conversion capacity, avoided future disruption, reuse potential, recoverable components, lower vacancy exposure, climate resilience and societal benefits. As a result, adaptable and circular solutions can lose against cheaper rigid alternatives even when they are superior over the building’s life.</w:t>
      </w:r>
    </w:p>
    <w:p>
      <w:r>
        <w:rPr>
          <w:rFonts w:ascii="Calibri" w:hAnsi="Calibri" w:eastAsia="Calibri"/>
          <w:b w:val="0"/>
        </w:rPr>
        <w:t>MARIEVIK+ is organized as three integrated laboratories:</w:t>
      </w:r>
    </w:p>
    <w:p>
      <w:pPr>
        <w:numPr>
          <w:ilvl w:val="0"/>
          <w:numId w:val="10"/>
        </w:numPr>
      </w:pPr>
      <w:r>
        <w:rPr>
          <w:rFonts w:ascii="Calibri" w:hAnsi="Calibri" w:eastAsia="Calibri"/>
          <w:b w:val="0"/>
        </w:rPr>
        <w:t xml:space="preserve">a </w:t>
      </w:r>
      <w:r>
        <w:rPr>
          <w:rFonts w:ascii="Calibri" w:hAnsi="Calibri" w:eastAsia="Calibri"/>
          <w:b/>
        </w:rPr>
        <w:t>digital analysis and modelling lab</w:t>
      </w:r>
      <w:r>
        <w:rPr>
          <w:rFonts w:ascii="Calibri" w:hAnsi="Calibri" w:eastAsia="Calibri"/>
          <w:b w:val="0"/>
        </w:rPr>
        <w:t xml:space="preserve"> for stock, asset, scenario and decision data;</w:t>
      </w:r>
    </w:p>
    <w:p>
      <w:pPr>
        <w:numPr>
          <w:ilvl w:val="0"/>
          <w:numId w:val="10"/>
        </w:numPr>
      </w:pPr>
      <w:r>
        <w:rPr>
          <w:rFonts w:ascii="Calibri" w:hAnsi="Calibri" w:eastAsia="Calibri"/>
          <w:b w:val="0"/>
        </w:rPr>
        <w:t xml:space="preserve">a </w:t>
      </w:r>
      <w:r>
        <w:rPr>
          <w:rFonts w:ascii="Calibri" w:hAnsi="Calibri" w:eastAsia="Calibri"/>
          <w:b/>
        </w:rPr>
        <w:t>financial valuation and investment lab</w:t>
      </w:r>
      <w:r>
        <w:rPr>
          <w:rFonts w:ascii="Calibri" w:hAnsi="Calibri" w:eastAsia="Calibri"/>
          <w:b w:val="0"/>
        </w:rPr>
        <w:t xml:space="preserve"> to translate performance into decision variables; and</w:t>
      </w:r>
    </w:p>
    <w:p>
      <w:pPr>
        <w:numPr>
          <w:ilvl w:val="0"/>
          <w:numId w:val="10"/>
        </w:numPr>
      </w:pPr>
      <w:r>
        <w:rPr>
          <w:rFonts w:ascii="Calibri" w:hAnsi="Calibri" w:eastAsia="Calibri"/>
          <w:b w:val="0"/>
        </w:rPr>
        <w:t xml:space="preserve">a </w:t>
      </w:r>
      <w:r>
        <w:rPr>
          <w:rFonts w:ascii="Calibri" w:hAnsi="Calibri" w:eastAsia="Calibri"/>
          <w:b/>
        </w:rPr>
        <w:t>physical DoTank at Marievik</w:t>
      </w:r>
      <w:r>
        <w:rPr>
          <w:rFonts w:ascii="Calibri" w:hAnsi="Calibri" w:eastAsia="Calibri"/>
          <w:b w:val="0"/>
        </w:rPr>
        <w:t xml:space="preserve"> for prototypes, demonstrations and observed transformation processes.</w:t>
      </w:r>
    </w:p>
    <w:p>
      <w:r>
        <w:rPr>
          <w:rFonts w:ascii="Calibri" w:hAnsi="Calibri" w:eastAsia="Calibri"/>
          <w:b w:val="0"/>
        </w:rPr>
        <w:t>These are linked through four work packages: governance and impact monitoring; system understanding and value-gap analysis; prototype and implementation; and replication in external cases. The main integration product is CAVF.</w:t>
      </w:r>
    </w:p>
    <w:p>
      <w:pPr>
        <w:pStyle w:val="Heading2"/>
      </w:pPr>
      <w:r>
        <w:rPr>
          <w:rFonts w:ascii="Calibri" w:hAnsi="Calibri" w:eastAsia="Calibri"/>
          <w:b w:val="0"/>
        </w:rPr>
        <w:t>1.2 Recommended theory of change</w:t>
      </w:r>
    </w:p>
    <w:p>
      <w:r>
        <w:rPr>
          <w:rFonts w:ascii="Calibri" w:hAnsi="Calibri" w:eastAsia="Calibri"/>
          <w:b/>
        </w:rPr>
        <w:t>Inputs:</w:t>
      </w:r>
      <w:r>
        <w:rPr>
          <w:rFonts w:ascii="Calibri" w:hAnsi="Calibri" w:eastAsia="Calibri"/>
          <w:b w:val="0"/>
        </w:rPr>
        <w:t xml:space="preserve"> partner assets, project and operational data, academic methods, design and construction expertise, finance and valuation expertise, public procurement capacity, user knowledge and prototype resources.</w:t>
      </w:r>
    </w:p>
    <w:p>
      <w:r>
        <w:rPr>
          <w:rFonts w:ascii="Calibri" w:hAnsi="Calibri" w:eastAsia="Calibri"/>
          <w:b/>
        </w:rPr>
        <w:t>Activities:</w:t>
      </w:r>
      <w:r>
        <w:rPr>
          <w:rFonts w:ascii="Calibri" w:hAnsi="Calibri" w:eastAsia="Calibri"/>
          <w:b w:val="0"/>
        </w:rPr>
        <w:t xml:space="preserve"> map decision systems and value gaps; establish baselines; model uncertain futures; co-design interventions; prototype and test; perform LCA/LCC/valuation; observe decision episodes; revise procurement, design and asset-management routines; replicate in contrasting cases.</w:t>
      </w:r>
    </w:p>
    <w:p>
      <w:r>
        <w:rPr>
          <w:rFonts w:ascii="Calibri" w:hAnsi="Calibri" w:eastAsia="Calibri"/>
          <w:b/>
        </w:rPr>
        <w:t>Immediate outputs:</w:t>
      </w:r>
      <w:r>
        <w:rPr>
          <w:rFonts w:ascii="Calibri" w:hAnsi="Calibri" w:eastAsia="Calibri"/>
          <w:b w:val="0"/>
        </w:rPr>
        <w:t xml:space="preserve"> common definitions, case data model, adaptability profiles, scenarios, digital twin use cases, prototype evidence, cost/carbon/social results, valuation translations, decision records, procurement clauses and CAVF versions.</w:t>
      </w:r>
    </w:p>
    <w:p>
      <w:r>
        <w:rPr>
          <w:rFonts w:ascii="Calibri" w:hAnsi="Calibri" w:eastAsia="Calibri"/>
          <w:b/>
        </w:rPr>
        <w:t>Outcomes:</w:t>
      </w:r>
      <w:r>
        <w:rPr>
          <w:rFonts w:ascii="Calibri" w:hAnsi="Calibri" w:eastAsia="Calibri"/>
          <w:b w:val="0"/>
        </w:rPr>
        <w:t xml:space="preserve"> better selection of retention, conversion, sharing and reversible solutions; more consistent whole-life comparisons; reduced decision risk; changed briefs and contracts; investment in options that are likely to be exercised; improved coordination across owners, valuers, designers, contractors, suppliers and users.</w:t>
      </w:r>
    </w:p>
    <w:p>
      <w:r>
        <w:rPr>
          <w:rFonts w:ascii="Calibri" w:hAnsi="Calibri" w:eastAsia="Calibri"/>
          <w:b/>
        </w:rPr>
        <w:t>Long-term impacts:</w:t>
      </w:r>
      <w:r>
        <w:rPr>
          <w:rFonts w:ascii="Calibri" w:hAnsi="Calibri" w:eastAsia="Calibri"/>
          <w:b w:val="0"/>
        </w:rPr>
        <w:t xml:space="preserve"> longer effective building lives, higher utilization, lower whole-life emissions and resource demand, reduced stranded-asset exposure, and scalable circular and adaptive practices.</w:t>
      </w:r>
    </w:p>
    <w:p>
      <w:r>
        <w:rPr>
          <w:rFonts w:ascii="Calibri" w:hAnsi="Calibri" w:eastAsia="Calibri"/>
          <w:b w:val="0"/>
        </w:rPr>
        <w:t>The causal chain should be tested rather than assumed. For example, better data may not change a decision if budgets are siloed, benefits accrue to another actor, procurement forbids variation, or an owner cannot retain future savings. These institutional mechanisms belong inside the research design.</w:t>
      </w:r>
    </w:p>
    <w:p>
      <w:pPr>
        <w:pStyle w:val="Heading2"/>
      </w:pPr>
      <w:r>
        <w:rPr>
          <w:rFonts w:ascii="Calibri" w:hAnsi="Calibri" w:eastAsia="Calibri"/>
          <w:b w:val="0"/>
        </w:rPr>
        <w:t>1.3 Primary research question</w:t>
      </w:r>
    </w:p>
    <w:p>
      <w:pPr>
        <w:keepNext/>
        <w:spacing w:before="100"/>
      </w:pPr>
      <w:r>
        <w:rPr>
          <w:rFonts w:ascii="Calibri" w:hAnsi="Calibri" w:eastAsia="Calibri"/>
          <w:b/>
        </w:rPr>
        <w:t>How can the physical, environmental, social and financial value of built-environment flexibility be measured and translated into repeatable investment, valuation, design, procurement and asset-management decisions across different Swedish building contexts?</w:t>
      </w:r>
    </w:p>
    <w:p>
      <w:pPr>
        <w:pStyle w:val="Heading3"/>
      </w:pPr>
      <w:r>
        <w:rPr>
          <w:rFonts w:ascii="Calibri" w:hAnsi="Calibri" w:eastAsia="Calibri"/>
          <w:b w:val="0"/>
        </w:rPr>
        <w:t>Supporting questions</w:t>
      </w:r>
    </w:p>
    <w:p>
      <w:pPr>
        <w:numPr>
          <w:ilvl w:val="0"/>
          <w:numId w:val="19"/>
        </w:numPr>
      </w:pPr>
      <w:r>
        <w:rPr>
          <w:rFonts w:ascii="Calibri" w:hAnsi="Calibri" w:eastAsia="Calibri"/>
          <w:b w:val="0"/>
        </w:rPr>
        <w:t>Which dimensions of flexibility are material for each case, change scenario and decision-maker?</w:t>
      </w:r>
    </w:p>
    <w:p>
      <w:pPr>
        <w:numPr>
          <w:ilvl w:val="0"/>
          <w:numId w:val="19"/>
        </w:numPr>
      </w:pPr>
      <w:r>
        <w:rPr>
          <w:rFonts w:ascii="Calibri" w:hAnsi="Calibri" w:eastAsia="Calibri"/>
          <w:b w:val="0"/>
        </w:rPr>
        <w:t>Which design and organizational features create usable options, and at what upfront cost and carbon premium?</w:t>
      </w:r>
    </w:p>
    <w:p>
      <w:pPr>
        <w:numPr>
          <w:ilvl w:val="0"/>
          <w:numId w:val="19"/>
        </w:numPr>
      </w:pPr>
      <w:r>
        <w:rPr>
          <w:rFonts w:ascii="Calibri" w:hAnsi="Calibri" w:eastAsia="Calibri"/>
          <w:b w:val="0"/>
        </w:rPr>
        <w:t>Under which future scenarios do those options avoid demolition, new construction, vacancy, disruption, replacement or loss of service?</w:t>
      </w:r>
    </w:p>
    <w:p>
      <w:pPr>
        <w:numPr>
          <w:ilvl w:val="0"/>
          <w:numId w:val="19"/>
        </w:numPr>
      </w:pPr>
      <w:r>
        <w:rPr>
          <w:rFonts w:ascii="Calibri" w:hAnsi="Calibri" w:eastAsia="Calibri"/>
          <w:b w:val="0"/>
        </w:rPr>
        <w:t>How should A1–A5, use-stage, end-of-life and beyond-system-boundary effects be represented without double counting?</w:t>
      </w:r>
    </w:p>
    <w:p>
      <w:pPr>
        <w:numPr>
          <w:ilvl w:val="0"/>
          <w:numId w:val="19"/>
        </w:numPr>
      </w:pPr>
      <w:r>
        <w:rPr>
          <w:rFonts w:ascii="Calibri" w:hAnsi="Calibri" w:eastAsia="Calibri"/>
          <w:b w:val="0"/>
        </w:rPr>
        <w:t>How can flexibility change DCF variables, risk assessments, residual value or real-option value, and what evidence do valuers and investors accept?</w:t>
      </w:r>
    </w:p>
    <w:p>
      <w:pPr>
        <w:numPr>
          <w:ilvl w:val="0"/>
          <w:numId w:val="19"/>
        </w:numPr>
      </w:pPr>
      <w:r>
        <w:rPr>
          <w:rFonts w:ascii="Calibri" w:hAnsi="Calibri" w:eastAsia="Calibri"/>
          <w:b w:val="0"/>
        </w:rPr>
        <w:t>How are costs, benefits, risks and control distributed among owners, tenants, municipalities, users, suppliers and future actors?</w:t>
      </w:r>
    </w:p>
    <w:p>
      <w:pPr>
        <w:numPr>
          <w:ilvl w:val="0"/>
          <w:numId w:val="19"/>
        </w:numPr>
      </w:pPr>
      <w:r>
        <w:rPr>
          <w:rFonts w:ascii="Calibri" w:hAnsi="Calibri" w:eastAsia="Calibri"/>
          <w:b w:val="0"/>
        </w:rPr>
        <w:t>Which digital information is minimally necessary to support decisions and later transformation?</w:t>
      </w:r>
    </w:p>
    <w:p>
      <w:pPr>
        <w:numPr>
          <w:ilvl w:val="0"/>
          <w:numId w:val="19"/>
        </w:numPr>
      </w:pPr>
      <w:r>
        <w:rPr>
          <w:rFonts w:ascii="Calibri" w:hAnsi="Calibri" w:eastAsia="Calibri"/>
          <w:b w:val="0"/>
        </w:rPr>
        <w:t>Which prototype and living-lab methods generate credible, transferable evidence?</w:t>
      </w:r>
    </w:p>
    <w:p>
      <w:pPr>
        <w:numPr>
          <w:ilvl w:val="0"/>
          <w:numId w:val="19"/>
        </w:numPr>
      </w:pPr>
      <w:r>
        <w:rPr>
          <w:rFonts w:ascii="Calibri" w:hAnsi="Calibri" w:eastAsia="Calibri"/>
          <w:b w:val="0"/>
        </w:rPr>
        <w:t>Which parts of CAVF generalize across cases and which must remain contextual?</w:t>
      </w:r>
    </w:p>
    <w:p>
      <w:pPr>
        <w:numPr>
          <w:ilvl w:val="0"/>
          <w:numId w:val="19"/>
        </w:numPr>
      </w:pPr>
      <w:r>
        <w:rPr>
          <w:rFonts w:ascii="Calibri" w:hAnsi="Calibri" w:eastAsia="Calibri"/>
          <w:b w:val="0"/>
        </w:rPr>
        <w:t>Does using CAVF change real decisions, and does the change persist in organizational routines?</w:t>
      </w:r>
    </w:p>
    <w:p>
      <w:pPr>
        <w:pStyle w:val="Heading1"/>
        <w:pageBreakBefore/>
      </w:pPr>
      <w:r>
        <w:rPr>
          <w:rFonts w:ascii="Calibri" w:hAnsi="Calibri" w:eastAsia="Calibri"/>
          <w:b w:val="0"/>
        </w:rPr>
        <w:t>2. Conceptual foundations</w:t>
      </w:r>
    </w:p>
    <w:p>
      <w:pPr>
        <w:pStyle w:val="Heading2"/>
      </w:pPr>
      <w:r>
        <w:rPr>
          <w:rFonts w:ascii="Calibri" w:hAnsi="Calibri" w:eastAsia="Calibri"/>
          <w:b w:val="0"/>
        </w:rPr>
        <w:t>2.1 A working vocabulary</w:t>
      </w:r>
    </w:p>
    <w:p>
      <w:r>
        <w:rPr>
          <w:rFonts w:ascii="Calibri" w:hAnsi="Calibri" w:eastAsia="Calibri"/>
          <w:b w:val="0"/>
        </w:rPr>
        <w:t>The literature uses flexibility, adaptability, convertibility, versatility, transformability, resilience and circularity inconsistently. The 2024 systematic review by Mlote, Budig and Cheah confirms that definitional fragmentation remains a major barrier. MARIEVIK+ should adopt operational definitions and require every case to state the relevant scale, timescale, trigger and actor.</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400"/>
        <w:gridCol w:w="3660"/>
        <w:gridCol w:w="3300"/>
      </w:tblGrid>
      <w:tr>
        <w:trPr>
          <w:tblHeader w:val="true"/>
        </w:trPr>
        <w:tc>
          <w:tcPr>
            <w:tcW w:type="dxa" w:w="24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Term</w:t>
            </w:r>
          </w:p>
        </w:tc>
        <w:tc>
          <w:tcPr>
            <w:tcW w:type="dxa" w:w="366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Operational definition for MARIEVIK+</w:t>
            </w:r>
          </w:p>
        </w:tc>
        <w:tc>
          <w:tcPr>
            <w:tcW w:type="dxa" w:w="33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Key distinction</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Flexibility</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Umbrella capacity of a built asset and its governance system to accommodate change with acceptable cost, time, disruption and impact</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Broad project concept</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Adaptability</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Capacity to accommodate changed use, form or performance during the asset’s useful life without major reconstruction or demolition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Long-to-medium-term change</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Versatility / polyvalence</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Ability to support different activities with little or no physical change</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Use changes, asset stays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Convertibility</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Capacity to change to a materially different use, such as office to housing</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Use and configuration change</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Reconfigurability</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Capacity to rearrange space, systems or components</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Usually reversible internal change</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Expandability / scalability</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Capacity to add or remove area, volume, capacity or units</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Quantity changes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Upgradability</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Capacity to replace or improve systems without damaging slower-life layers</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Performance/technology change</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Disassembly / deconstruction</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Planned separation of components with limited damage for repair, reuse, remanufacture or high-value recycling</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End-of-use or transformation process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Circularity</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Strategies that retain utility and value of buildings, spaces, components and materials and reduce virgin resource use and waste</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Resource and value loops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Resilience</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Ability to anticipate, absorb, recover from and transform in response to shocks and stresses</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Performance under disruption</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Robustness</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Ability to maintain performance across conditions without changing</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Stable response, not adaptation</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Energy flexibility</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Ability to manage energy demand and generation in response to climate, occupant and grid needs</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Grid/time dimension; not synonymous with spatial flexibility</w:t>
            </w:r>
          </w:p>
        </w:tc>
      </w:tr>
    </w:tbl>
    <w:p>
      <w:pPr>
        <w:spacing w:after="40"/>
      </w:pPr>
    </w:p>
    <w:p>
      <w:pPr>
        <w:pStyle w:val="Heading2"/>
      </w:pPr>
      <w:r>
        <w:rPr>
          <w:rFonts w:ascii="Calibri" w:hAnsi="Calibri" w:eastAsia="Calibri"/>
          <w:b w:val="0"/>
        </w:rPr>
        <w:t>2.2 A multi-dimensional flexibility taxonomy</w:t>
      </w:r>
    </w:p>
    <w:p>
      <w:r>
        <w:rPr>
          <w:rFonts w:ascii="Calibri" w:hAnsi="Calibri" w:eastAsia="Calibri"/>
          <w:b w:val="0"/>
        </w:rPr>
        <w:t>MARIEVIK+ should assess ten dimensions. A case may designate some as out of scope, but only with an explicit reason.</w:t>
      </w:r>
    </w:p>
    <w:p>
      <w:pPr>
        <w:numPr>
          <w:ilvl w:val="0"/>
          <w:numId w:val="20"/>
        </w:numPr>
      </w:pPr>
      <w:r>
        <w:rPr>
          <w:rFonts w:ascii="Calibri" w:hAnsi="Calibri" w:eastAsia="Calibri"/>
          <w:b/>
        </w:rPr>
        <w:t>Spatial:</w:t>
      </w:r>
      <w:r>
        <w:rPr>
          <w:rFonts w:ascii="Calibri" w:hAnsi="Calibri" w:eastAsia="Calibri"/>
          <w:b w:val="0"/>
        </w:rPr>
        <w:t xml:space="preserve"> plan depth, geometry, circulation, subdivision, combining units, neutral room proportions, usable ceiling height and access.</w:t>
      </w:r>
    </w:p>
    <w:p>
      <w:pPr>
        <w:numPr>
          <w:ilvl w:val="0"/>
          <w:numId w:val="20"/>
        </w:numPr>
      </w:pPr>
      <w:r>
        <w:rPr>
          <w:rFonts w:ascii="Calibri" w:hAnsi="Calibri" w:eastAsia="Calibri"/>
          <w:b/>
        </w:rPr>
        <w:t>Functional:</w:t>
      </w:r>
      <w:r>
        <w:rPr>
          <w:rFonts w:ascii="Calibri" w:hAnsi="Calibri" w:eastAsia="Calibri"/>
          <w:b w:val="0"/>
        </w:rPr>
        <w:t xml:space="preserve"> range of feasible uses and ease of conversion between them, including regulatory and market feasibility.</w:t>
      </w:r>
    </w:p>
    <w:p>
      <w:pPr>
        <w:numPr>
          <w:ilvl w:val="0"/>
          <w:numId w:val="20"/>
        </w:numPr>
      </w:pPr>
      <w:r>
        <w:rPr>
          <w:rFonts w:ascii="Calibri" w:hAnsi="Calibri" w:eastAsia="Calibri"/>
          <w:b/>
        </w:rPr>
        <w:t>Structural and capacity:</w:t>
      </w:r>
      <w:r>
        <w:rPr>
          <w:rFonts w:ascii="Calibri" w:hAnsi="Calibri" w:eastAsia="Calibri"/>
          <w:b w:val="0"/>
        </w:rPr>
        <w:t xml:space="preserve"> grid, spans, loading, floor-to-floor height, cores, penetrations, reserve capacity and potential extension.</w:t>
      </w:r>
    </w:p>
    <w:p>
      <w:pPr>
        <w:numPr>
          <w:ilvl w:val="0"/>
          <w:numId w:val="20"/>
        </w:numPr>
      </w:pPr>
      <w:r>
        <w:rPr>
          <w:rFonts w:ascii="Calibri" w:hAnsi="Calibri" w:eastAsia="Calibri"/>
          <w:b/>
        </w:rPr>
        <w:t>Technical/services:</w:t>
      </w:r>
      <w:r>
        <w:rPr>
          <w:rFonts w:ascii="Calibri" w:hAnsi="Calibri" w:eastAsia="Calibri"/>
          <w:b w:val="0"/>
        </w:rPr>
        <w:t xml:space="preserve"> accessibility, separability, distribution zones, capacity, metering, replaceability and compatibility of systems.</w:t>
      </w:r>
    </w:p>
    <w:p>
      <w:pPr>
        <w:numPr>
          <w:ilvl w:val="0"/>
          <w:numId w:val="20"/>
        </w:numPr>
      </w:pPr>
      <w:r>
        <w:rPr>
          <w:rFonts w:ascii="Calibri" w:hAnsi="Calibri" w:eastAsia="Calibri"/>
          <w:b/>
        </w:rPr>
        <w:t>Material and assembly:</w:t>
      </w:r>
      <w:r>
        <w:rPr>
          <w:rFonts w:ascii="Calibri" w:hAnsi="Calibri" w:eastAsia="Calibri"/>
          <w:b w:val="0"/>
        </w:rPr>
        <w:t xml:space="preserve"> reversible connections, layer independence, non-destructive access, recoverability, documentation, toxicity and reuse routes.</w:t>
      </w:r>
    </w:p>
    <w:p>
      <w:pPr>
        <w:numPr>
          <w:ilvl w:val="0"/>
          <w:numId w:val="20"/>
        </w:numPr>
      </w:pPr>
      <w:r>
        <w:rPr>
          <w:rFonts w:ascii="Calibri" w:hAnsi="Calibri" w:eastAsia="Calibri"/>
          <w:b/>
        </w:rPr>
        <w:t>Operational and temporal:</w:t>
      </w:r>
      <w:r>
        <w:rPr>
          <w:rFonts w:ascii="Calibri" w:hAnsi="Calibri" w:eastAsia="Calibri"/>
          <w:b w:val="0"/>
        </w:rPr>
        <w:t xml:space="preserve"> booking, access, management, shared use, intensity of use, seasonal or daily reprogramming and service continuity during change.</w:t>
      </w:r>
    </w:p>
    <w:p>
      <w:pPr>
        <w:numPr>
          <w:ilvl w:val="0"/>
          <w:numId w:val="20"/>
        </w:numPr>
      </w:pPr>
      <w:r>
        <w:rPr>
          <w:rFonts w:ascii="Calibri" w:hAnsi="Calibri" w:eastAsia="Calibri"/>
          <w:b/>
        </w:rPr>
        <w:t>Energy:</w:t>
      </w:r>
      <w:r>
        <w:rPr>
          <w:rFonts w:ascii="Calibri" w:hAnsi="Calibri" w:eastAsia="Calibri"/>
          <w:b w:val="0"/>
        </w:rPr>
        <w:t xml:space="preserve"> controllable loads, thermal storage, on-site generation, storage, EV interaction, comfort constraints and response to grid signals.</w:t>
      </w:r>
    </w:p>
    <w:p>
      <w:pPr>
        <w:numPr>
          <w:ilvl w:val="0"/>
          <w:numId w:val="20"/>
        </w:numPr>
      </w:pPr>
      <w:r>
        <w:rPr>
          <w:rFonts w:ascii="Calibri" w:hAnsi="Calibri" w:eastAsia="Calibri"/>
          <w:b/>
        </w:rPr>
        <w:t>Climate and hazard:</w:t>
      </w:r>
      <w:r>
        <w:rPr>
          <w:rFonts w:ascii="Calibri" w:hAnsi="Calibri" w:eastAsia="Calibri"/>
          <w:b w:val="0"/>
        </w:rPr>
        <w:t xml:space="preserve"> capacity to adapt to heat, intense rainfall, flooding, moisture, changing ground conditions and other relevant Swedish hazards.</w:t>
      </w:r>
    </w:p>
    <w:p>
      <w:pPr>
        <w:numPr>
          <w:ilvl w:val="0"/>
          <w:numId w:val="20"/>
        </w:numPr>
      </w:pPr>
      <w:r>
        <w:rPr>
          <w:rFonts w:ascii="Calibri" w:hAnsi="Calibri" w:eastAsia="Calibri"/>
          <w:b/>
        </w:rPr>
        <w:t>Social and inclusive:</w:t>
      </w:r>
      <w:r>
        <w:rPr>
          <w:rFonts w:ascii="Calibri" w:hAnsi="Calibri" w:eastAsia="Calibri"/>
          <w:b w:val="0"/>
        </w:rPr>
        <w:t xml:space="preserve"> universal access, safety, comfort, user agency, affordability, cultural value, distributional effects and ability to serve changing populations.</w:t>
      </w:r>
    </w:p>
    <w:p>
      <w:pPr>
        <w:numPr>
          <w:ilvl w:val="0"/>
          <w:numId w:val="20"/>
        </w:numPr>
      </w:pPr>
      <w:r>
        <w:rPr>
          <w:rFonts w:ascii="Calibri" w:hAnsi="Calibri" w:eastAsia="Calibri"/>
          <w:b/>
        </w:rPr>
        <w:t>Organizational, contractual and financial:</w:t>
      </w:r>
      <w:r>
        <w:rPr>
          <w:rFonts w:ascii="Calibri" w:hAnsi="Calibri" w:eastAsia="Calibri"/>
          <w:b w:val="0"/>
        </w:rPr>
        <w:t xml:space="preserve"> decision rights, data access, maintenance capability, procurement permissions, lease incentives, financing, insurance and the ability to exercise options.</w:t>
      </w:r>
    </w:p>
    <w:p>
      <w:r>
        <w:rPr>
          <w:rFonts w:ascii="Calibri" w:hAnsi="Calibri" w:eastAsia="Calibri"/>
          <w:b w:val="0"/>
        </w:rPr>
        <w:t>The first five mainly describe physical option capacity. The latter five determine whether that capacity becomes usable value.</w:t>
      </w:r>
    </w:p>
    <w:p>
      <w:pPr>
        <w:pStyle w:val="Heading2"/>
      </w:pPr>
      <w:r>
        <w:rPr>
          <w:rFonts w:ascii="Calibri" w:hAnsi="Calibri" w:eastAsia="Calibri"/>
          <w:b w:val="0"/>
        </w:rPr>
        <w:t>2.3 Scale, time and layers</w:t>
      </w:r>
    </w:p>
    <w:p>
      <w:r>
        <w:rPr>
          <w:rFonts w:ascii="Calibri" w:hAnsi="Calibri" w:eastAsia="Calibri"/>
          <w:b w:val="0"/>
        </w:rPr>
        <w:t>Flexibility is scale-dependent. The assessment should record at least five scales: component, room/unit, building, plot/block and portfolio/urban system. An office floor may be convertible while the planning designation, access to daylight or municipal service capacity prevents a building conversion. Conversely, portfolio-level flexibility may be achieved by moving services among specialized buildings rather than making every building maximally generic.</w:t>
      </w:r>
    </w:p>
    <w:p>
      <w:r>
        <w:rPr>
          <w:rFonts w:ascii="Calibri" w:hAnsi="Calibri" w:eastAsia="Calibri"/>
          <w:b w:val="0"/>
        </w:rPr>
        <w:t>The Open Building tradition separates long-life support from shorter-life infill and associates change with different decision levels. Frank Duffy’s and Stewart Brand’s shearing-layers model—site, structure, skin, services, space plan and stuff—adds a time logic: fast-changing layers should be accessible and should not be trapped behind slow-changing ones. These concepts remain useful design heuristics, but MARIEVIK+ must convert them into measurable transformation tasks, costs, time and disruption.</w:t>
      </w:r>
    </w:p>
    <w:p>
      <w:pPr>
        <w:pStyle w:val="Heading2"/>
      </w:pPr>
      <w:r>
        <w:rPr>
          <w:rFonts w:ascii="Calibri" w:hAnsi="Calibri" w:eastAsia="Calibri"/>
          <w:b w:val="0"/>
        </w:rPr>
        <w:t>2.4 Capacity, event and outcome</w:t>
      </w:r>
    </w:p>
    <w:p>
      <w:r>
        <w:rPr>
          <w:rFonts w:ascii="Calibri" w:hAnsi="Calibri" w:eastAsia="Calibri"/>
          <w:b w:val="0"/>
        </w:rPr>
        <w:t>Three constructs must not be conflated:</w:t>
      </w:r>
    </w:p>
    <w:p>
      <w:pPr>
        <w:numPr>
          <w:ilvl w:val="0"/>
          <w:numId w:val="10"/>
        </w:numPr>
      </w:pPr>
      <w:r>
        <w:rPr>
          <w:rFonts w:ascii="Calibri" w:hAnsi="Calibri" w:eastAsia="Calibri"/>
          <w:b/>
        </w:rPr>
        <w:t>Flexibility capacity:</w:t>
      </w:r>
      <w:r>
        <w:rPr>
          <w:rFonts w:ascii="Calibri" w:hAnsi="Calibri" w:eastAsia="Calibri"/>
          <w:b w:val="0"/>
        </w:rPr>
        <w:t xml:space="preserve"> latent characteristics before a change is required.</w:t>
      </w:r>
    </w:p>
    <w:p>
      <w:pPr>
        <w:numPr>
          <w:ilvl w:val="0"/>
          <w:numId w:val="10"/>
        </w:numPr>
      </w:pPr>
      <w:r>
        <w:rPr>
          <w:rFonts w:ascii="Calibri" w:hAnsi="Calibri" w:eastAsia="Calibri"/>
          <w:b/>
        </w:rPr>
        <w:t>Transformation event:</w:t>
      </w:r>
      <w:r>
        <w:rPr>
          <w:rFonts w:ascii="Calibri" w:hAnsi="Calibri" w:eastAsia="Calibri"/>
          <w:b w:val="0"/>
        </w:rPr>
        <w:t xml:space="preserve"> the actual conversion, reconfiguration, upgrade, sharing arrangement or disassembly.</w:t>
      </w:r>
    </w:p>
    <w:p>
      <w:pPr>
        <w:numPr>
          <w:ilvl w:val="0"/>
          <w:numId w:val="10"/>
        </w:numPr>
      </w:pPr>
      <w:r>
        <w:rPr>
          <w:rFonts w:ascii="Calibri" w:hAnsi="Calibri" w:eastAsia="Calibri"/>
          <w:b/>
        </w:rPr>
        <w:t>Outcome:</w:t>
      </w:r>
      <w:r>
        <w:rPr>
          <w:rFonts w:ascii="Calibri" w:hAnsi="Calibri" w:eastAsia="Calibri"/>
          <w:b w:val="0"/>
        </w:rPr>
        <w:t xml:space="preserve"> avoided emissions/cost, retained service, income, social value or reduced risk relative to a counterfactual.</w:t>
      </w:r>
    </w:p>
    <w:p>
      <w:r>
        <w:rPr>
          <w:rFonts w:ascii="Calibri" w:hAnsi="Calibri" w:eastAsia="Calibri"/>
          <w:b w:val="0"/>
        </w:rPr>
        <w:t>A building can score highly on capacity and never exercise the option. A low-scoring existing building can still be successfully converted through an unusually creative, expensive intervention. CAVF must therefore record capacity ex ante and performance ex post.</w:t>
      </w:r>
    </w:p>
    <w:p>
      <w:pPr>
        <w:pStyle w:val="Heading1"/>
        <w:pageBreakBefore/>
      </w:pPr>
      <w:r>
        <w:rPr>
          <w:rFonts w:ascii="Calibri" w:hAnsi="Calibri" w:eastAsia="Calibri"/>
          <w:b w:val="0"/>
        </w:rPr>
        <w:t>3. Theory base for MARIEVIK+</w:t>
      </w:r>
    </w:p>
    <w:p>
      <w:pPr>
        <w:pStyle w:val="Heading2"/>
      </w:pPr>
      <w:r>
        <w:rPr>
          <w:rFonts w:ascii="Calibri" w:hAnsi="Calibri" w:eastAsia="Calibri"/>
          <w:b w:val="0"/>
        </w:rPr>
        <w:t>3.1 Open Building and user agency</w:t>
      </w:r>
    </w:p>
    <w:p>
      <w:r>
        <w:rPr>
          <w:rFonts w:ascii="Calibri" w:hAnsi="Calibri" w:eastAsia="Calibri"/>
          <w:b w:val="0"/>
        </w:rPr>
        <w:t>Habraken’s support–infill distinction treats the permanent base building and changeable infill as different technical and decision domains. Its importance is not only modularity; it redistributes control so that users or later actors can change their environment without redesigning the whole. For MARIEVIK+, the theory suggests three tests: whether layers are physically independent, whether decision rights align with those layers, and whether interfaces are documented enough for later actors.</w:t>
      </w:r>
    </w:p>
    <w:p>
      <w:pPr>
        <w:pStyle w:val="Heading2"/>
      </w:pPr>
      <w:r>
        <w:rPr>
          <w:rFonts w:ascii="Calibri" w:hAnsi="Calibri" w:eastAsia="Calibri"/>
          <w:b w:val="0"/>
        </w:rPr>
        <w:t>3.2 Design for change</w:t>
      </w:r>
    </w:p>
    <w:p>
      <w:r>
        <w:rPr>
          <w:rFonts w:ascii="Calibri" w:hAnsi="Calibri" w:eastAsia="Calibri"/>
          <w:b w:val="0"/>
        </w:rPr>
        <w:t>Slaughter’s design strategies—adaptability, flexibility, convertibility, expandability and related forms—frame change as a design requirement rather than an exception. Contemporary reviews add modularity and upgradability. The main lesson is to define anticipated change types and develop enabling strategies early. Over-optimization for one brief can oppose adaptability; spare capacity and genericity should be targeted where uncertainty and consequence justify them.</w:t>
      </w:r>
    </w:p>
    <w:p>
      <w:pPr>
        <w:pStyle w:val="Heading2"/>
      </w:pPr>
      <w:r>
        <w:rPr>
          <w:rFonts w:ascii="Calibri" w:hAnsi="Calibri" w:eastAsia="Calibri"/>
          <w:b w:val="0"/>
        </w:rPr>
        <w:t>3.3 Obsolescence theory</w:t>
      </w:r>
    </w:p>
    <w:p>
      <w:r>
        <w:rPr>
          <w:rFonts w:ascii="Calibri" w:hAnsi="Calibri" w:eastAsia="Calibri"/>
          <w:b w:val="0"/>
        </w:rPr>
        <w:t>Buildings can become obsolete before physical failure. Relevant forms include functional, technological, economic, legal/regulatory, environmental, social, aesthetic, locational and tenure obsolescence. Flexibility is a hedge against some—but not all—forms. CAVF should map each future scenario to an obsolescence mechanism and identify whether the proposed option can actually respond. A movable wall does not hedge against flood risk; structural reserve capacity does not solve a planning prohibition.</w:t>
      </w:r>
    </w:p>
    <w:p>
      <w:pPr>
        <w:pStyle w:val="Heading2"/>
      </w:pPr>
      <w:r>
        <w:rPr>
          <w:rFonts w:ascii="Calibri" w:hAnsi="Calibri" w:eastAsia="Calibri"/>
          <w:b w:val="0"/>
        </w:rPr>
        <w:t>3.4 Circular economy and value retention</w:t>
      </w:r>
    </w:p>
    <w:p>
      <w:r>
        <w:rPr>
          <w:rFonts w:ascii="Calibri" w:hAnsi="Calibri" w:eastAsia="Calibri"/>
          <w:b w:val="0"/>
        </w:rPr>
        <w:t>Circular strategies should follow a value-retention hierarchy: avoid new demand through sharing and better use; retain and adapt whole buildings; retain assemblies and components; repair and remanufacture; recycle materials; recover energy or dispose only as lower-priority outcomes. Adaptability keeps buildings in use; reversible design preserves component value. The BAMB project’s materials-passport and reversible-design work and ISO 20887 provide relevant foundations.</w:t>
      </w:r>
    </w:p>
    <w:p>
      <w:r>
        <w:rPr>
          <w:rFonts w:ascii="Calibri" w:hAnsi="Calibri" w:eastAsia="Calibri"/>
          <w:b w:val="0"/>
        </w:rPr>
        <w:t>Circularity is not the same as module D benefit. Reuse claims depend on future demand, quality, ownership, logistics, timing, certification and allocation. CAVF should represent recovery potential and an evidence-based recovery scenario separately from realized recovery.</w:t>
      </w:r>
    </w:p>
    <w:p>
      <w:pPr>
        <w:pStyle w:val="Heading2"/>
      </w:pPr>
      <w:r>
        <w:rPr>
          <w:rFonts w:ascii="Calibri" w:hAnsi="Calibri" w:eastAsia="Calibri"/>
          <w:b w:val="0"/>
        </w:rPr>
        <w:t>3.5 Real options and decision-making under uncertainty</w:t>
      </w:r>
    </w:p>
    <w:p>
      <w:r>
        <w:rPr>
          <w:rFonts w:ascii="Calibri" w:hAnsi="Calibri" w:eastAsia="Calibri"/>
          <w:b w:val="0"/>
        </w:rPr>
        <w:t>A real option is a right but not an obligation to act after uncertainty has partly resolved. Built-environment examples include options to defer, stage, expand, contract, switch use, upgrade, share or abandon. A flexible floor plate, spare riser, demountable façade or reserved structural capacity can create an option if an actor has the right, information and resources to exercise it.</w:t>
      </w:r>
    </w:p>
    <w:p>
      <w:r>
        <w:rPr>
          <w:rFonts w:ascii="Calibri" w:hAnsi="Calibri" w:eastAsia="Calibri"/>
          <w:b w:val="0"/>
        </w:rPr>
        <w:t>Real-options logic corrects a weakness in static DCF: uncertain future flexibility is not a fixed forecasted cash flow. Its value depends on volatility/uncertainty, the time before the option expires, exercise cost, avoided alternative cost, future revenues and decision rules. The project should not apply complex option pricing reflexively. Decision-tree analysis or simulation can be more transparent; formal real-options valuation is justified when the option, exercise threshold and uncertainty can be specified.</w:t>
      </w:r>
    </w:p>
    <w:p>
      <w:pPr>
        <w:pStyle w:val="Heading2"/>
      </w:pPr>
      <w:r>
        <w:rPr>
          <w:rFonts w:ascii="Calibri" w:hAnsi="Calibri" w:eastAsia="Calibri"/>
          <w:b w:val="0"/>
        </w:rPr>
        <w:t>3.6 Socio-technical transitions and the Multi-Level Perspective</w:t>
      </w:r>
    </w:p>
    <w:p>
      <w:r>
        <w:rPr>
          <w:rFonts w:ascii="Calibri" w:hAnsi="Calibri" w:eastAsia="Calibri"/>
          <w:b w:val="0"/>
        </w:rPr>
        <w:t>The Multi-Level Perspective (MLP) distinguishes protected niches, established regimes and broader landscape pressures. MARIEVIK+ laboratories can operate as niches in which new valuation, procurement, data and construction practices are tested. Scaling depends on alignment with regime actors and rules—banks, valuers, standards, building regulation, leases, procurement and professional routines—and on pressures such as climate policy, demographic change and vacancy.</w:t>
      </w:r>
    </w:p>
    <w:p>
      <w:r>
        <w:rPr>
          <w:rFonts w:ascii="Calibri" w:hAnsi="Calibri" w:eastAsia="Calibri"/>
          <w:b w:val="0"/>
        </w:rPr>
        <w:t>MLP is an explanatory lens, not a project schedule. Its limits include insufficient attention to power, agency, geography and conflict unless those are added explicitly. The project should map who gains, who pays, who controls evidence and who can block implementation.</w:t>
      </w:r>
    </w:p>
    <w:p>
      <w:pPr>
        <w:pStyle w:val="Heading2"/>
      </w:pPr>
      <w:r>
        <w:rPr>
          <w:rFonts w:ascii="Calibri" w:hAnsi="Calibri" w:eastAsia="Calibri"/>
          <w:b w:val="0"/>
        </w:rPr>
        <w:t>3.7 Living labs, action research and organizational learning</w:t>
      </w:r>
    </w:p>
    <w:p>
      <w:r>
        <w:rPr>
          <w:rFonts w:ascii="Calibri" w:hAnsi="Calibri" w:eastAsia="Calibri"/>
          <w:b w:val="0"/>
        </w:rPr>
        <w:t>Urban living labs combine a real-world arena with collaborative experimentation. Their strengths are contextual learning, co-creation and rapid iteration; their risks are weak counterfactuals, participant bias, unclear consent, dependence on champions and limited transferability. MARIEVIK+ should combine living-lab practice with rigorous embedded case-study protocols, documented hypotheses and decision records.</w:t>
      </w:r>
    </w:p>
    <w:p>
      <w:r>
        <w:rPr>
          <w:rFonts w:ascii="Calibri" w:hAnsi="Calibri" w:eastAsia="Calibri"/>
          <w:b w:val="0"/>
        </w:rPr>
        <w:t>Action research is appropriate when researchers and practitioners jointly change a system and reflect on results. Each cycle should be recorded as: diagnose → plan → act → observe → reflect → revise. Researchers should distinguish facilitation notes from evaluative evidence and record their own intervention role.</w:t>
      </w:r>
    </w:p>
    <w:p>
      <w:pPr>
        <w:pStyle w:val="Heading2"/>
      </w:pPr>
      <w:r>
        <w:rPr>
          <w:rFonts w:ascii="Calibri" w:hAnsi="Calibri" w:eastAsia="Calibri"/>
          <w:b w:val="0"/>
        </w:rPr>
        <w:t>3.8 Backcasting, scenarios and adaptive pathways</w:t>
      </w:r>
    </w:p>
    <w:p>
      <w:r>
        <w:rPr>
          <w:rFonts w:ascii="Calibri" w:hAnsi="Calibri" w:eastAsia="Calibri"/>
          <w:b w:val="0"/>
        </w:rPr>
        <w:t>Backcasting begins with a desirable future and works backward to actions and milestones. It fits a transformation project but can privilege one normative future. It should be paired with exploratory scenarios that test demographic, market, regulatory, climate, technology and organizational uncertainty. Adaptive pathways identify actions that are robust now, signposts to monitor and options to trigger later.</w:t>
      </w:r>
    </w:p>
    <w:p>
      <w:pPr>
        <w:pStyle w:val="Heading2"/>
      </w:pPr>
      <w:r>
        <w:rPr>
          <w:rFonts w:ascii="Calibri" w:hAnsi="Calibri" w:eastAsia="Calibri"/>
          <w:b w:val="0"/>
        </w:rPr>
        <w:t>3.9 Institutional economics, principal–agent problems and split incentives</w:t>
      </w:r>
    </w:p>
    <w:p>
      <w:r>
        <w:rPr>
          <w:rFonts w:ascii="Calibri" w:hAnsi="Calibri" w:eastAsia="Calibri"/>
          <w:b w:val="0"/>
        </w:rPr>
        <w:t>Flexible and efficient buildings are vulnerable to principal–agent problems: one party pays while another receives the benefit; future users are absent; information is asymmetric; and contracts cannot specify all contingencies. Examples include landlord/tenant utility savings, municipal capital/operating budgets, developer/long-term-owner horizons, and designer/contractor benefits from standardized delivery versus owner benefits from future adaptability. CAVF must show value distribution and propose contracts, leases, performance requirements or shared-savings arrangements that enable action.</w:t>
      </w:r>
    </w:p>
    <w:p>
      <w:pPr>
        <w:pStyle w:val="Heading2"/>
      </w:pPr>
      <w:r>
        <w:rPr>
          <w:rFonts w:ascii="Calibri" w:hAnsi="Calibri" w:eastAsia="Calibri"/>
          <w:b w:val="0"/>
        </w:rPr>
        <w:t>3.10 Service and ecosystem value</w:t>
      </w:r>
    </w:p>
    <w:p>
      <w:r>
        <w:rPr>
          <w:rFonts w:ascii="Calibri" w:hAnsi="Calibri" w:eastAsia="Calibri"/>
          <w:b w:val="0"/>
        </w:rPr>
        <w:t>Buildings create services—shelter, learning, care, work, culture and social connection—not simply floor area. Service logic shifts the functional unit from “one square metre” toward a delivered service over time. Ecosystem thinking recognizes that circular offerings may require take-back providers, logistics, certification, digital records, finance and secondary markets. A technically reusable component without an ecosystem is only potentially circular.</w:t>
      </w:r>
    </w:p>
    <w:p>
      <w:pPr>
        <w:pStyle w:val="Heading1"/>
        <w:pageBreakBefore/>
      </w:pPr>
      <w:r>
        <w:rPr>
          <w:rFonts w:ascii="Calibri" w:hAnsi="Calibri" w:eastAsia="Calibri"/>
          <w:b w:val="0"/>
        </w:rPr>
        <w:t>4. State of knowledge: assessment frameworks</w:t>
      </w:r>
    </w:p>
    <w:p>
      <w:r>
        <w:rPr>
          <w:rFonts w:ascii="Calibri" w:hAnsi="Calibri" w:eastAsia="Calibri"/>
          <w:b w:val="0"/>
        </w:rPr>
        <w:t>Systematic reviews show a growing set of adaptability tools but limited convergence and validation. MARIEVIK+ should use them as a structured criteria bank and benchmark rather than choosing one unmodified.</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500"/>
        <w:gridCol w:w="2100"/>
        <w:gridCol w:w="1900"/>
        <w:gridCol w:w="1900"/>
        <w:gridCol w:w="1960"/>
      </w:tblGrid>
      <w:tr>
        <w:trPr>
          <w:tblHeader w:val="true"/>
        </w:trPr>
        <w:tc>
          <w:tcPr>
            <w:tcW w:type="dxa" w:w="15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Framework</w:t>
            </w:r>
          </w:p>
        </w:tc>
        <w:tc>
          <w:tcPr>
            <w:tcW w:type="dxa" w:w="21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Main purpose</w:t>
            </w:r>
          </w:p>
        </w:tc>
        <w:tc>
          <w:tcPr>
            <w:tcW w:type="dxa" w:w="19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Strength</w:t>
            </w:r>
          </w:p>
        </w:tc>
        <w:tc>
          <w:tcPr>
            <w:tcW w:type="dxa" w:w="19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Limitation for MARIEVIK+</w:t>
            </w:r>
          </w:p>
        </w:tc>
        <w:tc>
          <w:tcPr>
            <w:tcW w:type="dxa" w:w="196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Recommended use</w:t>
            </w:r>
          </w:p>
        </w:tc>
      </w:tr>
      <w:tr>
        <w:tc>
          <w:tcPr>
            <w:tcW w:type="dxa" w:w="15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ISO 20887:2020</w:t>
            </w:r>
          </w:p>
        </w:tc>
        <w:tc>
          <w:tcPr>
            <w:tcW w:type="dxa" w:w="21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Principles and guidance for design for disassembly and adaptability</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International, broad lifecycle and stakeholder scope</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No project-specific thresholds</w:t>
            </w:r>
          </w:p>
        </w:tc>
        <w:tc>
          <w:tcPr>
            <w:tcW w:type="dxa" w:w="19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Minimum principle set and terminology</w:t>
            </w:r>
          </w:p>
        </w:tc>
      </w:tr>
      <w:tr>
        <w:tc>
          <w:tcPr>
            <w:tcW w:type="dxa" w:w="15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EU Level(s) 2.3</w:t>
            </w:r>
          </w:p>
        </w:tc>
        <w:tc>
          <w:tcPr>
            <w:tcW w:type="dxa" w:w="21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Semi-quantitative adaptability assessment for offices/residential</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EU policy alignment; structure/layout/services; three project stages</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Proxy score; limited monetization and broader building types</w:t>
            </w:r>
          </w:p>
        </w:tc>
        <w:tc>
          <w:tcPr>
            <w:tcW w:type="dxa" w:w="19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Core physical checklist; adapt to schools/care</w:t>
            </w:r>
          </w:p>
        </w:tc>
      </w:tr>
      <w:tr>
        <w:tc>
          <w:tcPr>
            <w:tcW w:type="dxa" w:w="15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EU Level(s) 2.4</w:t>
            </w:r>
          </w:p>
        </w:tc>
        <w:tc>
          <w:tcPr>
            <w:tcW w:type="dxa" w:w="21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Design for deconstruction</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Links access, disassembly, reuse and recycling</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Future recovery remains scenario-dependent</w:t>
            </w:r>
          </w:p>
        </w:tc>
        <w:tc>
          <w:tcPr>
            <w:tcW w:type="dxa" w:w="19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Component and assembly protocol</w:t>
            </w:r>
          </w:p>
        </w:tc>
      </w:tr>
      <w:tr>
        <w:tc>
          <w:tcPr>
            <w:tcW w:type="dxa" w:w="15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Flex 4.0</w:t>
            </w:r>
          </w:p>
        </w:tc>
        <w:tc>
          <w:tcPr>
            <w:tcW w:type="dxa" w:w="21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Weighted flexibility KPIs and classes</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Practical, design-oriented, covers multiple building types</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Weighting and validation are context-sensitive</w:t>
            </w:r>
          </w:p>
        </w:tc>
        <w:tc>
          <w:tcPr>
            <w:tcW w:type="dxa" w:w="19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Benchmark and workshop tool</w:t>
            </w:r>
          </w:p>
        </w:tc>
      </w:tr>
      <w:tr>
        <w:tc>
          <w:tcPr>
            <w:tcW w:type="dxa" w:w="15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AdaptSTAR</w:t>
            </w:r>
          </w:p>
        </w:tc>
        <w:tc>
          <w:tcPr>
            <w:tcW w:type="dxa" w:w="21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Weighted checklist with 26 criteria</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Early-design communication</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Subjective weights; limited observed-event validation</w:t>
            </w:r>
          </w:p>
        </w:tc>
        <w:tc>
          <w:tcPr>
            <w:tcW w:type="dxa" w:w="19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Concept-stage screening</w:t>
            </w:r>
          </w:p>
        </w:tc>
      </w:tr>
      <w:tr>
        <w:tc>
          <w:tcPr>
            <w:tcW w:type="dxa" w:w="15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ARP</w:t>
            </w:r>
          </w:p>
        </w:tc>
        <w:tc>
          <w:tcPr>
            <w:tcW w:type="dxa" w:w="21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Existing-building adaptation potential</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Decision support for existing assets</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Data and calibration requirements</w:t>
            </w:r>
          </w:p>
        </w:tc>
        <w:tc>
          <w:tcPr>
            <w:tcW w:type="dxa" w:w="19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Existing portfolio triage</w:t>
            </w:r>
          </w:p>
        </w:tc>
      </w:tr>
      <w:tr>
        <w:tc>
          <w:tcPr>
            <w:tcW w:type="dxa" w:w="15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IconCUR</w:t>
            </w:r>
          </w:p>
        </w:tc>
        <w:tc>
          <w:tcPr>
            <w:tcW w:type="dxa" w:w="21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Existing-building MCDA/adaptive-management model</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Connects multiple criteria and management</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Complexity and subjective preferences</w:t>
            </w:r>
          </w:p>
        </w:tc>
        <w:tc>
          <w:tcPr>
            <w:tcW w:type="dxa" w:w="19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Portfolio prioritization</w:t>
            </w:r>
          </w:p>
        </w:tc>
      </w:tr>
      <w:tr>
        <w:tc>
          <w:tcPr>
            <w:tcW w:type="dxa" w:w="15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ABD</w:t>
            </w:r>
          </w:p>
        </w:tc>
        <w:tc>
          <w:tcPr>
            <w:tcW w:type="dxa" w:w="21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New office/commercial design with real options and Monte Carlo</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Explicit uncertainty and option value</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Method-intensive; assumption sensitive</w:t>
            </w:r>
          </w:p>
        </w:tc>
        <w:tc>
          <w:tcPr>
            <w:tcW w:type="dxa" w:w="19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Selected high-value decision episodes</w:t>
            </w:r>
          </w:p>
        </w:tc>
      </w:tr>
      <w:tr>
        <w:tc>
          <w:tcPr>
            <w:tcW w:type="dxa" w:w="15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PAAM</w:t>
            </w:r>
          </w:p>
        </w:tc>
        <w:tc>
          <w:tcPr>
            <w:tcW w:type="dxa" w:w="21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Existing office/commercial checklist</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Practical and compact</w:t>
            </w:r>
          </w:p>
        </w:tc>
        <w:tc>
          <w:tcPr>
            <w:tcW w:type="dxa" w:w="19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Narrow building/type scope</w:t>
            </w:r>
          </w:p>
        </w:tc>
        <w:tc>
          <w:tcPr>
            <w:tcW w:type="dxa" w:w="19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Rapid baseline</w:t>
            </w:r>
          </w:p>
        </w:tc>
      </w:tr>
      <w:tr>
        <w:tc>
          <w:tcPr>
            <w:tcW w:type="dxa" w:w="15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SAGA</w:t>
            </w:r>
          </w:p>
        </w:tc>
        <w:tc>
          <w:tcPr>
            <w:tcW w:type="dxa" w:w="21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BIM-linked residential adaptability indicators</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Digital integration</w:t>
            </w:r>
          </w:p>
        </w:tc>
        <w:tc>
          <w:tcPr>
            <w:tcW w:type="dxa" w:w="19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Residential focus and indicator validation</w:t>
            </w:r>
          </w:p>
        </w:tc>
        <w:tc>
          <w:tcPr>
            <w:tcW w:type="dxa" w:w="19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Data-model inspiration</w:t>
            </w:r>
          </w:p>
        </w:tc>
      </w:tr>
    </w:tbl>
    <w:p>
      <w:pPr>
        <w:spacing w:after="40"/>
      </w:pPr>
    </w:p>
    <w:p>
      <w:pPr>
        <w:pStyle w:val="Heading3"/>
      </w:pPr>
      <w:r>
        <w:rPr>
          <w:rFonts w:ascii="Calibri" w:hAnsi="Calibri" w:eastAsia="Calibri"/>
          <w:b w:val="0"/>
        </w:rPr>
        <w:t>Selection principle</w:t>
      </w:r>
    </w:p>
    <w:p>
      <w:r>
        <w:rPr>
          <w:rFonts w:ascii="Calibri" w:hAnsi="Calibri" w:eastAsia="Calibri"/>
          <w:b w:val="0"/>
        </w:rPr>
        <w:t xml:space="preserve">Use </w:t>
      </w:r>
      <w:r>
        <w:rPr>
          <w:rFonts w:ascii="Calibri" w:hAnsi="Calibri" w:eastAsia="Calibri"/>
          <w:b/>
        </w:rPr>
        <w:t>ISO 20887 + Level(s) 2.3/2.4</w:t>
      </w:r>
      <w:r>
        <w:rPr>
          <w:rFonts w:ascii="Calibri" w:hAnsi="Calibri" w:eastAsia="Calibri"/>
          <w:b w:val="0"/>
        </w:rPr>
        <w:t xml:space="preserve"> as the policy-and-standards spine; use </w:t>
      </w:r>
      <w:r>
        <w:rPr>
          <w:rFonts w:ascii="Calibri" w:hAnsi="Calibri" w:eastAsia="Calibri"/>
          <w:b/>
        </w:rPr>
        <w:t>Flex 4.0 and relevant existing-building tools</w:t>
      </w:r>
      <w:r>
        <w:rPr>
          <w:rFonts w:ascii="Calibri" w:hAnsi="Calibri" w:eastAsia="Calibri"/>
          <w:b w:val="0"/>
        </w:rPr>
        <w:t xml:space="preserve"> for criteria and workshop calibration; use </w:t>
      </w:r>
      <w:r>
        <w:rPr>
          <w:rFonts w:ascii="Calibri" w:hAnsi="Calibri" w:eastAsia="Calibri"/>
          <w:b/>
        </w:rPr>
        <w:t>scenario/LCA/LCC/real-options methods</w:t>
      </w:r>
      <w:r>
        <w:rPr>
          <w:rFonts w:ascii="Calibri" w:hAnsi="Calibri" w:eastAsia="Calibri"/>
          <w:b w:val="0"/>
        </w:rPr>
        <w:t xml:space="preserve"> to connect capacity to outcomes and decisions. Do not create a new checklist unless a criterion is missing.</w:t>
      </w:r>
    </w:p>
    <w:p>
      <w:pPr>
        <w:pStyle w:val="Heading1"/>
        <w:pageBreakBefore/>
      </w:pPr>
      <w:r>
        <w:rPr>
          <w:rFonts w:ascii="Calibri" w:hAnsi="Calibri" w:eastAsia="Calibri"/>
          <w:b w:val="0"/>
        </w:rPr>
        <w:t>5. The proposed Circular &amp; Adaptive Valuation Framework (CAVF)</w:t>
      </w:r>
    </w:p>
    <w:p>
      <w:pPr>
        <w:pStyle w:val="Heading2"/>
      </w:pPr>
      <w:r>
        <w:rPr>
          <w:rFonts w:ascii="Calibri" w:hAnsi="Calibri" w:eastAsia="Calibri"/>
          <w:b w:val="0"/>
        </w:rPr>
        <w:t>5.1 What CAVF is—and is not</w:t>
      </w:r>
    </w:p>
    <w:p>
      <w:r>
        <w:rPr>
          <w:rFonts w:ascii="Calibri" w:hAnsi="Calibri" w:eastAsia="Calibri"/>
          <w:b w:val="0"/>
        </w:rPr>
        <w:t>CAVF should be a modular decision process with a common evidence architecture, not a universal sustainability rating. Its outputs are:</w:t>
      </w:r>
    </w:p>
    <w:p>
      <w:pPr>
        <w:numPr>
          <w:ilvl w:val="0"/>
          <w:numId w:val="10"/>
        </w:numPr>
      </w:pPr>
      <w:r>
        <w:rPr>
          <w:rFonts w:ascii="Calibri" w:hAnsi="Calibri" w:eastAsia="Calibri"/>
          <w:b w:val="0"/>
        </w:rPr>
        <w:t>a decision brief for the live choice;</w:t>
      </w:r>
    </w:p>
    <w:p>
      <w:pPr>
        <w:numPr>
          <w:ilvl w:val="0"/>
          <w:numId w:val="10"/>
        </w:numPr>
      </w:pPr>
      <w:r>
        <w:rPr>
          <w:rFonts w:ascii="Calibri" w:hAnsi="Calibri" w:eastAsia="Calibri"/>
          <w:b w:val="0"/>
        </w:rPr>
        <w:t>a transparent flexibility profile;</w:t>
      </w:r>
    </w:p>
    <w:p>
      <w:pPr>
        <w:numPr>
          <w:ilvl w:val="0"/>
          <w:numId w:val="10"/>
        </w:numPr>
      </w:pPr>
      <w:r>
        <w:rPr>
          <w:rFonts w:ascii="Calibri" w:hAnsi="Calibri" w:eastAsia="Calibri"/>
          <w:b w:val="0"/>
        </w:rPr>
        <w:t>comparable scenario results for carbon, cost, value, risk, use and social outcomes;</w:t>
      </w:r>
    </w:p>
    <w:p>
      <w:pPr>
        <w:numPr>
          <w:ilvl w:val="0"/>
          <w:numId w:val="10"/>
        </w:numPr>
      </w:pPr>
      <w:r>
        <w:rPr>
          <w:rFonts w:ascii="Calibri" w:hAnsi="Calibri" w:eastAsia="Calibri"/>
          <w:b w:val="0"/>
        </w:rPr>
        <w:t>an uncertainty and data-quality statement;</w:t>
      </w:r>
    </w:p>
    <w:p>
      <w:pPr>
        <w:numPr>
          <w:ilvl w:val="0"/>
          <w:numId w:val="10"/>
        </w:numPr>
      </w:pPr>
      <w:r>
        <w:rPr>
          <w:rFonts w:ascii="Calibri" w:hAnsi="Calibri" w:eastAsia="Calibri"/>
          <w:b w:val="0"/>
        </w:rPr>
        <w:t>a distribution map showing who pays, benefits, decides and bears risk; and</w:t>
      </w:r>
    </w:p>
    <w:p>
      <w:pPr>
        <w:numPr>
          <w:ilvl w:val="0"/>
          <w:numId w:val="10"/>
        </w:numPr>
      </w:pPr>
      <w:r>
        <w:rPr>
          <w:rFonts w:ascii="Calibri" w:hAnsi="Calibri" w:eastAsia="Calibri"/>
          <w:b w:val="0"/>
        </w:rPr>
        <w:t>a machine-readable evidence package that can be updated.</w:t>
      </w:r>
    </w:p>
    <w:p>
      <w:r>
        <w:rPr>
          <w:rFonts w:ascii="Calibri" w:hAnsi="Calibri" w:eastAsia="Calibri"/>
          <w:b w:val="0"/>
        </w:rPr>
        <w:t>CAVF should not claim that all outcomes are commensurable or that a weighted total is “true value.” A headline index can aid comparison only if the dashboard also displays disaggregated performance and sensitivity to weights.</w:t>
      </w:r>
    </w:p>
    <w:p>
      <w:pPr>
        <w:pStyle w:val="Heading2"/>
      </w:pPr>
      <w:r>
        <w:rPr>
          <w:rFonts w:ascii="Calibri" w:hAnsi="Calibri" w:eastAsia="Calibri"/>
          <w:b w:val="0"/>
        </w:rPr>
        <w:t>5.2 Eight-step CAVF workflow</w:t>
      </w:r>
    </w:p>
    <w:p>
      <w:pPr>
        <w:pStyle w:val="Heading3"/>
      </w:pPr>
      <w:r>
        <w:rPr>
          <w:rFonts w:ascii="Calibri" w:hAnsi="Calibri" w:eastAsia="Calibri"/>
          <w:b w:val="0"/>
        </w:rPr>
        <w:t>Step 1 — Frame the decision</w:t>
      </w:r>
    </w:p>
    <w:p>
      <w:r>
        <w:rPr>
          <w:rFonts w:ascii="Calibri" w:hAnsi="Calibri" w:eastAsia="Calibri"/>
          <w:b w:val="0"/>
        </w:rPr>
        <w:t>Record the decision-maker, formal decision date, available alternatives, constraints, time horizon, budget boundary and criteria already used. Define the service to be delivered and the reference unit. Examples include pupil-place-years, dwelling-years at specified quality, usable office-workplace-years, care-place-years, or square-metre-hours of community access.</w:t>
      </w:r>
    </w:p>
    <w:p>
      <w:pPr>
        <w:pStyle w:val="Heading3"/>
      </w:pPr>
      <w:r>
        <w:rPr>
          <w:rFonts w:ascii="Calibri" w:hAnsi="Calibri" w:eastAsia="Calibri"/>
          <w:b w:val="0"/>
        </w:rPr>
        <w:t>Step 2 — Define baseline and counterfactuals</w:t>
      </w:r>
    </w:p>
    <w:p>
      <w:r>
        <w:rPr>
          <w:rFonts w:ascii="Calibri" w:hAnsi="Calibri" w:eastAsia="Calibri"/>
          <w:b w:val="0"/>
        </w:rPr>
        <w:t>At minimum compare:</w:t>
      </w:r>
    </w:p>
    <w:p>
      <w:pPr>
        <w:numPr>
          <w:ilvl w:val="0"/>
          <w:numId w:val="21"/>
        </w:numPr>
      </w:pPr>
      <w:r>
        <w:rPr>
          <w:rFonts w:ascii="Calibri" w:hAnsi="Calibri" w:eastAsia="Calibri"/>
          <w:b w:val="0"/>
        </w:rPr>
        <w:t>current or conventional action;</w:t>
      </w:r>
    </w:p>
    <w:p>
      <w:pPr>
        <w:numPr>
          <w:ilvl w:val="0"/>
          <w:numId w:val="21"/>
        </w:numPr>
      </w:pPr>
      <w:r>
        <w:rPr>
          <w:rFonts w:ascii="Calibri" w:hAnsi="Calibri" w:eastAsia="Calibri"/>
          <w:b w:val="0"/>
        </w:rPr>
        <w:t>circular/adaptive intervention;</w:t>
      </w:r>
    </w:p>
    <w:p>
      <w:pPr>
        <w:numPr>
          <w:ilvl w:val="0"/>
          <w:numId w:val="21"/>
        </w:numPr>
      </w:pPr>
      <w:r>
        <w:rPr>
          <w:rFonts w:ascii="Calibri" w:hAnsi="Calibri" w:eastAsia="Calibri"/>
          <w:b w:val="0"/>
        </w:rPr>
        <w:t>plausible “do minimum” or staged pathway; and</w:t>
      </w:r>
    </w:p>
    <w:p>
      <w:pPr>
        <w:numPr>
          <w:ilvl w:val="0"/>
          <w:numId w:val="21"/>
        </w:numPr>
      </w:pPr>
      <w:r>
        <w:rPr>
          <w:rFonts w:ascii="Calibri" w:hAnsi="Calibri" w:eastAsia="Calibri"/>
          <w:b w:val="0"/>
        </w:rPr>
        <w:t>where relevant, demolition/new build.</w:t>
      </w:r>
    </w:p>
    <w:p>
      <w:r>
        <w:rPr>
          <w:rFonts w:ascii="Calibri" w:hAnsi="Calibri" w:eastAsia="Calibri"/>
          <w:b w:val="0"/>
        </w:rPr>
        <w:t>All options must deliver equivalent service or differences must be explicit. Avoid comparing a highly serviced flexible building with an inferior conventional case without normalizing performance.</w:t>
      </w:r>
    </w:p>
    <w:p>
      <w:pPr>
        <w:pStyle w:val="Heading3"/>
      </w:pPr>
      <w:r>
        <w:rPr>
          <w:rFonts w:ascii="Calibri" w:hAnsi="Calibri" w:eastAsia="Calibri"/>
          <w:b w:val="0"/>
        </w:rPr>
        <w:t>Step 3 — Build change scenarios</w:t>
      </w:r>
    </w:p>
    <w:p>
      <w:r>
        <w:rPr>
          <w:rFonts w:ascii="Calibri" w:hAnsi="Calibri" w:eastAsia="Calibri"/>
          <w:b w:val="0"/>
        </w:rPr>
        <w:t>Create three to five coherent futures using common drivers: demand, use mix, occupancy, regulation, climate, energy prices/grid signals, technology, rent/value, construction prices and secondary-material markets. Each scenario should specify timing, probability range or qualitative likelihood, signposts and the decision trigger.</w:t>
      </w:r>
    </w:p>
    <w:p>
      <w:r>
        <w:rPr>
          <w:rFonts w:ascii="Calibri" w:hAnsi="Calibri" w:eastAsia="Calibri"/>
          <w:b w:val="0"/>
        </w:rPr>
        <w:t>Recommended core set:</w:t>
      </w:r>
    </w:p>
    <w:p>
      <w:pPr>
        <w:numPr>
          <w:ilvl w:val="0"/>
          <w:numId w:val="10"/>
        </w:numPr>
      </w:pPr>
      <w:r>
        <w:rPr>
          <w:rFonts w:ascii="Calibri" w:hAnsi="Calibri" w:eastAsia="Calibri"/>
          <w:b/>
        </w:rPr>
        <w:t>S0 Stable:</w:t>
      </w:r>
      <w:r>
        <w:rPr>
          <w:rFonts w:ascii="Calibri" w:hAnsi="Calibri" w:eastAsia="Calibri"/>
          <w:b w:val="0"/>
        </w:rPr>
        <w:t xml:space="preserve"> current use persists; flexibility is not exercised.</w:t>
      </w:r>
    </w:p>
    <w:p>
      <w:pPr>
        <w:numPr>
          <w:ilvl w:val="0"/>
          <w:numId w:val="10"/>
        </w:numPr>
      </w:pPr>
      <w:r>
        <w:rPr>
          <w:rFonts w:ascii="Calibri" w:hAnsi="Calibri" w:eastAsia="Calibri"/>
          <w:b/>
        </w:rPr>
        <w:t>S1 Expected transition:</w:t>
      </w:r>
      <w:r>
        <w:rPr>
          <w:rFonts w:ascii="Calibri" w:hAnsi="Calibri" w:eastAsia="Calibri"/>
          <w:b w:val="0"/>
        </w:rPr>
        <w:t xml:space="preserve"> forecast demand/use change and normal policy trajectory.</w:t>
      </w:r>
    </w:p>
    <w:p>
      <w:pPr>
        <w:numPr>
          <w:ilvl w:val="0"/>
          <w:numId w:val="10"/>
        </w:numPr>
      </w:pPr>
      <w:r>
        <w:rPr>
          <w:rFonts w:ascii="Calibri" w:hAnsi="Calibri" w:eastAsia="Calibri"/>
          <w:b/>
        </w:rPr>
        <w:t>S2 Rapid/adverse change:</w:t>
      </w:r>
      <w:r>
        <w:rPr>
          <w:rFonts w:ascii="Calibri" w:hAnsi="Calibri" w:eastAsia="Calibri"/>
          <w:b w:val="0"/>
        </w:rPr>
        <w:t xml:space="preserve"> early vacancy, demographic reversal, regulation or price shock.</w:t>
      </w:r>
    </w:p>
    <w:p>
      <w:pPr>
        <w:numPr>
          <w:ilvl w:val="0"/>
          <w:numId w:val="10"/>
        </w:numPr>
      </w:pPr>
      <w:r>
        <w:rPr>
          <w:rFonts w:ascii="Calibri" w:hAnsi="Calibri" w:eastAsia="Calibri"/>
          <w:b/>
        </w:rPr>
        <w:t>S3 Opportunity:</w:t>
      </w:r>
      <w:r>
        <w:rPr>
          <w:rFonts w:ascii="Calibri" w:hAnsi="Calibri" w:eastAsia="Calibri"/>
          <w:b w:val="0"/>
        </w:rPr>
        <w:t xml:space="preserve"> high demand for an alternative use or shared service.</w:t>
      </w:r>
    </w:p>
    <w:p>
      <w:pPr>
        <w:numPr>
          <w:ilvl w:val="0"/>
          <w:numId w:val="10"/>
        </w:numPr>
      </w:pPr>
      <w:r>
        <w:rPr>
          <w:rFonts w:ascii="Calibri" w:hAnsi="Calibri" w:eastAsia="Calibri"/>
          <w:b/>
        </w:rPr>
        <w:t>S4 Climate/operational stress:</w:t>
      </w:r>
      <w:r>
        <w:rPr>
          <w:rFonts w:ascii="Calibri" w:hAnsi="Calibri" w:eastAsia="Calibri"/>
          <w:b w:val="0"/>
        </w:rPr>
        <w:t xml:space="preserve"> heat, precipitation, grid constraint or service disruption.</w:t>
      </w:r>
    </w:p>
    <w:p>
      <w:pPr>
        <w:pStyle w:val="Heading3"/>
      </w:pPr>
      <w:r>
        <w:rPr>
          <w:rFonts w:ascii="Calibri" w:hAnsi="Calibri" w:eastAsia="Calibri"/>
          <w:b w:val="0"/>
        </w:rPr>
        <w:t>Step 4 — Measure option capacity</w:t>
      </w:r>
    </w:p>
    <w:p>
      <w:r>
        <w:rPr>
          <w:rFonts w:ascii="Calibri" w:hAnsi="Calibri" w:eastAsia="Calibri"/>
          <w:b w:val="0"/>
        </w:rPr>
        <w:t>Use a Level(s)/ISO/Flex-informed criteria set. For each criterion record the physical fact, evidence source, test method, score, limiting dependency and transformation tasks enabled. Translate capacity into four performance variables:</w:t>
      </w:r>
    </w:p>
    <w:p>
      <w:pPr>
        <w:numPr>
          <w:ilvl w:val="0"/>
          <w:numId w:val="10"/>
        </w:numPr>
      </w:pPr>
      <w:r>
        <w:rPr>
          <w:rFonts w:ascii="Calibri" w:hAnsi="Calibri" w:eastAsia="Calibri"/>
          <w:b/>
        </w:rPr>
        <w:t>time to transform</w:t>
      </w:r>
      <w:r>
        <w:rPr>
          <w:rFonts w:ascii="Calibri" w:hAnsi="Calibri" w:eastAsia="Calibri"/>
          <w:b w:val="0"/>
        </w:rPr>
        <w:t>;</w:t>
      </w:r>
    </w:p>
    <w:p>
      <w:pPr>
        <w:numPr>
          <w:ilvl w:val="0"/>
          <w:numId w:val="10"/>
        </w:numPr>
      </w:pPr>
      <w:r>
        <w:rPr>
          <w:rFonts w:ascii="Calibri" w:hAnsi="Calibri" w:eastAsia="Calibri"/>
          <w:b/>
        </w:rPr>
        <w:t>direct cost to transform</w:t>
      </w:r>
      <w:r>
        <w:rPr>
          <w:rFonts w:ascii="Calibri" w:hAnsi="Calibri" w:eastAsia="Calibri"/>
          <w:b w:val="0"/>
        </w:rPr>
        <w:t>;</w:t>
      </w:r>
    </w:p>
    <w:p>
      <w:pPr>
        <w:numPr>
          <w:ilvl w:val="0"/>
          <w:numId w:val="10"/>
        </w:numPr>
      </w:pPr>
      <w:r>
        <w:rPr>
          <w:rFonts w:ascii="Calibri" w:hAnsi="Calibri" w:eastAsia="Calibri"/>
          <w:b/>
        </w:rPr>
        <w:t>service disruption/downtime</w:t>
      </w:r>
      <w:r>
        <w:rPr>
          <w:rFonts w:ascii="Calibri" w:hAnsi="Calibri" w:eastAsia="Calibri"/>
          <w:b w:val="0"/>
        </w:rPr>
        <w:t>; and</w:t>
      </w:r>
    </w:p>
    <w:p>
      <w:pPr>
        <w:numPr>
          <w:ilvl w:val="0"/>
          <w:numId w:val="10"/>
        </w:numPr>
      </w:pPr>
      <w:r>
        <w:rPr>
          <w:rFonts w:ascii="Calibri" w:hAnsi="Calibri" w:eastAsia="Calibri"/>
          <w:b/>
        </w:rPr>
        <w:t>material and environmental burden of transformation</w:t>
      </w:r>
      <w:r>
        <w:rPr>
          <w:rFonts w:ascii="Calibri" w:hAnsi="Calibri" w:eastAsia="Calibri"/>
          <w:b w:val="0"/>
        </w:rPr>
        <w:t>.</w:t>
      </w:r>
    </w:p>
    <w:p>
      <w:r>
        <w:rPr>
          <w:rFonts w:ascii="Calibri" w:hAnsi="Calibri" w:eastAsia="Calibri"/>
          <w:b w:val="0"/>
        </w:rPr>
        <w:t>Also record feasible uses under planning, daylight, accessibility, fire, acoustics, structure, services and market conditions. A use is not feasible merely because the plan fits.</w:t>
      </w:r>
    </w:p>
    <w:p>
      <w:pPr>
        <w:pStyle w:val="Heading3"/>
      </w:pPr>
      <w:r>
        <w:rPr>
          <w:rFonts w:ascii="Calibri" w:hAnsi="Calibri" w:eastAsia="Calibri"/>
          <w:b w:val="0"/>
        </w:rPr>
        <w:t>Step 5 — Calculate lifecycle consequences</w:t>
      </w:r>
    </w:p>
    <w:p>
      <w:r>
        <w:rPr>
          <w:rFonts w:ascii="Calibri" w:hAnsi="Calibri" w:eastAsia="Calibri"/>
          <w:b w:val="0"/>
        </w:rPr>
        <w:t>Calculate environmental, cost, income, risk, use and social outcomes for each scenario and alternative. Preserve year-by-year timing where possible. Use common reference study periods and escalation assumptions, with sensitivity ranges.</w:t>
      </w:r>
    </w:p>
    <w:p>
      <w:pPr>
        <w:pStyle w:val="Heading3"/>
      </w:pPr>
      <w:r>
        <w:rPr>
          <w:rFonts w:ascii="Calibri" w:hAnsi="Calibri" w:eastAsia="Calibri"/>
          <w:b w:val="0"/>
        </w:rPr>
        <w:t>Step 6 — Value choices and risks</w:t>
      </w:r>
    </w:p>
    <w:p>
      <w:r>
        <w:rPr>
          <w:rFonts w:ascii="Calibri" w:hAnsi="Calibri" w:eastAsia="Calibri"/>
          <w:b w:val="0"/>
        </w:rPr>
        <w:t>Translate outcomes into standard decision channels first: capex, opex, replacement, transformation cost, downtime, rent or avoided lease cost, vacancy, incentives, residual value, yield/discount rate, insurance/financing implications and compliance exposure. Then calculate decision-tree or real-option value for explicit choices.</w:t>
      </w:r>
    </w:p>
    <w:p>
      <w:pPr>
        <w:pStyle w:val="Heading3"/>
      </w:pPr>
      <w:r>
        <w:rPr>
          <w:rFonts w:ascii="Calibri" w:hAnsi="Calibri" w:eastAsia="Calibri"/>
          <w:b w:val="0"/>
        </w:rPr>
        <w:t>Step 7 — Deliberate and decide</w:t>
      </w:r>
    </w:p>
    <w:p>
      <w:r>
        <w:rPr>
          <w:rFonts w:ascii="Calibri" w:hAnsi="Calibri" w:eastAsia="Calibri"/>
          <w:b w:val="0"/>
        </w:rPr>
        <w:t>Use a decision conference with owner, users, designers, operations, finance/valuation, procurement and affected public actors. Review dominant options, threshold/break-even conditions, non-monetized outcomes, distribution and data gaps. Record the decision and rationale before it is known whether the project team’s preferred option wins.</w:t>
      </w:r>
    </w:p>
    <w:p>
      <w:pPr>
        <w:pStyle w:val="Heading3"/>
      </w:pPr>
      <w:r>
        <w:rPr>
          <w:rFonts w:ascii="Calibri" w:hAnsi="Calibri" w:eastAsia="Calibri"/>
          <w:b w:val="0"/>
        </w:rPr>
        <w:t>Step 8 — Observe, update and learn</w:t>
      </w:r>
    </w:p>
    <w:p>
      <w:r>
        <w:rPr>
          <w:rFonts w:ascii="Calibri" w:hAnsi="Calibri" w:eastAsia="Calibri"/>
          <w:b w:val="0"/>
        </w:rPr>
        <w:t>At design gates, completion, transformation and occupancy, update actual cost, time, carbon, recoverability, use and user outcomes. Record whether the option was exercised and why. Recalibrate criteria and financial assumptions across cases.</w:t>
      </w:r>
    </w:p>
    <w:p>
      <w:pPr>
        <w:pStyle w:val="Heading2"/>
      </w:pPr>
      <w:r>
        <w:rPr>
          <w:rFonts w:ascii="Calibri" w:hAnsi="Calibri" w:eastAsia="Calibri"/>
          <w:b w:val="0"/>
        </w:rPr>
        <w:t>5.3 Physical adaptability score</w:t>
      </w:r>
    </w:p>
    <w:p>
      <w:r>
        <w:rPr>
          <w:rFonts w:ascii="Calibri" w:hAnsi="Calibri" w:eastAsia="Calibri"/>
          <w:b w:val="0"/>
        </w:rPr>
        <w:t>Use a 0–4 evidence scale for each criterion:</w:t>
      </w:r>
    </w:p>
    <w:p>
      <w:pPr>
        <w:numPr>
          <w:ilvl w:val="0"/>
          <w:numId w:val="10"/>
        </w:numPr>
      </w:pPr>
      <w:r>
        <w:rPr>
          <w:rFonts w:ascii="Calibri" w:hAnsi="Calibri" w:eastAsia="Calibri"/>
          <w:b/>
        </w:rPr>
        <w:t>0 — blocked:</w:t>
      </w:r>
      <w:r>
        <w:rPr>
          <w:rFonts w:ascii="Calibri" w:hAnsi="Calibri" w:eastAsia="Calibri"/>
          <w:b w:val="0"/>
        </w:rPr>
        <w:t xml:space="preserve"> change is physically or legally infeasible without major reconstruction.</w:t>
      </w:r>
    </w:p>
    <w:p>
      <w:pPr>
        <w:numPr>
          <w:ilvl w:val="0"/>
          <w:numId w:val="10"/>
        </w:numPr>
      </w:pPr>
      <w:r>
        <w:rPr>
          <w:rFonts w:ascii="Calibri" w:hAnsi="Calibri" w:eastAsia="Calibri"/>
          <w:b/>
        </w:rPr>
        <w:t>1 — difficult:</w:t>
      </w:r>
      <w:r>
        <w:rPr>
          <w:rFonts w:ascii="Calibri" w:hAnsi="Calibri" w:eastAsia="Calibri"/>
          <w:b w:val="0"/>
        </w:rPr>
        <w:t xml:space="preserve"> technically possible with high intervention, downtime or uncertainty.</w:t>
      </w:r>
    </w:p>
    <w:p>
      <w:pPr>
        <w:numPr>
          <w:ilvl w:val="0"/>
          <w:numId w:val="10"/>
        </w:numPr>
      </w:pPr>
      <w:r>
        <w:rPr>
          <w:rFonts w:ascii="Calibri" w:hAnsi="Calibri" w:eastAsia="Calibri"/>
          <w:b/>
        </w:rPr>
        <w:t>2 — conventional:</w:t>
      </w:r>
      <w:r>
        <w:rPr>
          <w:rFonts w:ascii="Calibri" w:hAnsi="Calibri" w:eastAsia="Calibri"/>
          <w:b w:val="0"/>
        </w:rPr>
        <w:t xml:space="preserve"> possible through normal major refurbishment.</w:t>
      </w:r>
    </w:p>
    <w:p>
      <w:pPr>
        <w:numPr>
          <w:ilvl w:val="0"/>
          <w:numId w:val="10"/>
        </w:numPr>
      </w:pPr>
      <w:r>
        <w:rPr>
          <w:rFonts w:ascii="Calibri" w:hAnsi="Calibri" w:eastAsia="Calibri"/>
          <w:b/>
        </w:rPr>
        <w:t>3 — enabled:</w:t>
      </w:r>
      <w:r>
        <w:rPr>
          <w:rFonts w:ascii="Calibri" w:hAnsi="Calibri" w:eastAsia="Calibri"/>
          <w:b w:val="0"/>
        </w:rPr>
        <w:t xml:space="preserve"> planned interfaces and capacity materially reduce intervention.</w:t>
      </w:r>
    </w:p>
    <w:p>
      <w:pPr>
        <w:numPr>
          <w:ilvl w:val="0"/>
          <w:numId w:val="10"/>
        </w:numPr>
      </w:pPr>
      <w:r>
        <w:rPr>
          <w:rFonts w:ascii="Calibri" w:hAnsi="Calibri" w:eastAsia="Calibri"/>
          <w:b/>
        </w:rPr>
        <w:t>4 — demonstrated:</w:t>
      </w:r>
      <w:r>
        <w:rPr>
          <w:rFonts w:ascii="Calibri" w:hAnsi="Calibri" w:eastAsia="Calibri"/>
          <w:b w:val="0"/>
        </w:rPr>
        <w:t xml:space="preserve"> change has been tested or exercised with measured performance.</w:t>
      </w:r>
    </w:p>
    <w:p>
      <w:r>
        <w:rPr>
          <w:rFonts w:ascii="Calibri" w:hAnsi="Calibri" w:eastAsia="Calibri"/>
          <w:b w:val="0"/>
        </w:rPr>
        <w:t>Each score must include confidence (A–D), evidence type and dependency. Suggested aggregation is a geometric mean within dimensions so one critical bottleneck is not hidden by strong unrelated criteria. Report dimensions separately and run weights as scenarios, not fixed truths.</w:t>
      </w:r>
    </w:p>
    <w:p>
      <w:pPr>
        <w:pStyle w:val="Heading2"/>
      </w:pPr>
      <w:r>
        <w:rPr>
          <w:rFonts w:ascii="Calibri" w:hAnsi="Calibri" w:eastAsia="Calibri"/>
          <w:b w:val="0"/>
        </w:rPr>
        <w:t>5.4 Dynamic lifecycle assessment</w:t>
      </w:r>
    </w:p>
    <w:p>
      <w:pPr>
        <w:pStyle w:val="Heading3"/>
      </w:pPr>
      <w:r>
        <w:rPr>
          <w:rFonts w:ascii="Calibri" w:hAnsi="Calibri" w:eastAsia="Calibri"/>
          <w:b w:val="0"/>
        </w:rPr>
        <w:t>Standards spine</w:t>
      </w:r>
    </w:p>
    <w:p>
      <w:r>
        <w:rPr>
          <w:rFonts w:ascii="Calibri" w:hAnsi="Calibri" w:eastAsia="Calibri"/>
          <w:b w:val="0"/>
        </w:rPr>
        <w:t>Use EN 15978/prEN 15978 logic for whole-building assessment and EN 15804-compatible product information. Follow the EPBD/Swedish implementation definitions as they mature. Maintain explicit modules:</w:t>
      </w:r>
    </w:p>
    <w:p>
      <w:pPr>
        <w:numPr>
          <w:ilvl w:val="0"/>
          <w:numId w:val="10"/>
        </w:numPr>
      </w:pPr>
      <w:r>
        <w:rPr>
          <w:rFonts w:ascii="Calibri" w:hAnsi="Calibri" w:eastAsia="Calibri"/>
          <w:b w:val="0"/>
        </w:rPr>
        <w:t>A1–A3 product;</w:t>
      </w:r>
    </w:p>
    <w:p>
      <w:pPr>
        <w:numPr>
          <w:ilvl w:val="0"/>
          <w:numId w:val="10"/>
        </w:numPr>
      </w:pPr>
      <w:r>
        <w:rPr>
          <w:rFonts w:ascii="Calibri" w:hAnsi="Calibri" w:eastAsia="Calibri"/>
          <w:b w:val="0"/>
        </w:rPr>
        <w:t>A4 transport and A5 construction;</w:t>
      </w:r>
    </w:p>
    <w:p>
      <w:pPr>
        <w:numPr>
          <w:ilvl w:val="0"/>
          <w:numId w:val="10"/>
        </w:numPr>
      </w:pPr>
      <w:r>
        <w:rPr>
          <w:rFonts w:ascii="Calibri" w:hAnsi="Calibri" w:eastAsia="Calibri"/>
          <w:b w:val="0"/>
        </w:rPr>
        <w:t>B1–B7 use, maintenance, repair, replacement, refurbishment and operational energy/water;</w:t>
      </w:r>
    </w:p>
    <w:p>
      <w:pPr>
        <w:numPr>
          <w:ilvl w:val="0"/>
          <w:numId w:val="10"/>
        </w:numPr>
      </w:pPr>
      <w:r>
        <w:rPr>
          <w:rFonts w:ascii="Calibri" w:hAnsi="Calibri" w:eastAsia="Calibri"/>
          <w:b w:val="0"/>
        </w:rPr>
        <w:t>C1–C4 end of life; and</w:t>
      </w:r>
    </w:p>
    <w:p>
      <w:pPr>
        <w:numPr>
          <w:ilvl w:val="0"/>
          <w:numId w:val="10"/>
        </w:numPr>
      </w:pPr>
      <w:r>
        <w:rPr>
          <w:rFonts w:ascii="Calibri" w:hAnsi="Calibri" w:eastAsia="Calibri"/>
          <w:b w:val="0"/>
        </w:rPr>
        <w:t>D potential benefits and loads beyond the system boundary.</w:t>
      </w:r>
    </w:p>
    <w:p>
      <w:pPr>
        <w:pStyle w:val="Heading3"/>
      </w:pPr>
      <w:r>
        <w:rPr>
          <w:rFonts w:ascii="Calibri" w:hAnsi="Calibri" w:eastAsia="Calibri"/>
          <w:b w:val="0"/>
        </w:rPr>
        <w:t>Required MARIEVIK+ extensions</w:t>
      </w:r>
    </w:p>
    <w:p>
      <w:pPr>
        <w:numPr>
          <w:ilvl w:val="0"/>
          <w:numId w:val="22"/>
        </w:numPr>
      </w:pPr>
      <w:r>
        <w:rPr>
          <w:rFonts w:ascii="Calibri" w:hAnsi="Calibri" w:eastAsia="Calibri"/>
          <w:b w:val="0"/>
        </w:rPr>
        <w:t>Model each transformation event and replacement cycle rather than one static reference building.</w:t>
      </w:r>
    </w:p>
    <w:p>
      <w:pPr>
        <w:numPr>
          <w:ilvl w:val="0"/>
          <w:numId w:val="22"/>
        </w:numPr>
      </w:pPr>
      <w:r>
        <w:rPr>
          <w:rFonts w:ascii="Calibri" w:hAnsi="Calibri" w:eastAsia="Calibri"/>
          <w:b w:val="0"/>
        </w:rPr>
        <w:t>Make service life, change timing, grid decarbonization, reuse rates and future material demand scenario variables.</w:t>
      </w:r>
    </w:p>
    <w:p>
      <w:pPr>
        <w:numPr>
          <w:ilvl w:val="0"/>
          <w:numId w:val="22"/>
        </w:numPr>
      </w:pPr>
      <w:r>
        <w:rPr>
          <w:rFonts w:ascii="Calibri" w:hAnsi="Calibri" w:eastAsia="Calibri"/>
          <w:b w:val="0"/>
        </w:rPr>
        <w:t>Report initial carbon premium, cumulative carbon and carbon payback time.</w:t>
      </w:r>
    </w:p>
    <w:p>
      <w:pPr>
        <w:numPr>
          <w:ilvl w:val="0"/>
          <w:numId w:val="22"/>
        </w:numPr>
      </w:pPr>
      <w:r>
        <w:rPr>
          <w:rFonts w:ascii="Calibri" w:hAnsi="Calibri" w:eastAsia="Calibri"/>
          <w:b w:val="0"/>
        </w:rPr>
        <w:t>Separate avoided new construction from module D substitution claims.</w:t>
      </w:r>
    </w:p>
    <w:p>
      <w:pPr>
        <w:numPr>
          <w:ilvl w:val="0"/>
          <w:numId w:val="22"/>
        </w:numPr>
      </w:pPr>
      <w:r>
        <w:rPr>
          <w:rFonts w:ascii="Calibri" w:hAnsi="Calibri" w:eastAsia="Calibri"/>
          <w:b w:val="0"/>
        </w:rPr>
        <w:t>Apply consistent allocation rules and test alternatives where reuse/recycling allocation is contested.</w:t>
      </w:r>
    </w:p>
    <w:p>
      <w:pPr>
        <w:numPr>
          <w:ilvl w:val="0"/>
          <w:numId w:val="22"/>
        </w:numPr>
      </w:pPr>
      <w:r>
        <w:rPr>
          <w:rFonts w:ascii="Calibri" w:hAnsi="Calibri" w:eastAsia="Calibri"/>
          <w:b w:val="0"/>
        </w:rPr>
        <w:t>Use product-specific EPDs where material; grade generic and supplier data.</w:t>
      </w:r>
    </w:p>
    <w:p>
      <w:pPr>
        <w:numPr>
          <w:ilvl w:val="0"/>
          <w:numId w:val="22"/>
        </w:numPr>
      </w:pPr>
      <w:r>
        <w:rPr>
          <w:rFonts w:ascii="Calibri" w:hAnsi="Calibri" w:eastAsia="Calibri"/>
          <w:b w:val="0"/>
        </w:rPr>
        <w:t>Include uncertainty: parameter ranges, scenario spread, model choice and Monte Carlo where data justify distributions.</w:t>
      </w:r>
    </w:p>
    <w:p>
      <w:pPr>
        <w:pStyle w:val="Heading3"/>
      </w:pPr>
      <w:r>
        <w:rPr>
          <w:rFonts w:ascii="Calibri" w:hAnsi="Calibri" w:eastAsia="Calibri"/>
          <w:b w:val="0"/>
        </w:rPr>
        <w:t>The central comparison</w:t>
      </w:r>
    </w:p>
    <w:p>
      <w:r>
        <w:rPr>
          <w:rFonts w:ascii="Calibri" w:hAnsi="Calibri" w:eastAsia="Calibri"/>
          <w:b w:val="0"/>
        </w:rPr>
        <w:t>For each scenario, estimate:</w:t>
      </w:r>
    </w:p>
    <w:p>
      <w:pPr>
        <w:keepNext/>
        <w:spacing w:before="100"/>
      </w:pPr>
      <w:r>
        <w:rPr>
          <w:rFonts w:ascii="Calibri" w:hAnsi="Calibri" w:eastAsia="Calibri"/>
          <w:b/>
        </w:rPr>
        <w:t>Net flexibility effect = impacts of flexible base + transformation impacts − impacts of rigid base + rigid response to the same change.</w:t>
      </w:r>
    </w:p>
    <w:p>
      <w:r>
        <w:rPr>
          <w:rFonts w:ascii="Calibri" w:hAnsi="Calibri" w:eastAsia="Calibri"/>
          <w:b w:val="0"/>
        </w:rPr>
        <w:t>The rigid response may be refurbishment, vacancy, leased replacement space, extension, demolition/new build or service relocation. The result depends on this counterfactual more than on the adaptability score itself.</w:t>
      </w:r>
    </w:p>
    <w:p>
      <w:pPr>
        <w:pStyle w:val="Heading2"/>
      </w:pPr>
      <w:r>
        <w:rPr>
          <w:rFonts w:ascii="Calibri" w:hAnsi="Calibri" w:eastAsia="Calibri"/>
          <w:b w:val="0"/>
        </w:rPr>
        <w:t>5.5 Life-cycle costing and DCF</w:t>
      </w:r>
    </w:p>
    <w:p>
      <w:r>
        <w:rPr>
          <w:rFonts w:ascii="Calibri" w:hAnsi="Calibri" w:eastAsia="Calibri"/>
          <w:b w:val="0"/>
        </w:rPr>
        <w:t>Level(s) 6.1, EN 16627 and ISO 15686-5 provide the basic approach. Include acquisition/design/construction, operations, maintenance, repair, replacement, transformation, downtime/decanting, end-of-life and residual value. Use real prices and a real discount rate or nominal prices and a nominal rate consistently.</w:t>
      </w:r>
    </w:p>
    <w:p>
      <w:r>
        <w:rPr>
          <w:rFonts w:ascii="Calibri" w:hAnsi="Calibri" w:eastAsia="Calibri"/>
          <w:b w:val="0"/>
        </w:rPr>
        <w:t>Report at least:</w:t>
      </w:r>
    </w:p>
    <w:p>
      <w:pPr>
        <w:numPr>
          <w:ilvl w:val="0"/>
          <w:numId w:val="10"/>
        </w:numPr>
      </w:pPr>
      <w:r>
        <w:rPr>
          <w:rFonts w:ascii="Calibri" w:hAnsi="Calibri" w:eastAsia="Calibri"/>
          <w:b w:val="0"/>
        </w:rPr>
        <w:t>net present cost and annual equivalent cost;</w:t>
      </w:r>
    </w:p>
    <w:p>
      <w:pPr>
        <w:numPr>
          <w:ilvl w:val="0"/>
          <w:numId w:val="10"/>
        </w:numPr>
      </w:pPr>
      <w:r>
        <w:rPr>
          <w:rFonts w:ascii="Calibri" w:hAnsi="Calibri" w:eastAsia="Calibri"/>
          <w:b w:val="0"/>
        </w:rPr>
        <w:t>incremental NPV against the baseline;</w:t>
      </w:r>
    </w:p>
    <w:p>
      <w:pPr>
        <w:numPr>
          <w:ilvl w:val="0"/>
          <w:numId w:val="10"/>
        </w:numPr>
      </w:pPr>
      <w:r>
        <w:rPr>
          <w:rFonts w:ascii="Calibri" w:hAnsi="Calibri" w:eastAsia="Calibri"/>
          <w:b w:val="0"/>
        </w:rPr>
        <w:t>break-even flexibility premium;</w:t>
      </w:r>
    </w:p>
    <w:p>
      <w:pPr>
        <w:numPr>
          <w:ilvl w:val="0"/>
          <w:numId w:val="10"/>
        </w:numPr>
      </w:pPr>
      <w:r>
        <w:rPr>
          <w:rFonts w:ascii="Calibri" w:hAnsi="Calibri" w:eastAsia="Calibri"/>
          <w:b w:val="0"/>
        </w:rPr>
        <w:t>payback only as a supplementary measure;</w:t>
      </w:r>
    </w:p>
    <w:p>
      <w:pPr>
        <w:numPr>
          <w:ilvl w:val="0"/>
          <w:numId w:val="10"/>
        </w:numPr>
      </w:pPr>
      <w:r>
        <w:rPr>
          <w:rFonts w:ascii="Calibri" w:hAnsi="Calibri" w:eastAsia="Calibri"/>
          <w:b w:val="0"/>
        </w:rPr>
        <w:t>sensitivity to discount rate, change timing, utilization, conversion cost and residual value; and</w:t>
      </w:r>
    </w:p>
    <w:p>
      <w:pPr>
        <w:numPr>
          <w:ilvl w:val="0"/>
          <w:numId w:val="10"/>
        </w:numPr>
      </w:pPr>
      <w:r>
        <w:rPr>
          <w:rFonts w:ascii="Calibri" w:hAnsi="Calibri" w:eastAsia="Calibri"/>
          <w:b w:val="0"/>
        </w:rPr>
        <w:t>the distribution of costs among capital and operating budgets and actors.</w:t>
      </w:r>
    </w:p>
    <w:p>
      <w:pPr>
        <w:pStyle w:val="Heading2"/>
      </w:pPr>
      <w:r>
        <w:rPr>
          <w:rFonts w:ascii="Calibri" w:hAnsi="Calibri" w:eastAsia="Calibri"/>
          <w:b w:val="0"/>
        </w:rPr>
        <w:t>5.6 Property valuation translation</w:t>
      </w:r>
    </w:p>
    <w:p>
      <w:r>
        <w:rPr>
          <w:rFonts w:ascii="Calibri" w:hAnsi="Calibri" w:eastAsia="Calibri"/>
          <w:b w:val="0"/>
        </w:rPr>
        <w:t>The 2026 RICS professional standard requires significant sustainability and ESG factors to be investigated and reported in commercial property valuation. CAVF should map evidence into variables already used by valuers:</w:t>
      </w:r>
    </w:p>
    <w:p>
      <w:pPr>
        <w:numPr>
          <w:ilvl w:val="0"/>
          <w:numId w:val="10"/>
        </w:numPr>
      </w:pPr>
      <w:r>
        <w:rPr>
          <w:rFonts w:ascii="Calibri" w:hAnsi="Calibri" w:eastAsia="Calibri"/>
          <w:b w:val="0"/>
        </w:rPr>
        <w:t>market rent and rental-growth assumptions;</w:t>
      </w:r>
    </w:p>
    <w:p>
      <w:pPr>
        <w:numPr>
          <w:ilvl w:val="0"/>
          <w:numId w:val="10"/>
        </w:numPr>
      </w:pPr>
      <w:r>
        <w:rPr>
          <w:rFonts w:ascii="Calibri" w:hAnsi="Calibri" w:eastAsia="Calibri"/>
          <w:b w:val="0"/>
        </w:rPr>
        <w:t>vacancy, absorption and tenant-retention assumptions;</w:t>
      </w:r>
    </w:p>
    <w:p>
      <w:pPr>
        <w:numPr>
          <w:ilvl w:val="0"/>
          <w:numId w:val="10"/>
        </w:numPr>
      </w:pPr>
      <w:r>
        <w:rPr>
          <w:rFonts w:ascii="Calibri" w:hAnsi="Calibri" w:eastAsia="Calibri"/>
          <w:b w:val="0"/>
        </w:rPr>
        <w:t>incentives and leasing costs;</w:t>
      </w:r>
    </w:p>
    <w:p>
      <w:pPr>
        <w:numPr>
          <w:ilvl w:val="0"/>
          <w:numId w:val="10"/>
        </w:numPr>
      </w:pPr>
      <w:r>
        <w:rPr>
          <w:rFonts w:ascii="Calibri" w:hAnsi="Calibri" w:eastAsia="Calibri"/>
          <w:b w:val="0"/>
        </w:rPr>
        <w:t>opex and recoverability;</w:t>
      </w:r>
    </w:p>
    <w:p>
      <w:pPr>
        <w:numPr>
          <w:ilvl w:val="0"/>
          <w:numId w:val="10"/>
        </w:numPr>
      </w:pPr>
      <w:r>
        <w:rPr>
          <w:rFonts w:ascii="Calibri" w:hAnsi="Calibri" w:eastAsia="Calibri"/>
          <w:b w:val="0"/>
        </w:rPr>
        <w:t>capex and obsolescence provisions;</w:t>
      </w:r>
    </w:p>
    <w:p>
      <w:pPr>
        <w:numPr>
          <w:ilvl w:val="0"/>
          <w:numId w:val="10"/>
        </w:numPr>
      </w:pPr>
      <w:r>
        <w:rPr>
          <w:rFonts w:ascii="Calibri" w:hAnsi="Calibri" w:eastAsia="Calibri"/>
          <w:b w:val="0"/>
        </w:rPr>
        <w:t>remaining economic life;</w:t>
      </w:r>
    </w:p>
    <w:p>
      <w:pPr>
        <w:numPr>
          <w:ilvl w:val="0"/>
          <w:numId w:val="10"/>
        </w:numPr>
      </w:pPr>
      <w:r>
        <w:rPr>
          <w:rFonts w:ascii="Calibri" w:hAnsi="Calibri" w:eastAsia="Calibri"/>
          <w:b w:val="0"/>
        </w:rPr>
        <w:t>terminal/residual value;</w:t>
      </w:r>
    </w:p>
    <w:p>
      <w:pPr>
        <w:numPr>
          <w:ilvl w:val="0"/>
          <w:numId w:val="10"/>
        </w:numPr>
      </w:pPr>
      <w:r>
        <w:rPr>
          <w:rFonts w:ascii="Calibri" w:hAnsi="Calibri" w:eastAsia="Calibri"/>
          <w:b w:val="0"/>
        </w:rPr>
        <w:t>discount rate or yield when market evidence supports a risk effect; and</w:t>
      </w:r>
    </w:p>
    <w:p>
      <w:pPr>
        <w:numPr>
          <w:ilvl w:val="0"/>
          <w:numId w:val="10"/>
        </w:numPr>
      </w:pPr>
      <w:r>
        <w:rPr>
          <w:rFonts w:ascii="Calibri" w:hAnsi="Calibri" w:eastAsia="Calibri"/>
          <w:b w:val="0"/>
        </w:rPr>
        <w:t>scenario-based downside exposure.</w:t>
      </w:r>
    </w:p>
    <w:p>
      <w:r>
        <w:rPr>
          <w:rFonts w:ascii="Calibri" w:hAnsi="Calibri" w:eastAsia="Calibri"/>
          <w:b w:val="0"/>
        </w:rPr>
        <w:t>Do not add a generic “adaptability premium” without market evidence. Produce a bridge from engineering evidence to cash-flow assumptions, state whether each change is market-observed, case-estimated or hypothetical, and prevent the same benefit from appearing in rent, vacancy, yield and terminal value simultaneously.</w:t>
      </w:r>
    </w:p>
    <w:p>
      <w:pPr>
        <w:pStyle w:val="Heading2"/>
      </w:pPr>
      <w:r>
        <w:rPr>
          <w:rFonts w:ascii="Calibri" w:hAnsi="Calibri" w:eastAsia="Calibri"/>
          <w:b w:val="0"/>
        </w:rPr>
        <w:t>5.7 Real-options module</w:t>
      </w:r>
    </w:p>
    <w:p>
      <w:r>
        <w:rPr>
          <w:rFonts w:ascii="Calibri" w:hAnsi="Calibri" w:eastAsia="Calibri"/>
          <w:b w:val="0"/>
        </w:rPr>
        <w:t>Use the module when all five conditions hold:</w:t>
      </w:r>
    </w:p>
    <w:p>
      <w:pPr>
        <w:numPr>
          <w:ilvl w:val="0"/>
          <w:numId w:val="23"/>
        </w:numPr>
      </w:pPr>
      <w:r>
        <w:rPr>
          <w:rFonts w:ascii="Calibri" w:hAnsi="Calibri" w:eastAsia="Calibri"/>
          <w:b w:val="0"/>
        </w:rPr>
        <w:t>a specific future choice exists;</w:t>
      </w:r>
    </w:p>
    <w:p>
      <w:pPr>
        <w:numPr>
          <w:ilvl w:val="0"/>
          <w:numId w:val="23"/>
        </w:numPr>
      </w:pPr>
      <w:r>
        <w:rPr>
          <w:rFonts w:ascii="Calibri" w:hAnsi="Calibri" w:eastAsia="Calibri"/>
          <w:b w:val="0"/>
        </w:rPr>
        <w:t>the actor has the right and practical capacity to exercise it;</w:t>
      </w:r>
    </w:p>
    <w:p>
      <w:pPr>
        <w:numPr>
          <w:ilvl w:val="0"/>
          <w:numId w:val="23"/>
        </w:numPr>
      </w:pPr>
      <w:r>
        <w:rPr>
          <w:rFonts w:ascii="Calibri" w:hAnsi="Calibri" w:eastAsia="Calibri"/>
          <w:b w:val="0"/>
        </w:rPr>
        <w:t>uncertainty can resolve over time;</w:t>
      </w:r>
    </w:p>
    <w:p>
      <w:pPr>
        <w:numPr>
          <w:ilvl w:val="0"/>
          <w:numId w:val="23"/>
        </w:numPr>
      </w:pPr>
      <w:r>
        <w:rPr>
          <w:rFonts w:ascii="Calibri" w:hAnsi="Calibri" w:eastAsia="Calibri"/>
          <w:b w:val="0"/>
        </w:rPr>
        <w:t>the exercise cost and avoided alternative are estimable; and</w:t>
      </w:r>
    </w:p>
    <w:p>
      <w:pPr>
        <w:numPr>
          <w:ilvl w:val="0"/>
          <w:numId w:val="23"/>
        </w:numPr>
      </w:pPr>
      <w:r>
        <w:rPr>
          <w:rFonts w:ascii="Calibri" w:hAnsi="Calibri" w:eastAsia="Calibri"/>
          <w:b w:val="0"/>
        </w:rPr>
        <w:t>the decision can be deferred or adapted.</w:t>
      </w:r>
    </w:p>
    <w:p>
      <w:r>
        <w:rPr>
          <w:rFonts w:ascii="Calibri" w:hAnsi="Calibri" w:eastAsia="Calibri"/>
          <w:b w:val="0"/>
        </w:rPr>
        <w:t>Recommended methods, from simplest to most complex:</w:t>
      </w:r>
    </w:p>
    <w:p>
      <w:pPr>
        <w:numPr>
          <w:ilvl w:val="0"/>
          <w:numId w:val="10"/>
        </w:numPr>
      </w:pPr>
      <w:r>
        <w:rPr>
          <w:rFonts w:ascii="Calibri" w:hAnsi="Calibri" w:eastAsia="Calibri"/>
          <w:b w:val="0"/>
        </w:rPr>
        <w:t>break-even/threshold analysis;</w:t>
      </w:r>
    </w:p>
    <w:p>
      <w:pPr>
        <w:numPr>
          <w:ilvl w:val="0"/>
          <w:numId w:val="10"/>
        </w:numPr>
      </w:pPr>
      <w:r>
        <w:rPr>
          <w:rFonts w:ascii="Calibri" w:hAnsi="Calibri" w:eastAsia="Calibri"/>
          <w:b w:val="0"/>
        </w:rPr>
        <w:t>scenario-weighted decision trees;</w:t>
      </w:r>
    </w:p>
    <w:p>
      <w:pPr>
        <w:numPr>
          <w:ilvl w:val="0"/>
          <w:numId w:val="10"/>
        </w:numPr>
      </w:pPr>
      <w:r>
        <w:rPr>
          <w:rFonts w:ascii="Calibri" w:hAnsi="Calibri" w:eastAsia="Calibri"/>
          <w:b w:val="0"/>
        </w:rPr>
        <w:t>Monte Carlo simulation with an exercise rule;</w:t>
      </w:r>
    </w:p>
    <w:p>
      <w:pPr>
        <w:numPr>
          <w:ilvl w:val="0"/>
          <w:numId w:val="10"/>
        </w:numPr>
      </w:pPr>
      <w:r>
        <w:rPr>
          <w:rFonts w:ascii="Calibri" w:hAnsi="Calibri" w:eastAsia="Calibri"/>
          <w:b w:val="0"/>
        </w:rPr>
        <w:t>fuzzy pay-off method when evidence supports only minimum/base/maximum outcomes;</w:t>
      </w:r>
    </w:p>
    <w:p>
      <w:pPr>
        <w:numPr>
          <w:ilvl w:val="0"/>
          <w:numId w:val="10"/>
        </w:numPr>
      </w:pPr>
      <w:r>
        <w:rPr>
          <w:rFonts w:ascii="Calibri" w:hAnsi="Calibri" w:eastAsia="Calibri"/>
          <w:b w:val="0"/>
        </w:rPr>
        <w:t>binomial or other formal real-option models for high-value, well-specified cases.</w:t>
      </w:r>
    </w:p>
    <w:p>
      <w:r>
        <w:rPr>
          <w:rFonts w:ascii="Calibri" w:hAnsi="Calibri" w:eastAsia="Calibri"/>
          <w:b w:val="0"/>
        </w:rPr>
        <w:t>Always show the DCF result, the option logic and the incremental option value separately. Stress-test probability, volatility and exercise cost; these variables can dominate the result.</w:t>
      </w:r>
    </w:p>
    <w:p>
      <w:pPr>
        <w:pStyle w:val="Heading2"/>
      </w:pPr>
      <w:r>
        <w:rPr>
          <w:rFonts w:ascii="Calibri" w:hAnsi="Calibri" w:eastAsia="Calibri"/>
          <w:b w:val="0"/>
        </w:rPr>
        <w:t>5.8 Social and use-value module</w:t>
      </w:r>
    </w:p>
    <w:p>
      <w:r>
        <w:rPr>
          <w:rFonts w:ascii="Calibri" w:hAnsi="Calibri" w:eastAsia="Calibri"/>
          <w:b w:val="0"/>
        </w:rPr>
        <w:t>Combine quantitative occupancy/utilization and indoor-environment data with post-occupancy evaluation, interviews and distributional analysis. Relevant outcomes include:</w:t>
      </w:r>
    </w:p>
    <w:p>
      <w:pPr>
        <w:numPr>
          <w:ilvl w:val="0"/>
          <w:numId w:val="10"/>
        </w:numPr>
      </w:pPr>
      <w:r>
        <w:rPr>
          <w:rFonts w:ascii="Calibri" w:hAnsi="Calibri" w:eastAsia="Calibri"/>
          <w:b w:val="0"/>
        </w:rPr>
        <w:t>access to learning, care, housing, work and cultural space;</w:t>
      </w:r>
    </w:p>
    <w:p>
      <w:pPr>
        <w:numPr>
          <w:ilvl w:val="0"/>
          <w:numId w:val="10"/>
        </w:numPr>
      </w:pPr>
      <w:r>
        <w:rPr>
          <w:rFonts w:ascii="Calibri" w:hAnsi="Calibri" w:eastAsia="Calibri"/>
          <w:b w:val="0"/>
        </w:rPr>
        <w:t>hours of use and diversity of user groups;</w:t>
      </w:r>
    </w:p>
    <w:p>
      <w:pPr>
        <w:numPr>
          <w:ilvl w:val="0"/>
          <w:numId w:val="10"/>
        </w:numPr>
      </w:pPr>
      <w:r>
        <w:rPr>
          <w:rFonts w:ascii="Calibri" w:hAnsi="Calibri" w:eastAsia="Calibri"/>
          <w:b w:val="0"/>
        </w:rPr>
        <w:t>affordability and displacement risk;</w:t>
      </w:r>
    </w:p>
    <w:p>
      <w:pPr>
        <w:numPr>
          <w:ilvl w:val="0"/>
          <w:numId w:val="10"/>
        </w:numPr>
      </w:pPr>
      <w:r>
        <w:rPr>
          <w:rFonts w:ascii="Calibri" w:hAnsi="Calibri" w:eastAsia="Calibri"/>
          <w:b w:val="0"/>
        </w:rPr>
        <w:t>universal access and inclusive usability;</w:t>
      </w:r>
    </w:p>
    <w:p>
      <w:pPr>
        <w:numPr>
          <w:ilvl w:val="0"/>
          <w:numId w:val="10"/>
        </w:numPr>
      </w:pPr>
      <w:r>
        <w:rPr>
          <w:rFonts w:ascii="Calibri" w:hAnsi="Calibri" w:eastAsia="Calibri"/>
          <w:b w:val="0"/>
        </w:rPr>
        <w:t>thermal, acoustic, visual and air-quality performance;</w:t>
      </w:r>
    </w:p>
    <w:p>
      <w:pPr>
        <w:numPr>
          <w:ilvl w:val="0"/>
          <w:numId w:val="10"/>
        </w:numPr>
      </w:pPr>
      <w:r>
        <w:rPr>
          <w:rFonts w:ascii="Calibri" w:hAnsi="Calibri" w:eastAsia="Calibri"/>
          <w:b w:val="0"/>
        </w:rPr>
        <w:t>perceived control, safety, belonging and satisfaction;</w:t>
      </w:r>
    </w:p>
    <w:p>
      <w:pPr>
        <w:numPr>
          <w:ilvl w:val="0"/>
          <w:numId w:val="10"/>
        </w:numPr>
      </w:pPr>
      <w:r>
        <w:rPr>
          <w:rFonts w:ascii="Calibri" w:hAnsi="Calibri" w:eastAsia="Calibri"/>
          <w:b w:val="0"/>
        </w:rPr>
        <w:t>continuity of service during change;</w:t>
      </w:r>
    </w:p>
    <w:p>
      <w:pPr>
        <w:numPr>
          <w:ilvl w:val="0"/>
          <w:numId w:val="10"/>
        </w:numPr>
      </w:pPr>
      <w:r>
        <w:rPr>
          <w:rFonts w:ascii="Calibri" w:hAnsi="Calibri" w:eastAsia="Calibri"/>
          <w:b w:val="0"/>
        </w:rPr>
        <w:t>local economic/cultural value; and</w:t>
      </w:r>
    </w:p>
    <w:p>
      <w:pPr>
        <w:numPr>
          <w:ilvl w:val="0"/>
          <w:numId w:val="10"/>
        </w:numPr>
      </w:pPr>
      <w:r>
        <w:rPr>
          <w:rFonts w:ascii="Calibri" w:hAnsi="Calibri" w:eastAsia="Calibri"/>
          <w:b w:val="0"/>
        </w:rPr>
        <w:t>who receives benefits and who experiences disruption.</w:t>
      </w:r>
    </w:p>
    <w:p>
      <w:r>
        <w:rPr>
          <w:rFonts w:ascii="Calibri" w:hAnsi="Calibri" w:eastAsia="Calibri"/>
          <w:b w:val="0"/>
        </w:rPr>
        <w:t>Social LCA can organize stakeholder categories and indicators, but it is less standardized and more context-sensitive than environmental LCA. Avoid monetary conversion unless the method and attribution are robust. Multi-criteria analysis should retain social criteria explicitly.</w:t>
      </w:r>
    </w:p>
    <w:p>
      <w:pPr>
        <w:pStyle w:val="Heading2"/>
      </w:pPr>
      <w:r>
        <w:rPr>
          <w:rFonts w:ascii="Calibri" w:hAnsi="Calibri" w:eastAsia="Calibri"/>
          <w:b w:val="0"/>
        </w:rPr>
        <w:t>5.9 Multi-criteria decision analysis</w:t>
      </w:r>
    </w:p>
    <w:p>
      <w:r>
        <w:rPr>
          <w:rFonts w:ascii="Calibri" w:hAnsi="Calibri" w:eastAsia="Calibri"/>
          <w:b w:val="0"/>
        </w:rPr>
        <w:t>Use MCDA to integrate consequential outcomes that cannot or should not be monetized. Recommended process:</w:t>
      </w:r>
    </w:p>
    <w:p>
      <w:pPr>
        <w:numPr>
          <w:ilvl w:val="0"/>
          <w:numId w:val="24"/>
        </w:numPr>
      </w:pPr>
      <w:r>
        <w:rPr>
          <w:rFonts w:ascii="Calibri" w:hAnsi="Calibri" w:eastAsia="Calibri"/>
          <w:b w:val="0"/>
        </w:rPr>
        <w:t>define criteria with non-overlapping meanings;</w:t>
      </w:r>
    </w:p>
    <w:p>
      <w:pPr>
        <w:numPr>
          <w:ilvl w:val="0"/>
          <w:numId w:val="24"/>
        </w:numPr>
      </w:pPr>
      <w:r>
        <w:rPr>
          <w:rFonts w:ascii="Calibri" w:hAnsi="Calibri" w:eastAsia="Calibri"/>
          <w:b w:val="0"/>
        </w:rPr>
        <w:t>normalize only within legitimate scales;</w:t>
      </w:r>
    </w:p>
    <w:p>
      <w:pPr>
        <w:numPr>
          <w:ilvl w:val="0"/>
          <w:numId w:val="24"/>
        </w:numPr>
      </w:pPr>
      <w:r>
        <w:rPr>
          <w:rFonts w:ascii="Calibri" w:hAnsi="Calibri" w:eastAsia="Calibri"/>
          <w:b w:val="0"/>
        </w:rPr>
        <w:t>elicit weights individually before group discussion;</w:t>
      </w:r>
    </w:p>
    <w:p>
      <w:pPr>
        <w:numPr>
          <w:ilvl w:val="0"/>
          <w:numId w:val="24"/>
        </w:numPr>
      </w:pPr>
      <w:r>
        <w:rPr>
          <w:rFonts w:ascii="Calibri" w:hAnsi="Calibri" w:eastAsia="Calibri"/>
          <w:b w:val="0"/>
        </w:rPr>
        <w:t>test multiple stakeholder weight sets;</w:t>
      </w:r>
    </w:p>
    <w:p>
      <w:pPr>
        <w:numPr>
          <w:ilvl w:val="0"/>
          <w:numId w:val="24"/>
        </w:numPr>
      </w:pPr>
      <w:r>
        <w:rPr>
          <w:rFonts w:ascii="Calibri" w:hAnsi="Calibri" w:eastAsia="Calibri"/>
          <w:b w:val="0"/>
        </w:rPr>
        <w:t>perform rank-reversal and sensitivity tests;</w:t>
      </w:r>
    </w:p>
    <w:p>
      <w:pPr>
        <w:numPr>
          <w:ilvl w:val="0"/>
          <w:numId w:val="24"/>
        </w:numPr>
      </w:pPr>
      <w:r>
        <w:rPr>
          <w:rFonts w:ascii="Calibri" w:hAnsi="Calibri" w:eastAsia="Calibri"/>
          <w:b w:val="0"/>
        </w:rPr>
        <w:t>identify dominance and unacceptable thresholds before calculating totals; and</w:t>
      </w:r>
    </w:p>
    <w:p>
      <w:pPr>
        <w:numPr>
          <w:ilvl w:val="0"/>
          <w:numId w:val="24"/>
        </w:numPr>
      </w:pPr>
      <w:r>
        <w:rPr>
          <w:rFonts w:ascii="Calibri" w:hAnsi="Calibri" w:eastAsia="Calibri"/>
          <w:b w:val="0"/>
        </w:rPr>
        <w:t>preserve the underlying evidence dashboard.</w:t>
      </w:r>
    </w:p>
    <w:p>
      <w:r>
        <w:rPr>
          <w:rFonts w:ascii="Calibri" w:hAnsi="Calibri" w:eastAsia="Calibri"/>
          <w:b w:val="0"/>
        </w:rPr>
        <w:t>MCDA supports deliberation; it does not discover objective societal value.</w:t>
      </w:r>
    </w:p>
    <w:p>
      <w:pPr>
        <w:pStyle w:val="Heading2"/>
      </w:pPr>
      <w:r>
        <w:rPr>
          <w:rFonts w:ascii="Calibri" w:hAnsi="Calibri" w:eastAsia="Calibri"/>
          <w:b w:val="0"/>
        </w:rPr>
        <w:t>5.10 Data quality, uncertainty and assurance</w:t>
      </w:r>
    </w:p>
    <w:p>
      <w:r>
        <w:rPr>
          <w:rFonts w:ascii="Calibri" w:hAnsi="Calibri" w:eastAsia="Calibri"/>
          <w:b w:val="0"/>
        </w:rPr>
        <w:t>Every material input should carry:</w:t>
      </w:r>
    </w:p>
    <w:p>
      <w:pPr>
        <w:numPr>
          <w:ilvl w:val="0"/>
          <w:numId w:val="10"/>
        </w:numPr>
      </w:pPr>
      <w:r>
        <w:rPr>
          <w:rFonts w:ascii="Calibri" w:hAnsi="Calibri" w:eastAsia="Calibri"/>
          <w:b w:val="0"/>
        </w:rPr>
        <w:t>source and date;</w:t>
      </w:r>
    </w:p>
    <w:p>
      <w:pPr>
        <w:numPr>
          <w:ilvl w:val="0"/>
          <w:numId w:val="10"/>
        </w:numPr>
      </w:pPr>
      <w:r>
        <w:rPr>
          <w:rFonts w:ascii="Calibri" w:hAnsi="Calibri" w:eastAsia="Calibri"/>
          <w:b w:val="0"/>
        </w:rPr>
        <w:t>owner/steward;</w:t>
      </w:r>
    </w:p>
    <w:p>
      <w:pPr>
        <w:numPr>
          <w:ilvl w:val="0"/>
          <w:numId w:val="10"/>
        </w:numPr>
      </w:pPr>
      <w:r>
        <w:rPr>
          <w:rFonts w:ascii="Calibri" w:hAnsi="Calibri" w:eastAsia="Calibri"/>
          <w:b w:val="0"/>
        </w:rPr>
        <w:t>spatial and temporal resolution;</w:t>
      </w:r>
    </w:p>
    <w:p>
      <w:pPr>
        <w:numPr>
          <w:ilvl w:val="0"/>
          <w:numId w:val="10"/>
        </w:numPr>
      </w:pPr>
      <w:r>
        <w:rPr>
          <w:rFonts w:ascii="Calibri" w:hAnsi="Calibri" w:eastAsia="Calibri"/>
          <w:b w:val="0"/>
        </w:rPr>
        <w:t>verification status;</w:t>
      </w:r>
    </w:p>
    <w:p>
      <w:pPr>
        <w:numPr>
          <w:ilvl w:val="0"/>
          <w:numId w:val="10"/>
        </w:numPr>
      </w:pPr>
      <w:r>
        <w:rPr>
          <w:rFonts w:ascii="Calibri" w:hAnsi="Calibri" w:eastAsia="Calibri"/>
          <w:b w:val="0"/>
        </w:rPr>
        <w:t>data-quality grade A–D;</w:t>
      </w:r>
    </w:p>
    <w:p>
      <w:pPr>
        <w:numPr>
          <w:ilvl w:val="0"/>
          <w:numId w:val="10"/>
        </w:numPr>
      </w:pPr>
      <w:r>
        <w:rPr>
          <w:rFonts w:ascii="Calibri" w:hAnsi="Calibri" w:eastAsia="Calibri"/>
          <w:b w:val="0"/>
        </w:rPr>
        <w:t>plausible range/distribution;</w:t>
      </w:r>
    </w:p>
    <w:p>
      <w:pPr>
        <w:numPr>
          <w:ilvl w:val="0"/>
          <w:numId w:val="10"/>
        </w:numPr>
      </w:pPr>
      <w:r>
        <w:rPr>
          <w:rFonts w:ascii="Calibri" w:hAnsi="Calibri" w:eastAsia="Calibri"/>
          <w:b w:val="0"/>
        </w:rPr>
        <w:t>update trigger; and</w:t>
      </w:r>
    </w:p>
    <w:p>
      <w:pPr>
        <w:numPr>
          <w:ilvl w:val="0"/>
          <w:numId w:val="10"/>
        </w:numPr>
      </w:pPr>
      <w:r>
        <w:rPr>
          <w:rFonts w:ascii="Calibri" w:hAnsi="Calibri" w:eastAsia="Calibri"/>
          <w:b w:val="0"/>
        </w:rPr>
        <w:t>effect on decision uncertainty.</w:t>
      </w:r>
    </w:p>
    <w:p>
      <w:r>
        <w:rPr>
          <w:rFonts w:ascii="Calibri" w:hAnsi="Calibri" w:eastAsia="Calibri"/>
          <w:b w:val="0"/>
        </w:rPr>
        <w:t>Use a shared assumption register and version control. Separate known, estimated, scenario assumption and value judgment. Calculate value of information for high-impact uncertain inputs: if better information could change the decision, commission measurement; if not, avoid unnecessary data collection.</w:t>
      </w:r>
    </w:p>
    <w:p>
      <w:pPr>
        <w:pStyle w:val="Heading1"/>
        <w:pageBreakBefore/>
      </w:pPr>
      <w:r>
        <w:rPr>
          <w:rFonts w:ascii="Calibri" w:hAnsi="Calibri" w:eastAsia="Calibri"/>
          <w:b w:val="0"/>
        </w:rPr>
        <w:t>6. Digital analysis and modelling lab</w:t>
      </w:r>
    </w:p>
    <w:p>
      <w:pPr>
        <w:pStyle w:val="Heading2"/>
      </w:pPr>
      <w:r>
        <w:rPr>
          <w:rFonts w:ascii="Calibri" w:hAnsi="Calibri" w:eastAsia="Calibri"/>
          <w:b w:val="0"/>
        </w:rPr>
        <w:t>6.1 Minimum viable digital architecture</w:t>
      </w:r>
    </w:p>
    <w:p>
      <w:r>
        <w:rPr>
          <w:rFonts w:ascii="Calibri" w:hAnsi="Calibri" w:eastAsia="Calibri"/>
          <w:b w:val="0"/>
        </w:rPr>
        <w:t>The digital lab should be decision-led rather than twin-led. Begin with information requirements for each decision and create a common asset/case model. Recommended architecture:</w:t>
      </w:r>
    </w:p>
    <w:p>
      <w:pPr>
        <w:numPr>
          <w:ilvl w:val="0"/>
          <w:numId w:val="25"/>
        </w:numPr>
      </w:pPr>
      <w:r>
        <w:rPr>
          <w:rFonts w:ascii="Calibri" w:hAnsi="Calibri" w:eastAsia="Calibri"/>
          <w:b/>
        </w:rPr>
        <w:t>Common data environment:</w:t>
      </w:r>
      <w:r>
        <w:rPr>
          <w:rFonts w:ascii="Calibri" w:hAnsi="Calibri" w:eastAsia="Calibri"/>
          <w:b w:val="0"/>
        </w:rPr>
        <w:t xml:space="preserve"> controlled source, status, approval, versioning and exchange following ISO 19650 principles.</w:t>
      </w:r>
    </w:p>
    <w:p>
      <w:pPr>
        <w:numPr>
          <w:ilvl w:val="0"/>
          <w:numId w:val="25"/>
        </w:numPr>
      </w:pPr>
      <w:r>
        <w:rPr>
          <w:rFonts w:ascii="Calibri" w:hAnsi="Calibri" w:eastAsia="Calibri"/>
          <w:b/>
        </w:rPr>
        <w:t>Asset geometry and systems:</w:t>
      </w:r>
      <w:r>
        <w:rPr>
          <w:rFonts w:ascii="Calibri" w:hAnsi="Calibri" w:eastAsia="Calibri"/>
          <w:b w:val="0"/>
        </w:rPr>
        <w:t xml:space="preserve"> open IFC where feasible; record model view/version and validation.</w:t>
      </w:r>
    </w:p>
    <w:p>
      <w:pPr>
        <w:numPr>
          <w:ilvl w:val="0"/>
          <w:numId w:val="25"/>
        </w:numPr>
      </w:pPr>
      <w:r>
        <w:rPr>
          <w:rFonts w:ascii="Calibri" w:hAnsi="Calibri" w:eastAsia="Calibri"/>
          <w:b/>
        </w:rPr>
        <w:t>Information requirements:</w:t>
      </w:r>
      <w:r>
        <w:rPr>
          <w:rFonts w:ascii="Calibri" w:hAnsi="Calibri" w:eastAsia="Calibri"/>
          <w:b w:val="0"/>
        </w:rPr>
        <w:t xml:space="preserve"> machine-readable IDS rules for required objects, properties, units and allowed values.</w:t>
      </w:r>
    </w:p>
    <w:p>
      <w:pPr>
        <w:numPr>
          <w:ilvl w:val="0"/>
          <w:numId w:val="25"/>
        </w:numPr>
      </w:pPr>
      <w:r>
        <w:rPr>
          <w:rFonts w:ascii="Calibri" w:hAnsi="Calibri" w:eastAsia="Calibri"/>
          <w:b/>
        </w:rPr>
        <w:t>Building logbook:</w:t>
      </w:r>
      <w:r>
        <w:rPr>
          <w:rFonts w:ascii="Calibri" w:hAnsi="Calibri" w:eastAsia="Calibri"/>
          <w:b w:val="0"/>
        </w:rPr>
        <w:t xml:space="preserve"> links to EPC, climate declaration/LCA, maintenance, alterations, inspections, permits, occupancy, condition and renovation passport.</w:t>
      </w:r>
    </w:p>
    <w:p>
      <w:pPr>
        <w:numPr>
          <w:ilvl w:val="0"/>
          <w:numId w:val="25"/>
        </w:numPr>
      </w:pPr>
      <w:r>
        <w:rPr>
          <w:rFonts w:ascii="Calibri" w:hAnsi="Calibri" w:eastAsia="Calibri"/>
          <w:b/>
        </w:rPr>
        <w:t>Product/component records:</w:t>
      </w:r>
      <w:r>
        <w:rPr>
          <w:rFonts w:ascii="Calibri" w:hAnsi="Calibri" w:eastAsia="Calibri"/>
          <w:b w:val="0"/>
        </w:rPr>
        <w:t xml:space="preserve"> product identity, EPD, composition, connections, dimensions, condition, maintenance, warranty, disassembly and reuse information; align with the emerging CPR digital product passport.</w:t>
      </w:r>
    </w:p>
    <w:p>
      <w:pPr>
        <w:numPr>
          <w:ilvl w:val="0"/>
          <w:numId w:val="25"/>
        </w:numPr>
      </w:pPr>
      <w:r>
        <w:rPr>
          <w:rFonts w:ascii="Calibri" w:hAnsi="Calibri" w:eastAsia="Calibri"/>
          <w:b/>
        </w:rPr>
        <w:t>GIS/portfolio layer:</w:t>
      </w:r>
      <w:r>
        <w:rPr>
          <w:rFonts w:ascii="Calibri" w:hAnsi="Calibri" w:eastAsia="Calibri"/>
          <w:b w:val="0"/>
        </w:rPr>
        <w:t xml:space="preserve"> location, planning, hazards, access, demographics, services and portfolio demand.</w:t>
      </w:r>
    </w:p>
    <w:p>
      <w:pPr>
        <w:numPr>
          <w:ilvl w:val="0"/>
          <w:numId w:val="25"/>
        </w:numPr>
      </w:pPr>
      <w:r>
        <w:rPr>
          <w:rFonts w:ascii="Calibri" w:hAnsi="Calibri" w:eastAsia="Calibri"/>
          <w:b/>
        </w:rPr>
        <w:t>Scenario engine:</w:t>
      </w:r>
      <w:r>
        <w:rPr>
          <w:rFonts w:ascii="Calibri" w:hAnsi="Calibri" w:eastAsia="Calibri"/>
          <w:b w:val="0"/>
        </w:rPr>
        <w:t xml:space="preserve"> use-demand, transformation, LCA, LCC and valuation assumptions with traceable runs.</w:t>
      </w:r>
    </w:p>
    <w:p>
      <w:pPr>
        <w:numPr>
          <w:ilvl w:val="0"/>
          <w:numId w:val="25"/>
        </w:numPr>
      </w:pPr>
      <w:r>
        <w:rPr>
          <w:rFonts w:ascii="Calibri" w:hAnsi="Calibri" w:eastAsia="Calibri"/>
          <w:b/>
        </w:rPr>
        <w:t>Decision dashboard:</w:t>
      </w:r>
      <w:r>
        <w:rPr>
          <w:rFonts w:ascii="Calibri" w:hAnsi="Calibri" w:eastAsia="Calibri"/>
          <w:b w:val="0"/>
        </w:rPr>
        <w:t xml:space="preserve"> alternatives, results, uncertainty, data quality and decision history.</w:t>
      </w:r>
    </w:p>
    <w:p>
      <w:r>
        <w:rPr>
          <w:rFonts w:ascii="Calibri" w:hAnsi="Calibri" w:eastAsia="Calibri"/>
          <w:b w:val="0"/>
        </w:rPr>
        <w:t>IFC is an open ISO-standardized description of the built environment. IDS allows computer-interpretable information requirements and automated checking. Neither guarantees correct or current asset data; validation against survey, operations and the physical prototype remains essential.</w:t>
      </w:r>
    </w:p>
    <w:p>
      <w:pPr>
        <w:pStyle w:val="Heading2"/>
      </w:pPr>
      <w:r>
        <w:rPr>
          <w:rFonts w:ascii="Calibri" w:hAnsi="Calibri" w:eastAsia="Calibri"/>
          <w:b w:val="0"/>
        </w:rPr>
        <w:t>6.2 Baseline methods</w:t>
      </w:r>
    </w:p>
    <w:p>
      <w:r>
        <w:rPr>
          <w:rFonts w:ascii="Calibri" w:hAnsi="Calibri" w:eastAsia="Calibri"/>
          <w:b w:val="0"/>
        </w:rPr>
        <w:t>Collect:</w:t>
      </w:r>
    </w:p>
    <w:p>
      <w:pPr>
        <w:numPr>
          <w:ilvl w:val="0"/>
          <w:numId w:val="10"/>
        </w:numPr>
      </w:pPr>
      <w:r>
        <w:rPr>
          <w:rFonts w:ascii="Calibri" w:hAnsi="Calibri" w:eastAsia="Calibri"/>
          <w:b w:val="0"/>
        </w:rPr>
        <w:t>verified areas, volumes, grids, floor-to-floor height, cores and access;</w:t>
      </w:r>
    </w:p>
    <w:p>
      <w:pPr>
        <w:numPr>
          <w:ilvl w:val="0"/>
          <w:numId w:val="10"/>
        </w:numPr>
      </w:pPr>
      <w:r>
        <w:rPr>
          <w:rFonts w:ascii="Calibri" w:hAnsi="Calibri" w:eastAsia="Calibri"/>
          <w:b w:val="0"/>
        </w:rPr>
        <w:t>structure, loads, fire strategy and reserve capacity;</w:t>
      </w:r>
    </w:p>
    <w:p>
      <w:pPr>
        <w:numPr>
          <w:ilvl w:val="0"/>
          <w:numId w:val="10"/>
        </w:numPr>
      </w:pPr>
      <w:r>
        <w:rPr>
          <w:rFonts w:ascii="Calibri" w:hAnsi="Calibri" w:eastAsia="Calibri"/>
          <w:b w:val="0"/>
        </w:rPr>
        <w:t>services zones, distribution, remaining capacity and replacement access;</w:t>
      </w:r>
    </w:p>
    <w:p>
      <w:pPr>
        <w:numPr>
          <w:ilvl w:val="0"/>
          <w:numId w:val="10"/>
        </w:numPr>
      </w:pPr>
      <w:r>
        <w:rPr>
          <w:rFonts w:ascii="Calibri" w:hAnsi="Calibri" w:eastAsia="Calibri"/>
          <w:b w:val="0"/>
        </w:rPr>
        <w:t>façade/daylight/acoustic constraints;</w:t>
      </w:r>
    </w:p>
    <w:p>
      <w:pPr>
        <w:numPr>
          <w:ilvl w:val="0"/>
          <w:numId w:val="10"/>
        </w:numPr>
      </w:pPr>
      <w:r>
        <w:rPr>
          <w:rFonts w:ascii="Calibri" w:hAnsi="Calibri" w:eastAsia="Calibri"/>
          <w:b w:val="0"/>
        </w:rPr>
        <w:t>component inventory, connection type, material and condition;</w:t>
      </w:r>
    </w:p>
    <w:p>
      <w:pPr>
        <w:numPr>
          <w:ilvl w:val="0"/>
          <w:numId w:val="10"/>
        </w:numPr>
      </w:pPr>
      <w:r>
        <w:rPr>
          <w:rFonts w:ascii="Calibri" w:hAnsi="Calibri" w:eastAsia="Calibri"/>
          <w:b w:val="0"/>
        </w:rPr>
        <w:t>measured energy, water and indoor-environment data;</w:t>
      </w:r>
    </w:p>
    <w:p>
      <w:pPr>
        <w:numPr>
          <w:ilvl w:val="0"/>
          <w:numId w:val="10"/>
        </w:numPr>
      </w:pPr>
      <w:r>
        <w:rPr>
          <w:rFonts w:ascii="Calibri" w:hAnsi="Calibri" w:eastAsia="Calibri"/>
          <w:b w:val="0"/>
        </w:rPr>
        <w:t>occupancy, bookings, access control and utilization by time and user group;</w:t>
      </w:r>
    </w:p>
    <w:p>
      <w:pPr>
        <w:numPr>
          <w:ilvl w:val="0"/>
          <w:numId w:val="10"/>
        </w:numPr>
      </w:pPr>
      <w:r>
        <w:rPr>
          <w:rFonts w:ascii="Calibri" w:hAnsi="Calibri" w:eastAsia="Calibri"/>
          <w:b w:val="0"/>
        </w:rPr>
        <w:t>maintenance, replacement and alteration history;</w:t>
      </w:r>
    </w:p>
    <w:p>
      <w:pPr>
        <w:numPr>
          <w:ilvl w:val="0"/>
          <w:numId w:val="10"/>
        </w:numPr>
      </w:pPr>
      <w:r>
        <w:rPr>
          <w:rFonts w:ascii="Calibri" w:hAnsi="Calibri" w:eastAsia="Calibri"/>
          <w:b w:val="0"/>
        </w:rPr>
        <w:t>planning, ownership, lease, covenant, procurement and budget constraints; and</w:t>
      </w:r>
    </w:p>
    <w:p>
      <w:pPr>
        <w:numPr>
          <w:ilvl w:val="0"/>
          <w:numId w:val="10"/>
        </w:numPr>
      </w:pPr>
      <w:r>
        <w:rPr>
          <w:rFonts w:ascii="Calibri" w:hAnsi="Calibri" w:eastAsia="Calibri"/>
          <w:b w:val="0"/>
        </w:rPr>
        <w:t>rent, vacancy, opex, capex and valuation evidence where permitted.</w:t>
      </w:r>
    </w:p>
    <w:p>
      <w:r>
        <w:rPr>
          <w:rFonts w:ascii="Calibri" w:hAnsi="Calibri" w:eastAsia="Calibri"/>
          <w:b w:val="0"/>
        </w:rPr>
        <w:t>Use scan-to-BIM or photogrammetry only at the accuracy needed by the decision. Record tolerance and date; do not infer concealed conditions without confidence flags.</w:t>
      </w:r>
    </w:p>
    <w:p>
      <w:pPr>
        <w:pStyle w:val="Heading2"/>
      </w:pPr>
      <w:r>
        <w:rPr>
          <w:rFonts w:ascii="Calibri" w:hAnsi="Calibri" w:eastAsia="Calibri"/>
          <w:b w:val="0"/>
        </w:rPr>
        <w:t>6.3 Scenario modelling</w:t>
      </w:r>
    </w:p>
    <w:p>
      <w:r>
        <w:rPr>
          <w:rFonts w:ascii="Calibri" w:hAnsi="Calibri" w:eastAsia="Calibri"/>
          <w:b w:val="0"/>
        </w:rPr>
        <w:t>Recommended models include:</w:t>
      </w:r>
    </w:p>
    <w:p>
      <w:pPr>
        <w:numPr>
          <w:ilvl w:val="0"/>
          <w:numId w:val="10"/>
        </w:numPr>
      </w:pPr>
      <w:r>
        <w:rPr>
          <w:rFonts w:ascii="Calibri" w:hAnsi="Calibri" w:eastAsia="Calibri"/>
          <w:b w:val="0"/>
        </w:rPr>
        <w:t>test-fit and rule-based feasibility for alternative uses;</w:t>
      </w:r>
    </w:p>
    <w:p>
      <w:pPr>
        <w:numPr>
          <w:ilvl w:val="0"/>
          <w:numId w:val="10"/>
        </w:numPr>
      </w:pPr>
      <w:r>
        <w:rPr>
          <w:rFonts w:ascii="Calibri" w:hAnsi="Calibri" w:eastAsia="Calibri"/>
          <w:b w:val="0"/>
        </w:rPr>
        <w:t>daylight, fire-egress, acoustic, structural and services checks;</w:t>
      </w:r>
    </w:p>
    <w:p>
      <w:pPr>
        <w:numPr>
          <w:ilvl w:val="0"/>
          <w:numId w:val="10"/>
        </w:numPr>
      </w:pPr>
      <w:r>
        <w:rPr>
          <w:rFonts w:ascii="Calibri" w:hAnsi="Calibri" w:eastAsia="Calibri"/>
          <w:b w:val="0"/>
        </w:rPr>
        <w:t>agent/activity or schedule-based space-demand models;</w:t>
      </w:r>
    </w:p>
    <w:p>
      <w:pPr>
        <w:numPr>
          <w:ilvl w:val="0"/>
          <w:numId w:val="10"/>
        </w:numPr>
      </w:pPr>
      <w:r>
        <w:rPr>
          <w:rFonts w:ascii="Calibri" w:hAnsi="Calibri" w:eastAsia="Calibri"/>
          <w:b w:val="0"/>
        </w:rPr>
        <w:t>occupancy and utilization analytics;</w:t>
      </w:r>
    </w:p>
    <w:p>
      <w:pPr>
        <w:numPr>
          <w:ilvl w:val="0"/>
          <w:numId w:val="10"/>
        </w:numPr>
      </w:pPr>
      <w:r>
        <w:rPr>
          <w:rFonts w:ascii="Calibri" w:hAnsi="Calibri" w:eastAsia="Calibri"/>
          <w:b w:val="0"/>
        </w:rPr>
        <w:t>parametric transformation quantities and cost/carbon;</w:t>
      </w:r>
    </w:p>
    <w:p>
      <w:pPr>
        <w:numPr>
          <w:ilvl w:val="0"/>
          <w:numId w:val="10"/>
        </w:numPr>
      </w:pPr>
      <w:r>
        <w:rPr>
          <w:rFonts w:ascii="Calibri" w:hAnsi="Calibri" w:eastAsia="Calibri"/>
          <w:b w:val="0"/>
        </w:rPr>
        <w:t>discrete-event simulation for decanting and downtime;</w:t>
      </w:r>
    </w:p>
    <w:p>
      <w:pPr>
        <w:numPr>
          <w:ilvl w:val="0"/>
          <w:numId w:val="10"/>
        </w:numPr>
      </w:pPr>
      <w:r>
        <w:rPr>
          <w:rFonts w:ascii="Calibri" w:hAnsi="Calibri" w:eastAsia="Calibri"/>
          <w:b w:val="0"/>
        </w:rPr>
        <w:t>stock-flow models for components and materials;</w:t>
      </w:r>
    </w:p>
    <w:p>
      <w:pPr>
        <w:numPr>
          <w:ilvl w:val="0"/>
          <w:numId w:val="10"/>
        </w:numPr>
      </w:pPr>
      <w:r>
        <w:rPr>
          <w:rFonts w:ascii="Calibri" w:hAnsi="Calibri" w:eastAsia="Calibri"/>
          <w:b w:val="0"/>
        </w:rPr>
        <w:t>portfolio demand and capacity balancing;</w:t>
      </w:r>
    </w:p>
    <w:p>
      <w:pPr>
        <w:numPr>
          <w:ilvl w:val="0"/>
          <w:numId w:val="10"/>
        </w:numPr>
      </w:pPr>
      <w:r>
        <w:rPr>
          <w:rFonts w:ascii="Calibri" w:hAnsi="Calibri" w:eastAsia="Calibri"/>
          <w:b w:val="0"/>
        </w:rPr>
        <w:t>energy simulation and demand-response testing; and</w:t>
      </w:r>
    </w:p>
    <w:p>
      <w:pPr>
        <w:numPr>
          <w:ilvl w:val="0"/>
          <w:numId w:val="10"/>
        </w:numPr>
      </w:pPr>
      <w:r>
        <w:rPr>
          <w:rFonts w:ascii="Calibri" w:hAnsi="Calibri" w:eastAsia="Calibri"/>
          <w:b w:val="0"/>
        </w:rPr>
        <w:t>probabilistic decision models for change timing.</w:t>
      </w:r>
    </w:p>
    <w:p>
      <w:r>
        <w:rPr>
          <w:rFonts w:ascii="Calibri" w:hAnsi="Calibri" w:eastAsia="Calibri"/>
          <w:b w:val="0"/>
        </w:rPr>
        <w:t>Separate descriptive twins (what is), predictive models (what may happen) and prescriptive decision models (what to do). Label calibration and validation status.</w:t>
      </w:r>
    </w:p>
    <w:p>
      <w:pPr>
        <w:pStyle w:val="Heading2"/>
      </w:pPr>
      <w:r>
        <w:rPr>
          <w:rFonts w:ascii="Calibri" w:hAnsi="Calibri" w:eastAsia="Calibri"/>
          <w:b w:val="0"/>
        </w:rPr>
        <w:t>6.4 Energy flexibility as a scoped module</w:t>
      </w:r>
    </w:p>
    <w:p>
      <w:r>
        <w:rPr>
          <w:rFonts w:ascii="Calibri" w:hAnsi="Calibri" w:eastAsia="Calibri"/>
          <w:b w:val="0"/>
        </w:rPr>
        <w:t>IEA EBC Annex 67 defines the field around managing demand and generation according to local climate, occupant needs and grid requirements. It should remain a distinct CAVF module so the word flexibility is not confused. Relevant KPIs include load-shift capacity, response duration, rebound, available power, comfort deviation, emissions and cost effect, and reliability under grid signals.</w:t>
      </w:r>
    </w:p>
    <w:p>
      <w:r>
        <w:rPr>
          <w:rFonts w:ascii="Calibri" w:hAnsi="Calibri" w:eastAsia="Calibri"/>
          <w:b w:val="0"/>
        </w:rPr>
        <w:t>For MARIEVIK+ it is most relevant where flexible use, shared space, thermal storage, heat pumps, PV, batteries, EV charging or grid constraints interact. Test occupant acceptance and operational control; theoretical capacity without controls and incentives is not deliverable flexibility.</w:t>
      </w:r>
    </w:p>
    <w:p>
      <w:pPr>
        <w:pStyle w:val="Heading2"/>
      </w:pPr>
      <w:r>
        <w:rPr>
          <w:rFonts w:ascii="Calibri" w:hAnsi="Calibri" w:eastAsia="Calibri"/>
          <w:b w:val="0"/>
        </w:rPr>
        <w:t>6.5 Data governance and ethics</w:t>
      </w:r>
    </w:p>
    <w:p>
      <w:r>
        <w:rPr>
          <w:rFonts w:ascii="Calibri" w:hAnsi="Calibri" w:eastAsia="Calibri"/>
          <w:b w:val="0"/>
        </w:rPr>
        <w:t>Define controller, processor, access rights, retention and lawful basis for personal or pseudonymous occupancy data. Apply privacy by design: aggregate where possible, minimize data, separate identity from location traces, define deletion, protect commercial valuation data and record model security. The CPR requires open, interoperable passport information while also protecting personal data, trade secrets and access rights; MARIEVIK+ should mirror that tiered approach.</w:t>
      </w:r>
    </w:p>
    <w:p>
      <w:pPr>
        <w:pStyle w:val="Heading1"/>
        <w:pageBreakBefore/>
      </w:pPr>
      <w:r>
        <w:rPr>
          <w:rFonts w:ascii="Calibri" w:hAnsi="Calibri" w:eastAsia="Calibri"/>
          <w:b w:val="0"/>
        </w:rPr>
        <w:t>7. Physical DoTank and prototype method</w:t>
      </w:r>
    </w:p>
    <w:p>
      <w:pPr>
        <w:pStyle w:val="Heading2"/>
      </w:pPr>
      <w:r>
        <w:rPr>
          <w:rFonts w:ascii="Calibri" w:hAnsi="Calibri" w:eastAsia="Calibri"/>
          <w:b w:val="0"/>
        </w:rPr>
        <w:t>7.1 Prototype ladder</w:t>
      </w:r>
    </w:p>
    <w:p>
      <w:r>
        <w:rPr>
          <w:rFonts w:ascii="Calibri" w:hAnsi="Calibri" w:eastAsia="Calibri"/>
          <w:b w:val="0"/>
        </w:rPr>
        <w:t>Use progressive evidence, not one final demonstrator:</w:t>
      </w:r>
    </w:p>
    <w:p>
      <w:pPr>
        <w:numPr>
          <w:ilvl w:val="0"/>
          <w:numId w:val="26"/>
        </w:numPr>
      </w:pPr>
      <w:r>
        <w:rPr>
          <w:rFonts w:ascii="Calibri" w:hAnsi="Calibri" w:eastAsia="Calibri"/>
          <w:b/>
        </w:rPr>
        <w:t>paper/rule prototype:</w:t>
      </w:r>
      <w:r>
        <w:rPr>
          <w:rFonts w:ascii="Calibri" w:hAnsi="Calibri" w:eastAsia="Calibri"/>
          <w:b w:val="0"/>
        </w:rPr>
        <w:t xml:space="preserve"> interfaces, requirements, ownership and decision flow;</w:t>
      </w:r>
    </w:p>
    <w:p>
      <w:pPr>
        <w:numPr>
          <w:ilvl w:val="0"/>
          <w:numId w:val="26"/>
        </w:numPr>
      </w:pPr>
      <w:r>
        <w:rPr>
          <w:rFonts w:ascii="Calibri" w:hAnsi="Calibri" w:eastAsia="Calibri"/>
          <w:b/>
        </w:rPr>
        <w:t>digital test-fit:</w:t>
      </w:r>
      <w:r>
        <w:rPr>
          <w:rFonts w:ascii="Calibri" w:hAnsi="Calibri" w:eastAsia="Calibri"/>
          <w:b w:val="0"/>
        </w:rPr>
        <w:t xml:space="preserve"> geometry, constraints and quantities;</w:t>
      </w:r>
    </w:p>
    <w:p>
      <w:pPr>
        <w:numPr>
          <w:ilvl w:val="0"/>
          <w:numId w:val="26"/>
        </w:numPr>
      </w:pPr>
      <w:r>
        <w:rPr>
          <w:rFonts w:ascii="Calibri" w:hAnsi="Calibri" w:eastAsia="Calibri"/>
          <w:b/>
        </w:rPr>
        <w:t>1:5 or interface mock-up:</w:t>
      </w:r>
      <w:r>
        <w:rPr>
          <w:rFonts w:ascii="Calibri" w:hAnsi="Calibri" w:eastAsia="Calibri"/>
          <w:b w:val="0"/>
        </w:rPr>
        <w:t xml:space="preserve"> connections, tolerances and sequence;</w:t>
      </w:r>
    </w:p>
    <w:p>
      <w:pPr>
        <w:numPr>
          <w:ilvl w:val="0"/>
          <w:numId w:val="26"/>
        </w:numPr>
      </w:pPr>
      <w:r>
        <w:rPr>
          <w:rFonts w:ascii="Calibri" w:hAnsi="Calibri" w:eastAsia="Calibri"/>
          <w:b/>
        </w:rPr>
        <w:t>1:1 component/bay prototype:</w:t>
      </w:r>
      <w:r>
        <w:rPr>
          <w:rFonts w:ascii="Calibri" w:hAnsi="Calibri" w:eastAsia="Calibri"/>
          <w:b w:val="0"/>
        </w:rPr>
        <w:t xml:space="preserve"> assembly, access, damage, time and skills;</w:t>
      </w:r>
    </w:p>
    <w:p>
      <w:pPr>
        <w:numPr>
          <w:ilvl w:val="0"/>
          <w:numId w:val="26"/>
        </w:numPr>
      </w:pPr>
      <w:r>
        <w:rPr>
          <w:rFonts w:ascii="Calibri" w:hAnsi="Calibri" w:eastAsia="Calibri"/>
          <w:b/>
        </w:rPr>
        <w:t>occupied pilot zone:</w:t>
      </w:r>
      <w:r>
        <w:rPr>
          <w:rFonts w:ascii="Calibri" w:hAnsi="Calibri" w:eastAsia="Calibri"/>
          <w:b w:val="0"/>
        </w:rPr>
        <w:t xml:space="preserve"> comfort, usability, operation and maintenance;</w:t>
      </w:r>
    </w:p>
    <w:p>
      <w:pPr>
        <w:numPr>
          <w:ilvl w:val="0"/>
          <w:numId w:val="26"/>
        </w:numPr>
      </w:pPr>
      <w:r>
        <w:rPr>
          <w:rFonts w:ascii="Calibri" w:hAnsi="Calibri" w:eastAsia="Calibri"/>
          <w:b/>
        </w:rPr>
        <w:t>transformation trial:</w:t>
      </w:r>
      <w:r>
        <w:rPr>
          <w:rFonts w:ascii="Calibri" w:hAnsi="Calibri" w:eastAsia="Calibri"/>
          <w:b w:val="0"/>
        </w:rPr>
        <w:t xml:space="preserve"> disassemble, reconfigure/reinstall and measure recovery; and</w:t>
      </w:r>
    </w:p>
    <w:p>
      <w:pPr>
        <w:numPr>
          <w:ilvl w:val="0"/>
          <w:numId w:val="26"/>
        </w:numPr>
      </w:pPr>
      <w:r>
        <w:rPr>
          <w:rFonts w:ascii="Calibri" w:hAnsi="Calibri" w:eastAsia="Calibri"/>
          <w:b/>
        </w:rPr>
        <w:t>decision demonstration:</w:t>
      </w:r>
      <w:r>
        <w:rPr>
          <w:rFonts w:ascii="Calibri" w:hAnsi="Calibri" w:eastAsia="Calibri"/>
          <w:b w:val="0"/>
        </w:rPr>
        <w:t xml:space="preserve"> compare prototype evidence with conventional procurement/investment choice.</w:t>
      </w:r>
    </w:p>
    <w:p>
      <w:pPr>
        <w:pStyle w:val="Heading2"/>
      </w:pPr>
      <w:r>
        <w:rPr>
          <w:rFonts w:ascii="Calibri" w:hAnsi="Calibri" w:eastAsia="Calibri"/>
          <w:b w:val="0"/>
        </w:rPr>
        <w:t>7.2 Experimental variables</w:t>
      </w:r>
    </w:p>
    <w:p>
      <w:r>
        <w:rPr>
          <w:rFonts w:ascii="Calibri" w:hAnsi="Calibri" w:eastAsia="Calibri"/>
          <w:b w:val="0"/>
        </w:rPr>
        <w:t>For each prototype pre-register:</w:t>
      </w:r>
    </w:p>
    <w:p>
      <w:pPr>
        <w:numPr>
          <w:ilvl w:val="0"/>
          <w:numId w:val="10"/>
        </w:numPr>
      </w:pPr>
      <w:r>
        <w:rPr>
          <w:rFonts w:ascii="Calibri" w:hAnsi="Calibri" w:eastAsia="Calibri"/>
          <w:b w:val="0"/>
        </w:rPr>
        <w:t>hypothesis and decision relevance;</w:t>
      </w:r>
    </w:p>
    <w:p>
      <w:pPr>
        <w:numPr>
          <w:ilvl w:val="0"/>
          <w:numId w:val="10"/>
        </w:numPr>
      </w:pPr>
      <w:r>
        <w:rPr>
          <w:rFonts w:ascii="Calibri" w:hAnsi="Calibri" w:eastAsia="Calibri"/>
          <w:b w:val="0"/>
        </w:rPr>
        <w:t>conventional comparator;</w:t>
      </w:r>
    </w:p>
    <w:p>
      <w:pPr>
        <w:numPr>
          <w:ilvl w:val="0"/>
          <w:numId w:val="10"/>
        </w:numPr>
      </w:pPr>
      <w:r>
        <w:rPr>
          <w:rFonts w:ascii="Calibri" w:hAnsi="Calibri" w:eastAsia="Calibri"/>
          <w:b w:val="0"/>
        </w:rPr>
        <w:t>boundary and functional performance;</w:t>
      </w:r>
    </w:p>
    <w:p>
      <w:pPr>
        <w:numPr>
          <w:ilvl w:val="0"/>
          <w:numId w:val="10"/>
        </w:numPr>
      </w:pPr>
      <w:r>
        <w:rPr>
          <w:rFonts w:ascii="Calibri" w:hAnsi="Calibri" w:eastAsia="Calibri"/>
          <w:b w:val="0"/>
        </w:rPr>
        <w:t>crew, tools and skill level;</w:t>
      </w:r>
    </w:p>
    <w:p>
      <w:pPr>
        <w:numPr>
          <w:ilvl w:val="0"/>
          <w:numId w:val="10"/>
        </w:numPr>
      </w:pPr>
      <w:r>
        <w:rPr>
          <w:rFonts w:ascii="Calibri" w:hAnsi="Calibri" w:eastAsia="Calibri"/>
          <w:b w:val="0"/>
        </w:rPr>
        <w:t>assembly/disassembly/reassembly sequence;</w:t>
      </w:r>
    </w:p>
    <w:p>
      <w:pPr>
        <w:numPr>
          <w:ilvl w:val="0"/>
          <w:numId w:val="10"/>
        </w:numPr>
      </w:pPr>
      <w:r>
        <w:rPr>
          <w:rFonts w:ascii="Calibri" w:hAnsi="Calibri" w:eastAsia="Calibri"/>
          <w:b w:val="0"/>
        </w:rPr>
        <w:t>time, labour, downtime and safety events;</w:t>
      </w:r>
    </w:p>
    <w:p>
      <w:pPr>
        <w:numPr>
          <w:ilvl w:val="0"/>
          <w:numId w:val="10"/>
        </w:numPr>
      </w:pPr>
      <w:r>
        <w:rPr>
          <w:rFonts w:ascii="Calibri" w:hAnsi="Calibri" w:eastAsia="Calibri"/>
          <w:b w:val="0"/>
        </w:rPr>
        <w:t>waste, damage, loss and recoverable mass/value;</w:t>
      </w:r>
    </w:p>
    <w:p>
      <w:pPr>
        <w:numPr>
          <w:ilvl w:val="0"/>
          <w:numId w:val="10"/>
        </w:numPr>
      </w:pPr>
      <w:r>
        <w:rPr>
          <w:rFonts w:ascii="Calibri" w:hAnsi="Calibri" w:eastAsia="Calibri"/>
          <w:b w:val="0"/>
        </w:rPr>
        <w:t>component performance before and after cycling;</w:t>
      </w:r>
    </w:p>
    <w:p>
      <w:pPr>
        <w:numPr>
          <w:ilvl w:val="0"/>
          <w:numId w:val="10"/>
        </w:numPr>
      </w:pPr>
      <w:r>
        <w:rPr>
          <w:rFonts w:ascii="Calibri" w:hAnsi="Calibri" w:eastAsia="Calibri"/>
          <w:b w:val="0"/>
        </w:rPr>
        <w:t>acoustic, fire, thermal, moisture and structural requirements;</w:t>
      </w:r>
    </w:p>
    <w:p>
      <w:pPr>
        <w:numPr>
          <w:ilvl w:val="0"/>
          <w:numId w:val="10"/>
        </w:numPr>
      </w:pPr>
      <w:r>
        <w:rPr>
          <w:rFonts w:ascii="Calibri" w:hAnsi="Calibri" w:eastAsia="Calibri"/>
          <w:b w:val="0"/>
        </w:rPr>
        <w:t>tolerance and interface problems;</w:t>
      </w:r>
    </w:p>
    <w:p>
      <w:pPr>
        <w:numPr>
          <w:ilvl w:val="0"/>
          <w:numId w:val="10"/>
        </w:numPr>
      </w:pPr>
      <w:r>
        <w:rPr>
          <w:rFonts w:ascii="Calibri" w:hAnsi="Calibri" w:eastAsia="Calibri"/>
          <w:b w:val="0"/>
        </w:rPr>
        <w:t>documentation quality; and</w:t>
      </w:r>
    </w:p>
    <w:p>
      <w:pPr>
        <w:numPr>
          <w:ilvl w:val="0"/>
          <w:numId w:val="10"/>
        </w:numPr>
      </w:pPr>
      <w:r>
        <w:rPr>
          <w:rFonts w:ascii="Calibri" w:hAnsi="Calibri" w:eastAsia="Calibri"/>
          <w:b w:val="0"/>
        </w:rPr>
        <w:t>learning-curve effects across repetitions.</w:t>
      </w:r>
    </w:p>
    <w:p>
      <w:r>
        <w:rPr>
          <w:rFonts w:ascii="Calibri" w:hAnsi="Calibri" w:eastAsia="Calibri"/>
          <w:b w:val="0"/>
        </w:rPr>
        <w:t>Use video/time-motion logs and weighed material outputs. Repeat cycles where durability of reversibility is claimed. A first disassembly by the original designers is not proof that a future contractor can recover the system.</w:t>
      </w:r>
    </w:p>
    <w:p>
      <w:pPr>
        <w:pStyle w:val="Heading2"/>
      </w:pPr>
      <w:r>
        <w:rPr>
          <w:rFonts w:ascii="Calibri" w:hAnsi="Calibri" w:eastAsia="Calibri"/>
          <w:b w:val="0"/>
        </w:rPr>
        <w:t>7.3 Post-occupancy and shared-use evaluation</w:t>
      </w:r>
    </w:p>
    <w:p>
      <w:r>
        <w:rPr>
          <w:rFonts w:ascii="Calibri" w:hAnsi="Calibri" w:eastAsia="Calibri"/>
          <w:b w:val="0"/>
        </w:rPr>
        <w:t>Conduct pre- and post-intervention POE with comparable seasons where possible. Combine sensors with surveys, walkthroughs, interviews and booking/access data. Monitor occupancy density, duration, diversity of use, conflicts, staff workload, cleaning/security, indoor environment and perceived control. Shared use may raise utilization but also coordination and operating costs; measure both.</w:t>
      </w:r>
    </w:p>
    <w:p>
      <w:pPr>
        <w:pStyle w:val="Heading2"/>
      </w:pPr>
      <w:r>
        <w:rPr>
          <w:rFonts w:ascii="Calibri" w:hAnsi="Calibri" w:eastAsia="Calibri"/>
          <w:b w:val="0"/>
        </w:rPr>
        <w:t>7.4 Learning documentation</w:t>
      </w:r>
    </w:p>
    <w:p>
      <w:r>
        <w:rPr>
          <w:rFonts w:ascii="Calibri" w:hAnsi="Calibri" w:eastAsia="Calibri"/>
          <w:b w:val="0"/>
        </w:rPr>
        <w:t>After every test, produce:</w:t>
      </w:r>
    </w:p>
    <w:p>
      <w:pPr>
        <w:numPr>
          <w:ilvl w:val="0"/>
          <w:numId w:val="10"/>
        </w:numPr>
      </w:pPr>
      <w:r>
        <w:rPr>
          <w:rFonts w:ascii="Calibri" w:hAnsi="Calibri" w:eastAsia="Calibri"/>
          <w:b w:val="0"/>
        </w:rPr>
        <w:t>what worked and failed;</w:t>
      </w:r>
    </w:p>
    <w:p>
      <w:pPr>
        <w:numPr>
          <w:ilvl w:val="0"/>
          <w:numId w:val="10"/>
        </w:numPr>
      </w:pPr>
      <w:r>
        <w:rPr>
          <w:rFonts w:ascii="Calibri" w:hAnsi="Calibri" w:eastAsia="Calibri"/>
          <w:b w:val="0"/>
        </w:rPr>
        <w:t>root cause by design/interface/process/contract/skill/data;</w:t>
      </w:r>
    </w:p>
    <w:p>
      <w:pPr>
        <w:numPr>
          <w:ilvl w:val="0"/>
          <w:numId w:val="10"/>
        </w:numPr>
      </w:pPr>
      <w:r>
        <w:rPr>
          <w:rFonts w:ascii="Calibri" w:hAnsi="Calibri" w:eastAsia="Calibri"/>
          <w:b w:val="0"/>
        </w:rPr>
        <w:t>measured performance and confidence;</w:t>
      </w:r>
    </w:p>
    <w:p>
      <w:pPr>
        <w:numPr>
          <w:ilvl w:val="0"/>
          <w:numId w:val="10"/>
        </w:numPr>
      </w:pPr>
      <w:r>
        <w:rPr>
          <w:rFonts w:ascii="Calibri" w:hAnsi="Calibri" w:eastAsia="Calibri"/>
          <w:b w:val="0"/>
        </w:rPr>
        <w:t>design-rule or specification revision;</w:t>
      </w:r>
    </w:p>
    <w:p>
      <w:pPr>
        <w:numPr>
          <w:ilvl w:val="0"/>
          <w:numId w:val="10"/>
        </w:numPr>
      </w:pPr>
      <w:r>
        <w:rPr>
          <w:rFonts w:ascii="Calibri" w:hAnsi="Calibri" w:eastAsia="Calibri"/>
          <w:b w:val="0"/>
        </w:rPr>
        <w:t>consequence for LCA/LCC/valuation;</w:t>
      </w:r>
    </w:p>
    <w:p>
      <w:pPr>
        <w:numPr>
          <w:ilvl w:val="0"/>
          <w:numId w:val="10"/>
        </w:numPr>
      </w:pPr>
      <w:r>
        <w:rPr>
          <w:rFonts w:ascii="Calibri" w:hAnsi="Calibri" w:eastAsia="Calibri"/>
          <w:b w:val="0"/>
        </w:rPr>
        <w:t>conditions for replication; and</w:t>
      </w:r>
    </w:p>
    <w:p>
      <w:pPr>
        <w:numPr>
          <w:ilvl w:val="0"/>
          <w:numId w:val="10"/>
        </w:numPr>
      </w:pPr>
      <w:r>
        <w:rPr>
          <w:rFonts w:ascii="Calibri" w:hAnsi="Calibri" w:eastAsia="Calibri"/>
          <w:b w:val="0"/>
        </w:rPr>
        <w:t>unresolved question and next test.</w:t>
      </w:r>
    </w:p>
    <w:p>
      <w:pPr>
        <w:pStyle w:val="Heading1"/>
        <w:pageBreakBefore/>
      </w:pPr>
      <w:r>
        <w:rPr>
          <w:rFonts w:ascii="Calibri" w:hAnsi="Calibri" w:eastAsia="Calibri"/>
          <w:b w:val="0"/>
        </w:rPr>
        <w:t>8. Financial valuation and investment lab</w:t>
      </w:r>
    </w:p>
    <w:p>
      <w:pPr>
        <w:pStyle w:val="Heading2"/>
      </w:pPr>
      <w:r>
        <w:rPr>
          <w:rFonts w:ascii="Calibri" w:hAnsi="Calibri" w:eastAsia="Calibri"/>
          <w:b w:val="0"/>
        </w:rPr>
        <w:t>8.1 Value-gap mapping</w:t>
      </w:r>
    </w:p>
    <w:p>
      <w:r>
        <w:rPr>
          <w:rFonts w:ascii="Calibri" w:hAnsi="Calibri" w:eastAsia="Calibri"/>
          <w:b w:val="0"/>
        </w:rPr>
        <w:t>For each case trace the decision chain from need to budget, brief, design, procurement, valuation, financing, lease, operation and disposal. At each gate record required evidence, responsible actor, metric, threshold, time horizon and whether future benefits are visible. This reveals where value disappears.</w:t>
      </w:r>
    </w:p>
    <w:p>
      <w:pPr>
        <w:pStyle w:val="Heading2"/>
      </w:pPr>
      <w:r>
        <w:rPr>
          <w:rFonts w:ascii="Calibri" w:hAnsi="Calibri" w:eastAsia="Calibri"/>
          <w:b w:val="0"/>
        </w:rPr>
        <w:t>8.2 Methods portfolio</w:t>
      </w:r>
    </w:p>
    <w:p>
      <w:r>
        <w:rPr>
          <w:rFonts w:ascii="Calibri" w:hAnsi="Calibri" w:eastAsia="Calibri"/>
          <w:b w:val="0"/>
        </w:rPr>
        <w:t>Use a nested portfolio:</w:t>
      </w:r>
    </w:p>
    <w:p>
      <w:pPr>
        <w:numPr>
          <w:ilvl w:val="0"/>
          <w:numId w:val="10"/>
        </w:numPr>
      </w:pPr>
      <w:r>
        <w:rPr>
          <w:rFonts w:ascii="Calibri" w:hAnsi="Calibri" w:eastAsia="Calibri"/>
          <w:b w:val="0"/>
        </w:rPr>
        <w:t>document and process analysis;</w:t>
      </w:r>
    </w:p>
    <w:p>
      <w:pPr>
        <w:numPr>
          <w:ilvl w:val="0"/>
          <w:numId w:val="10"/>
        </w:numPr>
      </w:pPr>
      <w:r>
        <w:rPr>
          <w:rFonts w:ascii="Calibri" w:hAnsi="Calibri" w:eastAsia="Calibri"/>
          <w:b w:val="0"/>
        </w:rPr>
        <w:t>semi-structured interviews with owners, CFO/investment, valuers, lenders, insurers, procurement, design and operations;</w:t>
      </w:r>
    </w:p>
    <w:p>
      <w:pPr>
        <w:numPr>
          <w:ilvl w:val="0"/>
          <w:numId w:val="10"/>
        </w:numPr>
      </w:pPr>
      <w:r>
        <w:rPr>
          <w:rFonts w:ascii="Calibri" w:hAnsi="Calibri" w:eastAsia="Calibri"/>
          <w:b w:val="0"/>
        </w:rPr>
        <w:t>decision-episode observation;</w:t>
      </w:r>
    </w:p>
    <w:p>
      <w:pPr>
        <w:numPr>
          <w:ilvl w:val="0"/>
          <w:numId w:val="10"/>
        </w:numPr>
      </w:pPr>
      <w:r>
        <w:rPr>
          <w:rFonts w:ascii="Calibri" w:hAnsi="Calibri" w:eastAsia="Calibri"/>
          <w:b w:val="0"/>
        </w:rPr>
        <w:t>retrospective comparison of flexible and rigid interventions;</w:t>
      </w:r>
    </w:p>
    <w:p>
      <w:pPr>
        <w:numPr>
          <w:ilvl w:val="0"/>
          <w:numId w:val="10"/>
        </w:numPr>
      </w:pPr>
      <w:r>
        <w:rPr>
          <w:rFonts w:ascii="Calibri" w:hAnsi="Calibri" w:eastAsia="Calibri"/>
          <w:b w:val="0"/>
        </w:rPr>
        <w:t>DCF/LCC and scenario analysis;</w:t>
      </w:r>
    </w:p>
    <w:p>
      <w:pPr>
        <w:numPr>
          <w:ilvl w:val="0"/>
          <w:numId w:val="10"/>
        </w:numPr>
      </w:pPr>
      <w:r>
        <w:rPr>
          <w:rFonts w:ascii="Calibri" w:hAnsi="Calibri" w:eastAsia="Calibri"/>
          <w:b w:val="0"/>
        </w:rPr>
        <w:t>real-options analysis for selected cases;</w:t>
      </w:r>
    </w:p>
    <w:p>
      <w:pPr>
        <w:numPr>
          <w:ilvl w:val="0"/>
          <w:numId w:val="10"/>
        </w:numPr>
      </w:pPr>
      <w:r>
        <w:rPr>
          <w:rFonts w:ascii="Calibri" w:hAnsi="Calibri" w:eastAsia="Calibri"/>
          <w:b w:val="0"/>
        </w:rPr>
        <w:t>MCDA decision conferences;</w:t>
      </w:r>
    </w:p>
    <w:p>
      <w:pPr>
        <w:numPr>
          <w:ilvl w:val="0"/>
          <w:numId w:val="10"/>
        </w:numPr>
      </w:pPr>
      <w:r>
        <w:rPr>
          <w:rFonts w:ascii="Calibri" w:hAnsi="Calibri" w:eastAsia="Calibri"/>
          <w:b w:val="0"/>
        </w:rPr>
        <w:t>choice experiments or conjoint analysis to test stated trade-offs;</w:t>
      </w:r>
    </w:p>
    <w:p>
      <w:pPr>
        <w:numPr>
          <w:ilvl w:val="0"/>
          <w:numId w:val="10"/>
        </w:numPr>
      </w:pPr>
      <w:r>
        <w:rPr>
          <w:rFonts w:ascii="Calibri" w:hAnsi="Calibri" w:eastAsia="Calibri"/>
          <w:b w:val="0"/>
        </w:rPr>
        <w:t>hedonic or transaction analysis only when sample and controls are credible; and</w:t>
      </w:r>
    </w:p>
    <w:p>
      <w:pPr>
        <w:numPr>
          <w:ilvl w:val="0"/>
          <w:numId w:val="10"/>
        </w:numPr>
      </w:pPr>
      <w:r>
        <w:rPr>
          <w:rFonts w:ascii="Calibri" w:hAnsi="Calibri" w:eastAsia="Calibri"/>
          <w:b w:val="0"/>
        </w:rPr>
        <w:t>procurement/contract prototyping.</w:t>
      </w:r>
    </w:p>
    <w:p>
      <w:r>
        <w:rPr>
          <w:rFonts w:ascii="Calibri" w:hAnsi="Calibri" w:eastAsia="Calibri"/>
          <w:b w:val="0"/>
        </w:rPr>
        <w:t>Stated willingness to pay is not market evidence. Treat it as preference evidence and triangulate with bids, approved premiums, leasing outcomes or observed investment decisions.</w:t>
      </w:r>
    </w:p>
    <w:p>
      <w:pPr>
        <w:pStyle w:val="Heading2"/>
      </w:pPr>
      <w:r>
        <w:rPr>
          <w:rFonts w:ascii="Calibri" w:hAnsi="Calibri" w:eastAsia="Calibri"/>
          <w:b w:val="0"/>
        </w:rPr>
        <w:t>8.3 Circular business models to test</w:t>
      </w:r>
    </w:p>
    <w:p>
      <w:pPr>
        <w:numPr>
          <w:ilvl w:val="0"/>
          <w:numId w:val="27"/>
        </w:numPr>
      </w:pPr>
      <w:r>
        <w:rPr>
          <w:rFonts w:ascii="Calibri" w:hAnsi="Calibri" w:eastAsia="Calibri"/>
          <w:b w:val="0"/>
        </w:rPr>
        <w:t>product sale with take-back and documented residual value;</w:t>
      </w:r>
    </w:p>
    <w:p>
      <w:pPr>
        <w:numPr>
          <w:ilvl w:val="0"/>
          <w:numId w:val="27"/>
        </w:numPr>
      </w:pPr>
      <w:r>
        <w:rPr>
          <w:rFonts w:ascii="Calibri" w:hAnsi="Calibri" w:eastAsia="Calibri"/>
          <w:b w:val="0"/>
        </w:rPr>
        <w:t>leasing or product-as-a-service for fit-out/services;</w:t>
      </w:r>
    </w:p>
    <w:p>
      <w:pPr>
        <w:numPr>
          <w:ilvl w:val="0"/>
          <w:numId w:val="27"/>
        </w:numPr>
      </w:pPr>
      <w:r>
        <w:rPr>
          <w:rFonts w:ascii="Calibri" w:hAnsi="Calibri" w:eastAsia="Calibri"/>
          <w:b w:val="0"/>
        </w:rPr>
        <w:t>performance contracting linked to availability, energy or utilization;</w:t>
      </w:r>
    </w:p>
    <w:p>
      <w:pPr>
        <w:numPr>
          <w:ilvl w:val="0"/>
          <w:numId w:val="27"/>
        </w:numPr>
      </w:pPr>
      <w:r>
        <w:rPr>
          <w:rFonts w:ascii="Calibri" w:hAnsi="Calibri" w:eastAsia="Calibri"/>
          <w:b w:val="0"/>
        </w:rPr>
        <w:t>shared-space platforms and operating partnerships;</w:t>
      </w:r>
    </w:p>
    <w:p>
      <w:pPr>
        <w:numPr>
          <w:ilvl w:val="0"/>
          <w:numId w:val="27"/>
        </w:numPr>
      </w:pPr>
      <w:r>
        <w:rPr>
          <w:rFonts w:ascii="Calibri" w:hAnsi="Calibri" w:eastAsia="Calibri"/>
          <w:b w:val="0"/>
        </w:rPr>
        <w:t>refurbishment/remanufacturing and certified secondary components;</w:t>
      </w:r>
    </w:p>
    <w:p>
      <w:pPr>
        <w:numPr>
          <w:ilvl w:val="0"/>
          <w:numId w:val="27"/>
        </w:numPr>
      </w:pPr>
      <w:r>
        <w:rPr>
          <w:rFonts w:ascii="Calibri" w:hAnsi="Calibri" w:eastAsia="Calibri"/>
          <w:b w:val="0"/>
        </w:rPr>
        <w:t>material/component banks with logistics and storage;</w:t>
      </w:r>
    </w:p>
    <w:p>
      <w:pPr>
        <w:numPr>
          <w:ilvl w:val="0"/>
          <w:numId w:val="27"/>
        </w:numPr>
      </w:pPr>
      <w:r>
        <w:rPr>
          <w:rFonts w:ascii="Calibri" w:hAnsi="Calibri" w:eastAsia="Calibri"/>
          <w:b w:val="0"/>
        </w:rPr>
        <w:t>staged investment with pre-agreed option exercise;</w:t>
      </w:r>
    </w:p>
    <w:p>
      <w:pPr>
        <w:numPr>
          <w:ilvl w:val="0"/>
          <w:numId w:val="27"/>
        </w:numPr>
      </w:pPr>
      <w:r>
        <w:rPr>
          <w:rFonts w:ascii="Calibri" w:hAnsi="Calibri" w:eastAsia="Calibri"/>
          <w:b w:val="0"/>
        </w:rPr>
        <w:t>green leases or cost-sharing arrangements; and</w:t>
      </w:r>
    </w:p>
    <w:p>
      <w:pPr>
        <w:numPr>
          <w:ilvl w:val="0"/>
          <w:numId w:val="27"/>
        </w:numPr>
      </w:pPr>
      <w:r>
        <w:rPr>
          <w:rFonts w:ascii="Calibri" w:hAnsi="Calibri" w:eastAsia="Calibri"/>
          <w:b w:val="0"/>
        </w:rPr>
        <w:t>portfolio pooling of flexible capacity.</w:t>
      </w:r>
    </w:p>
    <w:p>
      <w:r>
        <w:rPr>
          <w:rFonts w:ascii="Calibri" w:hAnsi="Calibri" w:eastAsia="Calibri"/>
          <w:b w:val="0"/>
        </w:rPr>
        <w:t>Evaluate value proposition, customer/job, asset ownership, revenue/payment, cost/risk allocation, data, reverse logistics, liability, warranty, procurement compatibility and scale economics.</w:t>
      </w:r>
    </w:p>
    <w:p>
      <w:pPr>
        <w:pStyle w:val="Heading2"/>
      </w:pPr>
      <w:r>
        <w:rPr>
          <w:rFonts w:ascii="Calibri" w:hAnsi="Calibri" w:eastAsia="Calibri"/>
          <w:b w:val="0"/>
        </w:rPr>
        <w:t>8.4 Procurement as an adoption mechanism</w:t>
      </w:r>
    </w:p>
    <w:p>
      <w:r>
        <w:rPr>
          <w:rFonts w:ascii="Calibri" w:hAnsi="Calibri" w:eastAsia="Calibri"/>
          <w:b w:val="0"/>
        </w:rPr>
        <w:t>EU public procurement rules allow best price–quality criteria, life-cycle costing including acquisition, use, maintenance, end-of-life and verifiable environmental externalities, and innovation partnerships where the required solution is not available on the market. MARIEVIK+ should translate CAVF into performance-based briefs and award criteria rather than proprietary solutions.</w:t>
      </w:r>
    </w:p>
    <w:p>
      <w:r>
        <w:rPr>
          <w:rFonts w:ascii="Calibri" w:hAnsi="Calibri" w:eastAsia="Calibri"/>
          <w:b w:val="0"/>
        </w:rPr>
        <w:t>Prototype clauses for:</w:t>
      </w:r>
    </w:p>
    <w:p>
      <w:pPr>
        <w:numPr>
          <w:ilvl w:val="0"/>
          <w:numId w:val="10"/>
        </w:numPr>
      </w:pPr>
      <w:r>
        <w:rPr>
          <w:rFonts w:ascii="Calibri" w:hAnsi="Calibri" w:eastAsia="Calibri"/>
          <w:b w:val="0"/>
        </w:rPr>
        <w:t>target uses and change scenarios;</w:t>
      </w:r>
    </w:p>
    <w:p>
      <w:pPr>
        <w:numPr>
          <w:ilvl w:val="0"/>
          <w:numId w:val="10"/>
        </w:numPr>
      </w:pPr>
      <w:r>
        <w:rPr>
          <w:rFonts w:ascii="Calibri" w:hAnsi="Calibri" w:eastAsia="Calibri"/>
          <w:b w:val="0"/>
        </w:rPr>
        <w:t>transformation time/cost/disruption thresholds;</w:t>
      </w:r>
    </w:p>
    <w:p>
      <w:pPr>
        <w:numPr>
          <w:ilvl w:val="0"/>
          <w:numId w:val="10"/>
        </w:numPr>
      </w:pPr>
      <w:r>
        <w:rPr>
          <w:rFonts w:ascii="Calibri" w:hAnsi="Calibri" w:eastAsia="Calibri"/>
          <w:b w:val="0"/>
        </w:rPr>
        <w:t>open information and handover requirements;</w:t>
      </w:r>
    </w:p>
    <w:p>
      <w:pPr>
        <w:numPr>
          <w:ilvl w:val="0"/>
          <w:numId w:val="10"/>
        </w:numPr>
      </w:pPr>
      <w:r>
        <w:rPr>
          <w:rFonts w:ascii="Calibri" w:hAnsi="Calibri" w:eastAsia="Calibri"/>
          <w:b w:val="0"/>
        </w:rPr>
        <w:t>disassembly/reassembly tests;</w:t>
      </w:r>
    </w:p>
    <w:p>
      <w:pPr>
        <w:numPr>
          <w:ilvl w:val="0"/>
          <w:numId w:val="10"/>
        </w:numPr>
      </w:pPr>
      <w:r>
        <w:rPr>
          <w:rFonts w:ascii="Calibri" w:hAnsi="Calibri" w:eastAsia="Calibri"/>
          <w:b w:val="0"/>
        </w:rPr>
        <w:t>recovery/take-back obligations and evidence;</w:t>
      </w:r>
    </w:p>
    <w:p>
      <w:pPr>
        <w:numPr>
          <w:ilvl w:val="0"/>
          <w:numId w:val="10"/>
        </w:numPr>
      </w:pPr>
      <w:r>
        <w:rPr>
          <w:rFonts w:ascii="Calibri" w:hAnsi="Calibri" w:eastAsia="Calibri"/>
          <w:b w:val="0"/>
        </w:rPr>
        <w:t>verification and post-occupancy reporting;</w:t>
      </w:r>
    </w:p>
    <w:p>
      <w:pPr>
        <w:numPr>
          <w:ilvl w:val="0"/>
          <w:numId w:val="10"/>
        </w:numPr>
      </w:pPr>
      <w:r>
        <w:rPr>
          <w:rFonts w:ascii="Calibri" w:hAnsi="Calibri" w:eastAsia="Calibri"/>
          <w:b w:val="0"/>
        </w:rPr>
        <w:t>change-control and future access rights;</w:t>
      </w:r>
    </w:p>
    <w:p>
      <w:pPr>
        <w:numPr>
          <w:ilvl w:val="0"/>
          <w:numId w:val="10"/>
        </w:numPr>
      </w:pPr>
      <w:r>
        <w:rPr>
          <w:rFonts w:ascii="Calibri" w:hAnsi="Calibri" w:eastAsia="Calibri"/>
          <w:b w:val="0"/>
        </w:rPr>
        <w:t>risk-sharing and performance payments; and</w:t>
      </w:r>
    </w:p>
    <w:p>
      <w:pPr>
        <w:numPr>
          <w:ilvl w:val="0"/>
          <w:numId w:val="10"/>
        </w:numPr>
      </w:pPr>
      <w:r>
        <w:rPr>
          <w:rFonts w:ascii="Calibri" w:hAnsi="Calibri" w:eastAsia="Calibri"/>
          <w:b w:val="0"/>
        </w:rPr>
        <w:t>ownership of IP, components and data.</w:t>
      </w:r>
    </w:p>
    <w:p>
      <w:pPr>
        <w:pStyle w:val="Heading2"/>
      </w:pPr>
      <w:r>
        <w:rPr>
          <w:rFonts w:ascii="Calibri" w:hAnsi="Calibri" w:eastAsia="Calibri"/>
          <w:b w:val="0"/>
        </w:rPr>
        <w:t>8.5 Bankability and professional acceptance</w:t>
      </w:r>
    </w:p>
    <w:p>
      <w:r>
        <w:rPr>
          <w:rFonts w:ascii="Calibri" w:hAnsi="Calibri" w:eastAsia="Calibri"/>
          <w:b w:val="0"/>
        </w:rPr>
        <w:t>Interview valuers and finance actors before model completion. Ask what evidence would alter rent, vacancy, capex, remaining life, terminal value, yield, covenant or credit judgment. Create an audit trail compatible with RICS/IVS practice: material factor, source, market evidence, valuation input, sensitivity and disclosure. The aim is not to replace the valuer but to provide evidence the valuer can use.</w:t>
      </w:r>
    </w:p>
    <w:p>
      <w:pPr>
        <w:pStyle w:val="Heading1"/>
        <w:pageBreakBefore/>
      </w:pPr>
      <w:r>
        <w:rPr>
          <w:rFonts w:ascii="Calibri" w:hAnsi="Calibri" w:eastAsia="Calibri"/>
          <w:b w:val="0"/>
        </w:rPr>
        <w:t>9. Cross-case research design</w:t>
      </w:r>
    </w:p>
    <w:p>
      <w:pPr>
        <w:pStyle w:val="Heading2"/>
      </w:pPr>
      <w:r>
        <w:rPr>
          <w:rFonts w:ascii="Calibri" w:hAnsi="Calibri" w:eastAsia="Calibri"/>
          <w:b w:val="0"/>
        </w:rPr>
        <w:t>9.1 Embedded multiple-case logic</w:t>
      </w:r>
    </w:p>
    <w:p>
      <w:r>
        <w:rPr>
          <w:rFonts w:ascii="Calibri" w:hAnsi="Calibri" w:eastAsia="Calibri"/>
          <w:b w:val="0"/>
        </w:rPr>
        <w:t>Treat each property/decision as a case and each digital, physical, financial and organizational workstream as an embedded unit. Use theoretical replication: cases are selected because mechanisms should operate differently, not because they are statistically representative.</w:t>
      </w:r>
    </w:p>
    <w:p>
      <w:pPr>
        <w:pStyle w:val="Heading3"/>
      </w:pPr>
      <w:r>
        <w:rPr>
          <w:rFonts w:ascii="Calibri" w:hAnsi="Calibri" w:eastAsia="Calibri"/>
          <w:b w:val="0"/>
        </w:rPr>
        <w:t>Case propositions</w:t>
      </w:r>
    </w:p>
    <w:p>
      <w:pPr>
        <w:numPr>
          <w:ilvl w:val="0"/>
          <w:numId w:val="10"/>
        </w:numPr>
      </w:pPr>
      <w:r>
        <w:rPr>
          <w:rFonts w:ascii="Calibri" w:hAnsi="Calibri" w:eastAsia="Calibri"/>
          <w:b/>
        </w:rPr>
        <w:t>Marievik/AMF:</w:t>
      </w:r>
      <w:r>
        <w:rPr>
          <w:rFonts w:ascii="Calibri" w:hAnsi="Calibri" w:eastAsia="Calibri"/>
          <w:b w:val="0"/>
        </w:rPr>
        <w:t xml:space="preserve"> options to convert office to housing/long-stay and future reuse become valuable under demand and regulatory uncertainty when structure, daylight, access, services and planning permit conversion.</w:t>
      </w:r>
    </w:p>
    <w:p>
      <w:pPr>
        <w:numPr>
          <w:ilvl w:val="0"/>
          <w:numId w:val="10"/>
        </w:numPr>
      </w:pPr>
      <w:r>
        <w:rPr>
          <w:rFonts w:ascii="Calibri" w:hAnsi="Calibri" w:eastAsia="Calibri"/>
          <w:b/>
        </w:rPr>
        <w:t>Uppsala school property:</w:t>
      </w:r>
      <w:r>
        <w:rPr>
          <w:rFonts w:ascii="Calibri" w:hAnsi="Calibri" w:eastAsia="Calibri"/>
          <w:b w:val="0"/>
        </w:rPr>
        <w:t xml:space="preserve"> life-cycle and flexibility evidence changes choices only if capital and operating budgets and municipal climate commitments are reconciled.</w:t>
      </w:r>
    </w:p>
    <w:p>
      <w:pPr>
        <w:numPr>
          <w:ilvl w:val="0"/>
          <w:numId w:val="10"/>
        </w:numPr>
      </w:pPr>
      <w:r>
        <w:rPr>
          <w:rFonts w:ascii="Calibri" w:hAnsi="Calibri" w:eastAsia="Calibri"/>
          <w:b/>
        </w:rPr>
        <w:t>Stena Malmö:</w:t>
      </w:r>
      <w:r>
        <w:rPr>
          <w:rFonts w:ascii="Calibri" w:hAnsi="Calibri" w:eastAsia="Calibri"/>
          <w:b w:val="0"/>
        </w:rPr>
        <w:t xml:space="preserve"> portfolio transition decisions improve when energy/condition, transformation feasibility and stranding risk are analyzed together.</w:t>
      </w:r>
    </w:p>
    <w:p>
      <w:pPr>
        <w:numPr>
          <w:ilvl w:val="0"/>
          <w:numId w:val="10"/>
        </w:numPr>
      </w:pPr>
      <w:r>
        <w:rPr>
          <w:rFonts w:ascii="Calibri" w:hAnsi="Calibri" w:eastAsia="Calibri"/>
          <w:b/>
        </w:rPr>
        <w:t>MKB Malmö:</w:t>
      </w:r>
      <w:r>
        <w:rPr>
          <w:rFonts w:ascii="Calibri" w:hAnsi="Calibri" w:eastAsia="Calibri"/>
          <w:b w:val="0"/>
        </w:rPr>
        <w:t xml:space="preserve"> shared cultural/community use creates value when operating responsibilities, affordability, security and local social outcomes are designed alongside space.</w:t>
      </w:r>
    </w:p>
    <w:p>
      <w:pPr>
        <w:numPr>
          <w:ilvl w:val="0"/>
          <w:numId w:val="10"/>
        </w:numPr>
      </w:pPr>
      <w:r>
        <w:rPr>
          <w:rFonts w:ascii="Calibri" w:hAnsi="Calibri" w:eastAsia="Calibri"/>
          <w:b/>
        </w:rPr>
        <w:t>Gothenburg public properties:</w:t>
      </w:r>
      <w:r>
        <w:rPr>
          <w:rFonts w:ascii="Calibri" w:hAnsi="Calibri" w:eastAsia="Calibri"/>
          <w:b w:val="0"/>
        </w:rPr>
        <w:t xml:space="preserve"> reprogramming from declining school demand to rising care demand depends on demographic timing, care requirements and portfolio-level capacity.</w:t>
      </w:r>
    </w:p>
    <w:p>
      <w:pPr>
        <w:numPr>
          <w:ilvl w:val="0"/>
          <w:numId w:val="10"/>
        </w:numPr>
      </w:pPr>
      <w:r>
        <w:rPr>
          <w:rFonts w:ascii="Calibri" w:hAnsi="Calibri" w:eastAsia="Calibri"/>
          <w:b/>
        </w:rPr>
        <w:t>SUA school case:</w:t>
      </w:r>
      <w:r>
        <w:rPr>
          <w:rFonts w:ascii="Calibri" w:hAnsi="Calibri" w:eastAsia="Calibri"/>
          <w:b w:val="0"/>
        </w:rPr>
        <w:t xml:space="preserve"> spatial, functional and operational flexibility can support hybrid learning and shared use if teaching practice, booking, acoustics, technology, staffing and governance co-evolve.</w:t>
      </w:r>
    </w:p>
    <w:p>
      <w:pPr>
        <w:pStyle w:val="Heading2"/>
      </w:pPr>
      <w:r>
        <w:rPr>
          <w:rFonts w:ascii="Calibri" w:hAnsi="Calibri" w:eastAsia="Calibri"/>
          <w:b w:val="0"/>
        </w:rPr>
        <w:t>9.2 Common case protocol</w:t>
      </w:r>
    </w:p>
    <w:p>
      <w:r>
        <w:rPr>
          <w:rFonts w:ascii="Calibri" w:hAnsi="Calibri" w:eastAsia="Calibri"/>
          <w:b w:val="0"/>
        </w:rPr>
        <w:t>Every case file should contain:</w:t>
      </w:r>
    </w:p>
    <w:p>
      <w:pPr>
        <w:numPr>
          <w:ilvl w:val="0"/>
          <w:numId w:val="28"/>
        </w:numPr>
      </w:pPr>
      <w:r>
        <w:rPr>
          <w:rFonts w:ascii="Calibri" w:hAnsi="Calibri" w:eastAsia="Calibri"/>
          <w:b w:val="0"/>
        </w:rPr>
        <w:t>case boundary and context;</w:t>
      </w:r>
    </w:p>
    <w:p>
      <w:pPr>
        <w:numPr>
          <w:ilvl w:val="0"/>
          <w:numId w:val="28"/>
        </w:numPr>
      </w:pPr>
      <w:r>
        <w:rPr>
          <w:rFonts w:ascii="Calibri" w:hAnsi="Calibri" w:eastAsia="Calibri"/>
          <w:b w:val="0"/>
        </w:rPr>
        <w:t>decision episode and alternatives;</w:t>
      </w:r>
    </w:p>
    <w:p>
      <w:pPr>
        <w:numPr>
          <w:ilvl w:val="0"/>
          <w:numId w:val="28"/>
        </w:numPr>
      </w:pPr>
      <w:r>
        <w:rPr>
          <w:rFonts w:ascii="Calibri" w:hAnsi="Calibri" w:eastAsia="Calibri"/>
          <w:b w:val="0"/>
        </w:rPr>
        <w:t>stakeholder/power/value-distribution map;</w:t>
      </w:r>
    </w:p>
    <w:p>
      <w:pPr>
        <w:numPr>
          <w:ilvl w:val="0"/>
          <w:numId w:val="28"/>
        </w:numPr>
      </w:pPr>
      <w:r>
        <w:rPr>
          <w:rFonts w:ascii="Calibri" w:hAnsi="Calibri" w:eastAsia="Calibri"/>
          <w:b w:val="0"/>
        </w:rPr>
        <w:t>baseline asset and service performance;</w:t>
      </w:r>
    </w:p>
    <w:p>
      <w:pPr>
        <w:numPr>
          <w:ilvl w:val="0"/>
          <w:numId w:val="28"/>
        </w:numPr>
      </w:pPr>
      <w:r>
        <w:rPr>
          <w:rFonts w:ascii="Calibri" w:hAnsi="Calibri" w:eastAsia="Calibri"/>
          <w:b w:val="0"/>
        </w:rPr>
        <w:t>obsolescence and change-driver map;</w:t>
      </w:r>
    </w:p>
    <w:p>
      <w:pPr>
        <w:numPr>
          <w:ilvl w:val="0"/>
          <w:numId w:val="28"/>
        </w:numPr>
      </w:pPr>
      <w:r>
        <w:rPr>
          <w:rFonts w:ascii="Calibri" w:hAnsi="Calibri" w:eastAsia="Calibri"/>
          <w:b w:val="0"/>
        </w:rPr>
        <w:t>flexibility profile;</w:t>
      </w:r>
    </w:p>
    <w:p>
      <w:pPr>
        <w:numPr>
          <w:ilvl w:val="0"/>
          <w:numId w:val="28"/>
        </w:numPr>
      </w:pPr>
      <w:r>
        <w:rPr>
          <w:rFonts w:ascii="Calibri" w:hAnsi="Calibri" w:eastAsia="Calibri"/>
          <w:b w:val="0"/>
        </w:rPr>
        <w:t>scenarios and counterfactuals;</w:t>
      </w:r>
    </w:p>
    <w:p>
      <w:pPr>
        <w:numPr>
          <w:ilvl w:val="0"/>
          <w:numId w:val="28"/>
        </w:numPr>
      </w:pPr>
      <w:r>
        <w:rPr>
          <w:rFonts w:ascii="Calibri" w:hAnsi="Calibri" w:eastAsia="Calibri"/>
          <w:b w:val="0"/>
        </w:rPr>
        <w:t>LCA/LCC/valuation/social results;</w:t>
      </w:r>
    </w:p>
    <w:p>
      <w:pPr>
        <w:numPr>
          <w:ilvl w:val="0"/>
          <w:numId w:val="28"/>
        </w:numPr>
      </w:pPr>
      <w:r>
        <w:rPr>
          <w:rFonts w:ascii="Calibri" w:hAnsi="Calibri" w:eastAsia="Calibri"/>
          <w:b w:val="0"/>
        </w:rPr>
        <w:t>digital and physical evidence;</w:t>
      </w:r>
    </w:p>
    <w:p>
      <w:pPr>
        <w:numPr>
          <w:ilvl w:val="0"/>
          <w:numId w:val="28"/>
        </w:numPr>
      </w:pPr>
      <w:r>
        <w:rPr>
          <w:rFonts w:ascii="Calibri" w:hAnsi="Calibri" w:eastAsia="Calibri"/>
          <w:b w:val="0"/>
        </w:rPr>
        <w:t>decision record;</w:t>
      </w:r>
    </w:p>
    <w:p>
      <w:pPr>
        <w:numPr>
          <w:ilvl w:val="0"/>
          <w:numId w:val="28"/>
        </w:numPr>
      </w:pPr>
      <w:r>
        <w:rPr>
          <w:rFonts w:ascii="Calibri" w:hAnsi="Calibri" w:eastAsia="Calibri"/>
          <w:b w:val="0"/>
        </w:rPr>
        <w:t>implementation result and deviations; and</w:t>
      </w:r>
    </w:p>
    <w:p>
      <w:pPr>
        <w:numPr>
          <w:ilvl w:val="0"/>
          <w:numId w:val="28"/>
        </w:numPr>
      </w:pPr>
      <w:r>
        <w:rPr>
          <w:rFonts w:ascii="Calibri" w:hAnsi="Calibri" w:eastAsia="Calibri"/>
          <w:b w:val="0"/>
        </w:rPr>
        <w:t>transfer conditions.</w:t>
      </w:r>
    </w:p>
    <w:p>
      <w:pPr>
        <w:pStyle w:val="Heading2"/>
      </w:pPr>
      <w:r>
        <w:rPr>
          <w:rFonts w:ascii="Calibri" w:hAnsi="Calibri" w:eastAsia="Calibri"/>
          <w:b w:val="0"/>
        </w:rPr>
        <w:t>9.3 Causal inference and evaluation</w:t>
      </w:r>
    </w:p>
    <w:p>
      <w:r>
        <w:rPr>
          <w:rFonts w:ascii="Calibri" w:hAnsi="Calibri" w:eastAsia="Calibri"/>
          <w:b w:val="0"/>
        </w:rPr>
        <w:t>Randomized designs are rarely feasible. Strengthen inference through:</w:t>
      </w:r>
    </w:p>
    <w:p>
      <w:pPr>
        <w:numPr>
          <w:ilvl w:val="0"/>
          <w:numId w:val="10"/>
        </w:numPr>
      </w:pPr>
      <w:r>
        <w:rPr>
          <w:rFonts w:ascii="Calibri" w:hAnsi="Calibri" w:eastAsia="Calibri"/>
          <w:b w:val="0"/>
        </w:rPr>
        <w:t>before/after measurement with comparable seasons;</w:t>
      </w:r>
    </w:p>
    <w:p>
      <w:pPr>
        <w:numPr>
          <w:ilvl w:val="0"/>
          <w:numId w:val="10"/>
        </w:numPr>
      </w:pPr>
      <w:r>
        <w:rPr>
          <w:rFonts w:ascii="Calibri" w:hAnsi="Calibri" w:eastAsia="Calibri"/>
          <w:b w:val="0"/>
        </w:rPr>
        <w:t>matched zones or conventional alternatives;</w:t>
      </w:r>
    </w:p>
    <w:p>
      <w:pPr>
        <w:numPr>
          <w:ilvl w:val="0"/>
          <w:numId w:val="10"/>
        </w:numPr>
      </w:pPr>
      <w:r>
        <w:rPr>
          <w:rFonts w:ascii="Calibri" w:hAnsi="Calibri" w:eastAsia="Calibri"/>
          <w:b w:val="0"/>
        </w:rPr>
        <w:t>difference-in-differences where repeated data and a credible comparator exist;</w:t>
      </w:r>
    </w:p>
    <w:p>
      <w:pPr>
        <w:numPr>
          <w:ilvl w:val="0"/>
          <w:numId w:val="10"/>
        </w:numPr>
      </w:pPr>
      <w:r>
        <w:rPr>
          <w:rFonts w:ascii="Calibri" w:hAnsi="Calibri" w:eastAsia="Calibri"/>
          <w:b w:val="0"/>
        </w:rPr>
        <w:t>contribution analysis linking activities to observed decisions;</w:t>
      </w:r>
    </w:p>
    <w:p>
      <w:pPr>
        <w:numPr>
          <w:ilvl w:val="0"/>
          <w:numId w:val="10"/>
        </w:numPr>
      </w:pPr>
      <w:r>
        <w:rPr>
          <w:rFonts w:ascii="Calibri" w:hAnsi="Calibri" w:eastAsia="Calibri"/>
          <w:b w:val="0"/>
        </w:rPr>
        <w:t>realist evaluation using context–mechanism–outcome configurations;</w:t>
      </w:r>
    </w:p>
    <w:p>
      <w:pPr>
        <w:numPr>
          <w:ilvl w:val="0"/>
          <w:numId w:val="10"/>
        </w:numPr>
      </w:pPr>
      <w:r>
        <w:rPr>
          <w:rFonts w:ascii="Calibri" w:hAnsi="Calibri" w:eastAsia="Calibri"/>
          <w:b w:val="0"/>
        </w:rPr>
        <w:t>pattern matching against pre-specified propositions; and</w:t>
      </w:r>
    </w:p>
    <w:p>
      <w:pPr>
        <w:numPr>
          <w:ilvl w:val="0"/>
          <w:numId w:val="10"/>
        </w:numPr>
      </w:pPr>
      <w:r>
        <w:rPr>
          <w:rFonts w:ascii="Calibri" w:hAnsi="Calibri" w:eastAsia="Calibri"/>
          <w:b w:val="0"/>
        </w:rPr>
        <w:t>rival explanations, negative cases and process tracing.</w:t>
      </w:r>
    </w:p>
    <w:p>
      <w:r>
        <w:rPr>
          <w:rFonts w:ascii="Calibri" w:hAnsi="Calibri" w:eastAsia="Calibri"/>
          <w:b w:val="0"/>
        </w:rPr>
        <w:t>The unit of causal claim should be modest: for example, “the CAVF evidence changed the approved conversion scope” rather than “the lab caused sector transition.”</w:t>
      </w:r>
    </w:p>
    <w:p>
      <w:pPr>
        <w:pStyle w:val="Heading2"/>
      </w:pPr>
      <w:r>
        <w:rPr>
          <w:rFonts w:ascii="Calibri" w:hAnsi="Calibri" w:eastAsia="Calibri"/>
          <w:b w:val="0"/>
        </w:rPr>
        <w:t>9.4 Comparative synthesis</w:t>
      </w:r>
    </w:p>
    <w:p>
      <w:r>
        <w:rPr>
          <w:rFonts w:ascii="Calibri" w:hAnsi="Calibri" w:eastAsia="Calibri"/>
          <w:b w:val="0"/>
        </w:rPr>
        <w:t>Use a case-by-mechanism matrix. Potential mechanisms include reduced conversion cost, avoided new construction, faster response, lower vacancy, better budget alignment, improved user agency, trusted data, procurement permission, supplier ecosystem and professional valuation acceptance. Compare which contexts activate each mechanism.</w:t>
      </w:r>
    </w:p>
    <w:p>
      <w:r>
        <w:rPr>
          <w:rFonts w:ascii="Calibri" w:hAnsi="Calibri" w:eastAsia="Calibri"/>
          <w:b w:val="0"/>
        </w:rPr>
        <w:t>Qualitative Comparative Analysis may be useful if the project accumulates enough distinct decision episodes, but with few cases it should remain exploratory. Cross-case pattern matching and configurational narrative will be more defensible.</w:t>
      </w:r>
    </w:p>
    <w:p>
      <w:pPr>
        <w:pStyle w:val="Heading1"/>
        <w:pageBreakBefore/>
      </w:pPr>
      <w:r>
        <w:rPr>
          <w:rFonts w:ascii="Calibri" w:hAnsi="Calibri" w:eastAsia="Calibri"/>
          <w:b w:val="0"/>
        </w:rPr>
        <w:t>10. Measurement framework and KPI dictionary</w:t>
      </w:r>
    </w:p>
    <w:p>
      <w:pPr>
        <w:pStyle w:val="Heading2"/>
      </w:pPr>
      <w:r>
        <w:rPr>
          <w:rFonts w:ascii="Calibri" w:hAnsi="Calibri" w:eastAsia="Calibri"/>
          <w:b w:val="0"/>
        </w:rPr>
        <w:t>10.1 KPI architecture</w:t>
      </w:r>
    </w:p>
    <w:p>
      <w:r>
        <w:rPr>
          <w:rFonts w:ascii="Calibri" w:hAnsi="Calibri" w:eastAsia="Calibri"/>
          <w:b w:val="0"/>
        </w:rPr>
        <w:t>Separate four levels:</w:t>
      </w:r>
    </w:p>
    <w:p>
      <w:pPr>
        <w:numPr>
          <w:ilvl w:val="0"/>
          <w:numId w:val="10"/>
        </w:numPr>
      </w:pPr>
      <w:r>
        <w:rPr>
          <w:rFonts w:ascii="Calibri" w:hAnsi="Calibri" w:eastAsia="Calibri"/>
          <w:b/>
        </w:rPr>
        <w:t>inputs/capacity:</w:t>
      </w:r>
      <w:r>
        <w:rPr>
          <w:rFonts w:ascii="Calibri" w:hAnsi="Calibri" w:eastAsia="Calibri"/>
          <w:b w:val="0"/>
        </w:rPr>
        <w:t xml:space="preserve"> data completeness, skills, flexible design features;</w:t>
      </w:r>
    </w:p>
    <w:p>
      <w:pPr>
        <w:numPr>
          <w:ilvl w:val="0"/>
          <w:numId w:val="10"/>
        </w:numPr>
      </w:pPr>
      <w:r>
        <w:rPr>
          <w:rFonts w:ascii="Calibri" w:hAnsi="Calibri" w:eastAsia="Calibri"/>
          <w:b/>
        </w:rPr>
        <w:t>outputs:</w:t>
      </w:r>
      <w:r>
        <w:rPr>
          <w:rFonts w:ascii="Calibri" w:hAnsi="Calibri" w:eastAsia="Calibri"/>
          <w:b w:val="0"/>
        </w:rPr>
        <w:t xml:space="preserve"> prototypes, models, clauses, assessments and decision briefs;</w:t>
      </w:r>
    </w:p>
    <w:p>
      <w:pPr>
        <w:numPr>
          <w:ilvl w:val="0"/>
          <w:numId w:val="10"/>
        </w:numPr>
      </w:pPr>
      <w:r>
        <w:rPr>
          <w:rFonts w:ascii="Calibri" w:hAnsi="Calibri" w:eastAsia="Calibri"/>
          <w:b/>
        </w:rPr>
        <w:t>outcomes:</w:t>
      </w:r>
      <w:r>
        <w:rPr>
          <w:rFonts w:ascii="Calibri" w:hAnsi="Calibri" w:eastAsia="Calibri"/>
          <w:b w:val="0"/>
        </w:rPr>
        <w:t xml:space="preserve"> changed decisions, exercised options, reduced time/cost/disruption, increased use;</w:t>
      </w:r>
    </w:p>
    <w:p>
      <w:pPr>
        <w:numPr>
          <w:ilvl w:val="0"/>
          <w:numId w:val="10"/>
        </w:numPr>
      </w:pPr>
      <w:r>
        <w:rPr>
          <w:rFonts w:ascii="Calibri" w:hAnsi="Calibri" w:eastAsia="Calibri"/>
          <w:b/>
        </w:rPr>
        <w:t>impacts:</w:t>
      </w:r>
      <w:r>
        <w:rPr>
          <w:rFonts w:ascii="Calibri" w:hAnsi="Calibri" w:eastAsia="Calibri"/>
          <w:b w:val="0"/>
        </w:rPr>
        <w:t xml:space="preserve"> avoided lifecycle emissions/resources, longer effective life, lower stranding and improved service/social value.</w:t>
      </w:r>
    </w:p>
    <w:p>
      <w:pPr>
        <w:pStyle w:val="Heading2"/>
      </w:pPr>
      <w:r>
        <w:rPr>
          <w:rFonts w:ascii="Calibri" w:hAnsi="Calibri" w:eastAsia="Calibri"/>
          <w:b w:val="0"/>
        </w:rPr>
        <w:t>10.2 Core indicators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800"/>
        <w:gridCol w:w="2700"/>
        <w:gridCol w:w="2400"/>
        <w:gridCol w:w="2460"/>
      </w:tblGrid>
      <w:tr>
        <w:trPr>
          <w:tblHeader w:val="true"/>
        </w:trPr>
        <w:tc>
          <w:tcPr>
            <w:tcW w:type="dxa" w:w="18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Domain</w:t>
            </w:r>
          </w:p>
        </w:tc>
        <w:tc>
          <w:tcPr>
            <w:tcW w:type="dxa" w:w="27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Indicator</w:t>
            </w:r>
          </w:p>
        </w:tc>
        <w:tc>
          <w:tcPr>
            <w:tcW w:type="dxa" w:w="24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Unit / definition</w:t>
            </w:r>
          </w:p>
        </w:tc>
        <w:tc>
          <w:tcPr>
            <w:tcW w:type="dxa" w:w="246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6"/>
              </w:rPr>
              <w:t>Evidence point</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Service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Delivered service</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service-unit-years or specified service metric</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baseline/scenario/actual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Use</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Utilization</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occupied or booked area-hours / available area-hours</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before/after</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Use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Use diversity</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number/range of verified user groups and activities</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before/after</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Feasibility</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Feasible alternative uses</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count and identity after regulatory/technical checks</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design/as-built</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Change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Transformation time</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calendar and labour hours from service stop to restart</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simulated/tested/actual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Change</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Transformation cost</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SEK/m² and total, including decant/downtime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scenario/actual</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Change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Disruption</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lost service hours, displaced users or revenue</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scenario/actual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Physical</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Adaptability profile</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0–4 by dimension plus evidence grade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concept/as-built/in-use</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Circularity</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Recoverable component mass</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kg and % by reuse/remanufacture/recycle route</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test/scenario/actual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Circularity</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Value retention</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residual value / replacement value, by component</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scenario/transaction</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Carbon</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Upfront GWP</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kg CO2e/m², A1–A5</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design/as-built</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Carbon</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Whole-life GWP</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kg CO2e/m² over common period, modules visible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scenario/as-built</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Carbon</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Avoided GWP</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difference against service-equivalent counterfactual</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scenario/actual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Carbon</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Carbon payback</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years until cumulative flexible option beats baseline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scenario</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Cost</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Life-cycle cost</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discounted SEK and SEK/service unit</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scenario/actual</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Finance</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Incremental NPV</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SEK against baseline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decision date</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Finance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Break-even premium</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maximum additional initial investment</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decision date</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Finance</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Option value</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incremental expected value of managerial choice</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selected cases</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Risk</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Downside loss</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NPV/valuation under adverse scenario</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scenario</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Risk</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CRREM misalignment year</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first year intensity exceeds applicable pathway</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portfolio cases</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Energy</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Energy use intensity</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kWh/m²/year by carrier and use</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measured/modelled</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Energy flexibility</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Shiftable load</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kW/kWh, duration, rebound and comfort constraint</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test/model</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Climate</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Hazard-adaptation performance</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risk rating and service continuity by hazard</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stress test</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Social</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Access and affordability</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users/hours/cost burden, disaggregated</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before/after</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Social</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POE performance</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comfort, control, satisfaction, inclusion</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before/after</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Decision</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Decision influence</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no change / information / scope / timing / alternative / approval</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decision record</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Adoption</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Institutionalization</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brief, procurement, valuation or management routine changed</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organizational evidence</w:t>
            </w:r>
          </w:p>
        </w:tc>
      </w:tr>
      <w:tr>
        <w:tc>
          <w:tcPr>
            <w:tcW w:type="dxa" w:w="18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Scale</w:t>
            </w:r>
          </w:p>
        </w:tc>
        <w:tc>
          <w:tcPr>
            <w:tcW w:type="dxa" w:w="27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Replication</w:t>
            </w:r>
          </w:p>
        </w:tc>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number and diversity of verified external applications</w:t>
            </w:r>
          </w:p>
        </w:tc>
        <w:tc>
          <w:tcPr>
            <w:tcW w:type="dxa" w:w="24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6"/>
              </w:rPr>
              <w:t>project outcome</w:t>
            </w:r>
          </w:p>
        </w:tc>
      </w:tr>
      <w:tr>
        <w:tc>
          <w:tcPr>
            <w:tcW w:type="dxa" w:w="18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Data</w:t>
            </w:r>
          </w:p>
        </w:tc>
        <w:tc>
          <w:tcPr>
            <w:tcW w:type="dxa" w:w="27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Decision-critical data quality</w:t>
            </w:r>
          </w:p>
        </w:tc>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 A/B-grade inputs and unresolved high-impact gaps</w:t>
            </w:r>
          </w:p>
        </w:tc>
        <w:tc>
          <w:tcPr>
            <w:tcW w:type="dxa" w:w="24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6"/>
              </w:rPr>
              <w:t>each gate</w:t>
            </w:r>
          </w:p>
        </w:tc>
      </w:tr>
    </w:tbl>
    <w:p>
      <w:pPr>
        <w:spacing w:after="40"/>
      </w:pPr>
    </w:p>
    <w:p>
      <w:pPr>
        <w:pStyle w:val="Heading2"/>
      </w:pPr>
      <w:r>
        <w:rPr>
          <w:rFonts w:ascii="Calibri" w:hAnsi="Calibri" w:eastAsia="Calibri"/>
          <w:b w:val="0"/>
        </w:rPr>
        <w:t>10.3 Avoided-impact guardrails</w:t>
      </w:r>
    </w:p>
    <w:p>
      <w:r>
        <w:rPr>
          <w:rFonts w:ascii="Calibri" w:hAnsi="Calibri" w:eastAsia="Calibri"/>
          <w:b w:val="0"/>
        </w:rPr>
        <w:t>An avoided impact is reportable only when:</w:t>
      </w:r>
    </w:p>
    <w:p>
      <w:pPr>
        <w:numPr>
          <w:ilvl w:val="0"/>
          <w:numId w:val="29"/>
        </w:numPr>
      </w:pPr>
      <w:r>
        <w:rPr>
          <w:rFonts w:ascii="Calibri" w:hAnsi="Calibri" w:eastAsia="Calibri"/>
          <w:b w:val="0"/>
        </w:rPr>
        <w:t>the service-equivalent counterfactual is credible;</w:t>
      </w:r>
    </w:p>
    <w:p>
      <w:pPr>
        <w:numPr>
          <w:ilvl w:val="0"/>
          <w:numId w:val="29"/>
        </w:numPr>
      </w:pPr>
      <w:r>
        <w:rPr>
          <w:rFonts w:ascii="Calibri" w:hAnsi="Calibri" w:eastAsia="Calibri"/>
          <w:b w:val="0"/>
        </w:rPr>
        <w:t>attribution to the option is documented;</w:t>
      </w:r>
    </w:p>
    <w:p>
      <w:pPr>
        <w:numPr>
          <w:ilvl w:val="0"/>
          <w:numId w:val="29"/>
        </w:numPr>
      </w:pPr>
      <w:r>
        <w:rPr>
          <w:rFonts w:ascii="Calibri" w:hAnsi="Calibri" w:eastAsia="Calibri"/>
          <w:b w:val="0"/>
        </w:rPr>
        <w:t>timing is explicit;</w:t>
      </w:r>
    </w:p>
    <w:p>
      <w:pPr>
        <w:numPr>
          <w:ilvl w:val="0"/>
          <w:numId w:val="29"/>
        </w:numPr>
      </w:pPr>
      <w:r>
        <w:rPr>
          <w:rFonts w:ascii="Calibri" w:hAnsi="Calibri" w:eastAsia="Calibri"/>
          <w:b w:val="0"/>
        </w:rPr>
        <w:t>substitution and market constraints are stated;</w:t>
      </w:r>
    </w:p>
    <w:p>
      <w:pPr>
        <w:numPr>
          <w:ilvl w:val="0"/>
          <w:numId w:val="29"/>
        </w:numPr>
      </w:pPr>
      <w:r>
        <w:rPr>
          <w:rFonts w:ascii="Calibri" w:hAnsi="Calibri" w:eastAsia="Calibri"/>
          <w:b w:val="0"/>
        </w:rPr>
        <w:t>no other actor simultaneously claims the same benefit without allocation; and</w:t>
      </w:r>
    </w:p>
    <w:p>
      <w:pPr>
        <w:numPr>
          <w:ilvl w:val="0"/>
          <w:numId w:val="29"/>
        </w:numPr>
      </w:pPr>
      <w:r>
        <w:rPr>
          <w:rFonts w:ascii="Calibri" w:hAnsi="Calibri" w:eastAsia="Calibri"/>
          <w:b w:val="0"/>
        </w:rPr>
        <w:t>module D and avoided new construction are not merged.</w:t>
      </w:r>
    </w:p>
    <w:p>
      <w:pPr>
        <w:pStyle w:val="Heading1"/>
        <w:pageBreakBefore/>
      </w:pPr>
      <w:r>
        <w:rPr>
          <w:rFonts w:ascii="Calibri" w:hAnsi="Calibri" w:eastAsia="Calibri"/>
          <w:b w:val="0"/>
        </w:rPr>
        <w:t>11. MARIEVIK+ implementation protocol, July 2026–June 2029</w:t>
      </w:r>
    </w:p>
    <w:p>
      <w:pPr>
        <w:pStyle w:val="Heading2"/>
      </w:pPr>
      <w:r>
        <w:rPr>
          <w:rFonts w:ascii="Calibri" w:hAnsi="Calibri" w:eastAsia="Calibri"/>
          <w:b w:val="0"/>
        </w:rPr>
        <w:t>Phase 0 — Mobilize and govern (months 1–3)</w:t>
      </w:r>
    </w:p>
    <w:p>
      <w:pPr>
        <w:numPr>
          <w:ilvl w:val="0"/>
          <w:numId w:val="10"/>
        </w:numPr>
      </w:pPr>
      <w:r>
        <w:rPr>
          <w:rFonts w:ascii="Calibri" w:hAnsi="Calibri" w:eastAsia="Calibri"/>
          <w:b w:val="0"/>
        </w:rPr>
        <w:t>appoint CAVF product owner, methods leads and case owners;</w:t>
      </w:r>
    </w:p>
    <w:p>
      <w:pPr>
        <w:numPr>
          <w:ilvl w:val="0"/>
          <w:numId w:val="10"/>
        </w:numPr>
      </w:pPr>
      <w:r>
        <w:rPr>
          <w:rFonts w:ascii="Calibri" w:hAnsi="Calibri" w:eastAsia="Calibri"/>
          <w:b w:val="0"/>
        </w:rPr>
        <w:t>approve definitions, ethics/data plan, decision-record template and source/assumption protocol;</w:t>
      </w:r>
    </w:p>
    <w:p>
      <w:pPr>
        <w:numPr>
          <w:ilvl w:val="0"/>
          <w:numId w:val="10"/>
        </w:numPr>
      </w:pPr>
      <w:r>
        <w:rPr>
          <w:rFonts w:ascii="Calibri" w:hAnsi="Calibri" w:eastAsia="Calibri"/>
          <w:b w:val="0"/>
        </w:rPr>
        <w:t>select first decision episodes and conventional comparators;</w:t>
      </w:r>
    </w:p>
    <w:p>
      <w:pPr>
        <w:numPr>
          <w:ilvl w:val="0"/>
          <w:numId w:val="10"/>
        </w:numPr>
      </w:pPr>
      <w:r>
        <w:rPr>
          <w:rFonts w:ascii="Calibri" w:hAnsi="Calibri" w:eastAsia="Calibri"/>
          <w:b w:val="0"/>
        </w:rPr>
        <w:t>create governance linking the three labs;</w:t>
      </w:r>
    </w:p>
    <w:p>
      <w:pPr>
        <w:numPr>
          <w:ilvl w:val="0"/>
          <w:numId w:val="10"/>
        </w:numPr>
      </w:pPr>
      <w:r>
        <w:rPr>
          <w:rFonts w:ascii="Calibri" w:hAnsi="Calibri" w:eastAsia="Calibri"/>
          <w:b w:val="0"/>
        </w:rPr>
        <w:t>establish independent methods/advisory review; and</w:t>
      </w:r>
    </w:p>
    <w:p>
      <w:pPr>
        <w:numPr>
          <w:ilvl w:val="0"/>
          <w:numId w:val="10"/>
        </w:numPr>
      </w:pPr>
      <w:r>
        <w:rPr>
          <w:rFonts w:ascii="Calibri" w:hAnsi="Calibri" w:eastAsia="Calibri"/>
          <w:b w:val="0"/>
        </w:rPr>
        <w:t>baseline partner objectives, readiness and decision routines.</w:t>
      </w:r>
    </w:p>
    <w:p>
      <w:r>
        <w:rPr>
          <w:rFonts w:ascii="Calibri" w:hAnsi="Calibri" w:eastAsia="Calibri"/>
          <w:b/>
        </w:rPr>
        <w:t>Gate G0:</w:t>
      </w:r>
      <w:r>
        <w:rPr>
          <w:rFonts w:ascii="Calibri" w:hAnsi="Calibri" w:eastAsia="Calibri"/>
          <w:b w:val="0"/>
        </w:rPr>
        <w:t xml:space="preserve"> each pilot has a named decision-maker, decision date, alternatives and data access route.</w:t>
      </w:r>
    </w:p>
    <w:p>
      <w:pPr>
        <w:pStyle w:val="Heading2"/>
      </w:pPr>
      <w:r>
        <w:rPr>
          <w:rFonts w:ascii="Calibri" w:hAnsi="Calibri" w:eastAsia="Calibri"/>
          <w:b w:val="0"/>
        </w:rPr>
        <w:t>Phase 1 — Baseline and value-gap analysis (months 1–6)</w:t>
      </w:r>
    </w:p>
    <w:p>
      <w:pPr>
        <w:numPr>
          <w:ilvl w:val="0"/>
          <w:numId w:val="10"/>
        </w:numPr>
      </w:pPr>
      <w:r>
        <w:rPr>
          <w:rFonts w:ascii="Calibri" w:hAnsi="Calibri" w:eastAsia="Calibri"/>
          <w:b w:val="0"/>
        </w:rPr>
        <w:t>verify asset/service/financial baseline;</w:t>
      </w:r>
    </w:p>
    <w:p>
      <w:pPr>
        <w:numPr>
          <w:ilvl w:val="0"/>
          <w:numId w:val="10"/>
        </w:numPr>
      </w:pPr>
      <w:r>
        <w:rPr>
          <w:rFonts w:ascii="Calibri" w:hAnsi="Calibri" w:eastAsia="Calibri"/>
          <w:b w:val="0"/>
        </w:rPr>
        <w:t>map stock, flows, actors, decision gates and value distribution;</w:t>
      </w:r>
    </w:p>
    <w:p>
      <w:pPr>
        <w:numPr>
          <w:ilvl w:val="0"/>
          <w:numId w:val="10"/>
        </w:numPr>
      </w:pPr>
      <w:r>
        <w:rPr>
          <w:rFonts w:ascii="Calibri" w:hAnsi="Calibri" w:eastAsia="Calibri"/>
          <w:b w:val="0"/>
        </w:rPr>
        <w:t>score first flexibility profile;</w:t>
      </w:r>
    </w:p>
    <w:p>
      <w:pPr>
        <w:numPr>
          <w:ilvl w:val="0"/>
          <w:numId w:val="10"/>
        </w:numPr>
      </w:pPr>
      <w:r>
        <w:rPr>
          <w:rFonts w:ascii="Calibri" w:hAnsi="Calibri" w:eastAsia="Calibri"/>
          <w:b w:val="0"/>
        </w:rPr>
        <w:t>compile change drivers and obsolescence risks;</w:t>
      </w:r>
    </w:p>
    <w:p>
      <w:pPr>
        <w:numPr>
          <w:ilvl w:val="0"/>
          <w:numId w:val="10"/>
        </w:numPr>
      </w:pPr>
      <w:r>
        <w:rPr>
          <w:rFonts w:ascii="Calibri" w:hAnsi="Calibri" w:eastAsia="Calibri"/>
          <w:b w:val="0"/>
        </w:rPr>
        <w:t>define scenarios/counterfactuals;</w:t>
      </w:r>
    </w:p>
    <w:p>
      <w:pPr>
        <w:numPr>
          <w:ilvl w:val="0"/>
          <w:numId w:val="10"/>
        </w:numPr>
      </w:pPr>
      <w:r>
        <w:rPr>
          <w:rFonts w:ascii="Calibri" w:hAnsi="Calibri" w:eastAsia="Calibri"/>
          <w:b w:val="0"/>
        </w:rPr>
        <w:t>run first A1–A5 and A–D, LCC and risk comparisons; and</w:t>
      </w:r>
    </w:p>
    <w:p>
      <w:pPr>
        <w:numPr>
          <w:ilvl w:val="0"/>
          <w:numId w:val="10"/>
        </w:numPr>
      </w:pPr>
      <w:r>
        <w:rPr>
          <w:rFonts w:ascii="Calibri" w:hAnsi="Calibri" w:eastAsia="Calibri"/>
          <w:b w:val="0"/>
        </w:rPr>
        <w:t>identify decision-critical evidence gaps.</w:t>
      </w:r>
    </w:p>
    <w:p>
      <w:r>
        <w:rPr>
          <w:rFonts w:ascii="Calibri" w:hAnsi="Calibri" w:eastAsia="Calibri"/>
          <w:b/>
        </w:rPr>
        <w:t>Gate G1 / month 6:</w:t>
      </w:r>
      <w:r>
        <w:rPr>
          <w:rFonts w:ascii="Calibri" w:hAnsi="Calibri" w:eastAsia="Calibri"/>
          <w:b w:val="0"/>
        </w:rPr>
        <w:t xml:space="preserve"> signed case baseline and value-gap report; no pilot proceeds with an undefined counterfactual.</w:t>
      </w:r>
    </w:p>
    <w:p>
      <w:pPr>
        <w:pStyle w:val="Heading2"/>
      </w:pPr>
      <w:r>
        <w:rPr>
          <w:rFonts w:ascii="Calibri" w:hAnsi="Calibri" w:eastAsia="Calibri"/>
          <w:b w:val="0"/>
        </w:rPr>
        <w:t>Phase 2 — CAVF alpha and pilot design (months 6–12)</w:t>
      </w:r>
    </w:p>
    <w:p>
      <w:pPr>
        <w:numPr>
          <w:ilvl w:val="0"/>
          <w:numId w:val="10"/>
        </w:numPr>
      </w:pPr>
      <w:r>
        <w:rPr>
          <w:rFonts w:ascii="Calibri" w:hAnsi="Calibri" w:eastAsia="Calibri"/>
          <w:b w:val="0"/>
        </w:rPr>
        <w:t>build data dictionary and IDS requirements;</w:t>
      </w:r>
    </w:p>
    <w:p>
      <w:pPr>
        <w:numPr>
          <w:ilvl w:val="0"/>
          <w:numId w:val="10"/>
        </w:numPr>
      </w:pPr>
      <w:r>
        <w:rPr>
          <w:rFonts w:ascii="Calibri" w:hAnsi="Calibri" w:eastAsia="Calibri"/>
          <w:b w:val="0"/>
        </w:rPr>
        <w:t>co-design CAVF alpha and dashboard;</w:t>
      </w:r>
    </w:p>
    <w:p>
      <w:pPr>
        <w:numPr>
          <w:ilvl w:val="0"/>
          <w:numId w:val="10"/>
        </w:numPr>
      </w:pPr>
      <w:r>
        <w:rPr>
          <w:rFonts w:ascii="Calibri" w:hAnsi="Calibri" w:eastAsia="Calibri"/>
          <w:b w:val="0"/>
        </w:rPr>
        <w:t>select prototype tests and measurement plans;</w:t>
      </w:r>
    </w:p>
    <w:p>
      <w:pPr>
        <w:numPr>
          <w:ilvl w:val="0"/>
          <w:numId w:val="10"/>
        </w:numPr>
      </w:pPr>
      <w:r>
        <w:rPr>
          <w:rFonts w:ascii="Calibri" w:hAnsi="Calibri" w:eastAsia="Calibri"/>
          <w:b w:val="0"/>
        </w:rPr>
        <w:t>conduct valuer/investor/procurement evidence workshops;</w:t>
      </w:r>
    </w:p>
    <w:p>
      <w:pPr>
        <w:numPr>
          <w:ilvl w:val="0"/>
          <w:numId w:val="10"/>
        </w:numPr>
      </w:pPr>
      <w:r>
        <w:rPr>
          <w:rFonts w:ascii="Calibri" w:hAnsi="Calibri" w:eastAsia="Calibri"/>
          <w:b w:val="0"/>
        </w:rPr>
        <w:t>pre-register hypotheses and evaluation logic;</w:t>
      </w:r>
    </w:p>
    <w:p>
      <w:pPr>
        <w:numPr>
          <w:ilvl w:val="0"/>
          <w:numId w:val="10"/>
        </w:numPr>
      </w:pPr>
      <w:r>
        <w:rPr>
          <w:rFonts w:ascii="Calibri" w:hAnsi="Calibri" w:eastAsia="Calibri"/>
          <w:b w:val="0"/>
        </w:rPr>
        <w:t>produce first decision briefs; and</w:t>
      </w:r>
    </w:p>
    <w:p>
      <w:pPr>
        <w:numPr>
          <w:ilvl w:val="0"/>
          <w:numId w:val="10"/>
        </w:numPr>
      </w:pPr>
      <w:r>
        <w:rPr>
          <w:rFonts w:ascii="Calibri" w:hAnsi="Calibri" w:eastAsia="Calibri"/>
          <w:b w:val="0"/>
        </w:rPr>
        <w:t>revise design/procurement specifications.</w:t>
      </w:r>
    </w:p>
    <w:p>
      <w:r>
        <w:rPr>
          <w:rFonts w:ascii="Calibri" w:hAnsi="Calibri" w:eastAsia="Calibri"/>
          <w:b/>
        </w:rPr>
        <w:t>Gate G2 / month 10:</w:t>
      </w:r>
      <w:r>
        <w:rPr>
          <w:rFonts w:ascii="Calibri" w:hAnsi="Calibri" w:eastAsia="Calibri"/>
          <w:b w:val="0"/>
        </w:rPr>
        <w:t xml:space="preserve"> first common decision framework.</w:t>
      </w:r>
    </w:p>
    <w:p>
      <w:r>
        <w:rPr>
          <w:rFonts w:ascii="Calibri" w:hAnsi="Calibri" w:eastAsia="Calibri"/>
          <w:b/>
        </w:rPr>
        <w:t>Gate G3 / month 12:</w:t>
      </w:r>
      <w:r>
        <w:rPr>
          <w:rFonts w:ascii="Calibri" w:hAnsi="Calibri" w:eastAsia="Calibri"/>
          <w:b w:val="0"/>
        </w:rPr>
        <w:t xml:space="preserve"> pilot-ready package, ethics/data approvals and prototype acceptance criteria.</w:t>
      </w:r>
    </w:p>
    <w:p>
      <w:pPr>
        <w:pStyle w:val="Heading2"/>
      </w:pPr>
      <w:r>
        <w:rPr>
          <w:rFonts w:ascii="Calibri" w:hAnsi="Calibri" w:eastAsia="Calibri"/>
          <w:b w:val="0"/>
        </w:rPr>
        <w:t>Phase 3 — DoTank experiments and live decisions (months 12–24)</w:t>
      </w:r>
    </w:p>
    <w:p>
      <w:pPr>
        <w:numPr>
          <w:ilvl w:val="0"/>
          <w:numId w:val="10"/>
        </w:numPr>
      </w:pPr>
      <w:r>
        <w:rPr>
          <w:rFonts w:ascii="Calibri" w:hAnsi="Calibri" w:eastAsia="Calibri"/>
          <w:b w:val="0"/>
        </w:rPr>
        <w:t>construct progressive prototypes;</w:t>
      </w:r>
    </w:p>
    <w:p>
      <w:pPr>
        <w:numPr>
          <w:ilvl w:val="0"/>
          <w:numId w:val="10"/>
        </w:numPr>
      </w:pPr>
      <w:r>
        <w:rPr>
          <w:rFonts w:ascii="Calibri" w:hAnsi="Calibri" w:eastAsia="Calibri"/>
          <w:b w:val="0"/>
        </w:rPr>
        <w:t>test assembly, transformation, recovery, performance and occupancy;</w:t>
      </w:r>
    </w:p>
    <w:p>
      <w:pPr>
        <w:numPr>
          <w:ilvl w:val="0"/>
          <w:numId w:val="10"/>
        </w:numPr>
      </w:pPr>
      <w:r>
        <w:rPr>
          <w:rFonts w:ascii="Calibri" w:hAnsi="Calibri" w:eastAsia="Calibri"/>
          <w:b w:val="0"/>
        </w:rPr>
        <w:t>update dynamic LCA/LCC/valuation and option models with measured data;</w:t>
      </w:r>
    </w:p>
    <w:p>
      <w:pPr>
        <w:numPr>
          <w:ilvl w:val="0"/>
          <w:numId w:val="10"/>
        </w:numPr>
      </w:pPr>
      <w:r>
        <w:rPr>
          <w:rFonts w:ascii="Calibri" w:hAnsi="Calibri" w:eastAsia="Calibri"/>
          <w:b w:val="0"/>
        </w:rPr>
        <w:t>observe live decisions and record influence;</w:t>
      </w:r>
    </w:p>
    <w:p>
      <w:pPr>
        <w:numPr>
          <w:ilvl w:val="0"/>
          <w:numId w:val="10"/>
        </w:numPr>
      </w:pPr>
      <w:r>
        <w:rPr>
          <w:rFonts w:ascii="Calibri" w:hAnsi="Calibri" w:eastAsia="Calibri"/>
          <w:b w:val="0"/>
        </w:rPr>
        <w:t>test business models, contracts and procurement clauses; and</w:t>
      </w:r>
    </w:p>
    <w:p>
      <w:pPr>
        <w:numPr>
          <w:ilvl w:val="0"/>
          <w:numId w:val="10"/>
        </w:numPr>
      </w:pPr>
      <w:r>
        <w:rPr>
          <w:rFonts w:ascii="Calibri" w:hAnsi="Calibri" w:eastAsia="Calibri"/>
          <w:b w:val="0"/>
        </w:rPr>
        <w:t>publish CAVF beta and methods note.</w:t>
      </w:r>
    </w:p>
    <w:p>
      <w:r>
        <w:rPr>
          <w:rFonts w:ascii="Calibri" w:hAnsi="Calibri" w:eastAsia="Calibri"/>
          <w:b/>
        </w:rPr>
        <w:t>Gate G4 / month 18:</w:t>
      </w:r>
      <w:r>
        <w:rPr>
          <w:rFonts w:ascii="Calibri" w:hAnsi="Calibri" w:eastAsia="Calibri"/>
          <w:b w:val="0"/>
        </w:rPr>
        <w:t xml:space="preserve"> measured prototype evidence supports at least one live decision.</w:t>
      </w:r>
    </w:p>
    <w:p>
      <w:r>
        <w:rPr>
          <w:rFonts w:ascii="Calibri" w:hAnsi="Calibri" w:eastAsia="Calibri"/>
          <w:b/>
        </w:rPr>
        <w:t>Gate G5 / month 24:</w:t>
      </w:r>
      <w:r>
        <w:rPr>
          <w:rFonts w:ascii="Calibri" w:hAnsi="Calibri" w:eastAsia="Calibri"/>
          <w:b w:val="0"/>
        </w:rPr>
        <w:t xml:space="preserve"> decision outcome, implementation deviation and learning review completed.</w:t>
      </w:r>
    </w:p>
    <w:p>
      <w:pPr>
        <w:pStyle w:val="Heading2"/>
      </w:pPr>
      <w:r>
        <w:rPr>
          <w:rFonts w:ascii="Calibri" w:hAnsi="Calibri" w:eastAsia="Calibri"/>
          <w:b w:val="0"/>
        </w:rPr>
        <w:t>Phase 4 — External replication and calibration (months 18–30)</w:t>
      </w:r>
    </w:p>
    <w:p>
      <w:pPr>
        <w:numPr>
          <w:ilvl w:val="0"/>
          <w:numId w:val="10"/>
        </w:numPr>
      </w:pPr>
      <w:r>
        <w:rPr>
          <w:rFonts w:ascii="Calibri" w:hAnsi="Calibri" w:eastAsia="Calibri"/>
          <w:b w:val="0"/>
        </w:rPr>
        <w:t>apply common protocol in 2–3 contrasting external cases;</w:t>
      </w:r>
    </w:p>
    <w:p>
      <w:pPr>
        <w:numPr>
          <w:ilvl w:val="0"/>
          <w:numId w:val="10"/>
        </w:numPr>
      </w:pPr>
      <w:r>
        <w:rPr>
          <w:rFonts w:ascii="Calibri" w:hAnsi="Calibri" w:eastAsia="Calibri"/>
          <w:b w:val="0"/>
        </w:rPr>
        <w:t>use a smaller minimum dataset to test proportionality;</w:t>
      </w:r>
    </w:p>
    <w:p>
      <w:pPr>
        <w:numPr>
          <w:ilvl w:val="0"/>
          <w:numId w:val="10"/>
        </w:numPr>
      </w:pPr>
      <w:r>
        <w:rPr>
          <w:rFonts w:ascii="Calibri" w:hAnsi="Calibri" w:eastAsia="Calibri"/>
          <w:b w:val="0"/>
        </w:rPr>
        <w:t>compare indicator reliability, value mechanisms and organizational barriers;</w:t>
      </w:r>
    </w:p>
    <w:p>
      <w:pPr>
        <w:numPr>
          <w:ilvl w:val="0"/>
          <w:numId w:val="10"/>
        </w:numPr>
      </w:pPr>
      <w:r>
        <w:rPr>
          <w:rFonts w:ascii="Calibri" w:hAnsi="Calibri" w:eastAsia="Calibri"/>
          <w:b w:val="0"/>
        </w:rPr>
        <w:t>calibrate weights/thresholds only where evidence supports it;</w:t>
      </w:r>
    </w:p>
    <w:p>
      <w:pPr>
        <w:numPr>
          <w:ilvl w:val="0"/>
          <w:numId w:val="10"/>
        </w:numPr>
      </w:pPr>
      <w:r>
        <w:rPr>
          <w:rFonts w:ascii="Calibri" w:hAnsi="Calibri" w:eastAsia="Calibri"/>
          <w:b w:val="0"/>
        </w:rPr>
        <w:t>test procurement and valuation usability with actors not involved in development; and</w:t>
      </w:r>
    </w:p>
    <w:p>
      <w:pPr>
        <w:numPr>
          <w:ilvl w:val="0"/>
          <w:numId w:val="10"/>
        </w:numPr>
      </w:pPr>
      <w:r>
        <w:rPr>
          <w:rFonts w:ascii="Calibri" w:hAnsi="Calibri" w:eastAsia="Calibri"/>
          <w:b w:val="0"/>
        </w:rPr>
        <w:t>document generic core versus context modules.</w:t>
      </w:r>
    </w:p>
    <w:p>
      <w:r>
        <w:rPr>
          <w:rFonts w:ascii="Calibri" w:hAnsi="Calibri" w:eastAsia="Calibri"/>
          <w:b/>
        </w:rPr>
        <w:t>Gate G6 / month 30:</w:t>
      </w:r>
      <w:r>
        <w:rPr>
          <w:rFonts w:ascii="Calibri" w:hAnsi="Calibri" w:eastAsia="Calibri"/>
          <w:b w:val="0"/>
        </w:rPr>
        <w:t xml:space="preserve"> external replication report with positive, null and negative findings.</w:t>
      </w:r>
    </w:p>
    <w:p>
      <w:pPr>
        <w:pStyle w:val="Heading2"/>
      </w:pPr>
      <w:r>
        <w:rPr>
          <w:rFonts w:ascii="Calibri" w:hAnsi="Calibri" w:eastAsia="Calibri"/>
          <w:b w:val="0"/>
        </w:rPr>
        <w:t>Phase 5 — Validation, adoption and handover (months 30–36)</w:t>
      </w:r>
    </w:p>
    <w:p>
      <w:pPr>
        <w:numPr>
          <w:ilvl w:val="0"/>
          <w:numId w:val="10"/>
        </w:numPr>
      </w:pPr>
      <w:r>
        <w:rPr>
          <w:rFonts w:ascii="Calibri" w:hAnsi="Calibri" w:eastAsia="Calibri"/>
          <w:b w:val="0"/>
        </w:rPr>
        <w:t>freeze CAVF v1.0, data dictionary and calculation rules;</w:t>
      </w:r>
    </w:p>
    <w:p>
      <w:pPr>
        <w:numPr>
          <w:ilvl w:val="0"/>
          <w:numId w:val="10"/>
        </w:numPr>
      </w:pPr>
      <w:r>
        <w:rPr>
          <w:rFonts w:ascii="Calibri" w:hAnsi="Calibri" w:eastAsia="Calibri"/>
          <w:b w:val="0"/>
        </w:rPr>
        <w:t>independent review of methods, spreadsheets/code and case evidence;</w:t>
      </w:r>
    </w:p>
    <w:p>
      <w:pPr>
        <w:numPr>
          <w:ilvl w:val="0"/>
          <w:numId w:val="10"/>
        </w:numPr>
      </w:pPr>
      <w:r>
        <w:rPr>
          <w:rFonts w:ascii="Calibri" w:hAnsi="Calibri" w:eastAsia="Calibri"/>
          <w:b w:val="0"/>
        </w:rPr>
        <w:t>create owner, valuer, designer, procurement and supplier guides;</w:t>
      </w:r>
    </w:p>
    <w:p>
      <w:pPr>
        <w:numPr>
          <w:ilvl w:val="0"/>
          <w:numId w:val="10"/>
        </w:numPr>
      </w:pPr>
      <w:r>
        <w:rPr>
          <w:rFonts w:ascii="Calibri" w:hAnsi="Calibri" w:eastAsia="Calibri"/>
          <w:b w:val="0"/>
        </w:rPr>
        <w:t>secure adoption in briefs, investment routines or procurement templates;</w:t>
      </w:r>
    </w:p>
    <w:p>
      <w:pPr>
        <w:numPr>
          <w:ilvl w:val="0"/>
          <w:numId w:val="10"/>
        </w:numPr>
      </w:pPr>
      <w:r>
        <w:rPr>
          <w:rFonts w:ascii="Calibri" w:hAnsi="Calibri" w:eastAsia="Calibri"/>
          <w:b w:val="0"/>
        </w:rPr>
        <w:t>publish final comparative and system-impact analysis;</w:t>
      </w:r>
    </w:p>
    <w:p>
      <w:pPr>
        <w:numPr>
          <w:ilvl w:val="0"/>
          <w:numId w:val="10"/>
        </w:numPr>
      </w:pPr>
      <w:r>
        <w:rPr>
          <w:rFonts w:ascii="Calibri" w:hAnsi="Calibri" w:eastAsia="Calibri"/>
          <w:b w:val="0"/>
        </w:rPr>
        <w:t>archive machine-readable evidence and versioned models; and</w:t>
      </w:r>
    </w:p>
    <w:p>
      <w:pPr>
        <w:numPr>
          <w:ilvl w:val="0"/>
          <w:numId w:val="10"/>
        </w:numPr>
      </w:pPr>
      <w:r>
        <w:rPr>
          <w:rFonts w:ascii="Calibri" w:hAnsi="Calibri" w:eastAsia="Calibri"/>
          <w:b w:val="0"/>
        </w:rPr>
        <w:t>create post-project monitoring and update governance.</w:t>
      </w:r>
    </w:p>
    <w:p>
      <w:r>
        <w:rPr>
          <w:rFonts w:ascii="Calibri" w:hAnsi="Calibri" w:eastAsia="Calibri"/>
          <w:b/>
        </w:rPr>
        <w:t>Gate G7 / month 36:</w:t>
      </w:r>
      <w:r>
        <w:rPr>
          <w:rFonts w:ascii="Calibri" w:hAnsi="Calibri" w:eastAsia="Calibri"/>
          <w:b w:val="0"/>
        </w:rPr>
        <w:t xml:space="preserve"> verified system impact and implementation basis, including cases where CAVF did not change a decision.</w:t>
      </w:r>
    </w:p>
    <w:p>
      <w:pPr>
        <w:pStyle w:val="Heading2"/>
      </w:pPr>
      <w:r>
        <w:rPr>
          <w:rFonts w:ascii="Calibri" w:hAnsi="Calibri" w:eastAsia="Calibri"/>
          <w:b w:val="0"/>
        </w:rPr>
        <w:t>11.1 Decision gates and minimum evidence</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400"/>
        <w:gridCol w:w="3660"/>
        <w:gridCol w:w="3300"/>
      </w:tblGrid>
      <w:tr>
        <w:trPr>
          <w:tblHeader w:val="true"/>
        </w:trPr>
        <w:tc>
          <w:tcPr>
            <w:tcW w:type="dxa" w:w="24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Gate</w:t>
            </w:r>
          </w:p>
        </w:tc>
        <w:tc>
          <w:tcPr>
            <w:tcW w:type="dxa" w:w="366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Decision</w:t>
            </w:r>
          </w:p>
        </w:tc>
        <w:tc>
          <w:tcPr>
            <w:tcW w:type="dxa" w:w="33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Minimum evidence</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Need / portfolio</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retain, share, convert, dispose or build</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demand scenarios, service gap, asset/portfolio feasibility</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Brief</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required flexibility</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change scenarios, critical criteria, performance thresholds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Concept</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preferred design pathway</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physical profile, test-fits, A1–A5 premium, rough LCC, risk</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Developed design</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invest/procure</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dynamic scenarios, transformation quantities, valuation bridge, MCDA</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Procurement</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supplier/solution</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auditable criteria, LCC method, verification and data requirements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Handover</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accept evidence</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as-built checks, model/data validation, disassembly/operation information</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In use</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operate/share/trigger change</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occupancy/POE, condition, signposts, updated scenario and option trigger</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Transformation</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exercise option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actual time/cost/carbon/disruption and decision threshold</w:t>
            </w:r>
          </w:p>
        </w:tc>
      </w:tr>
    </w:tbl>
    <w:p>
      <w:pPr>
        <w:spacing w:after="40"/>
      </w:pPr>
    </w:p>
    <w:p>
      <w:pPr>
        <w:pStyle w:val="Heading1"/>
        <w:pageBreakBefore/>
      </w:pPr>
      <w:r>
        <w:rPr>
          <w:rFonts w:ascii="Calibri" w:hAnsi="Calibri" w:eastAsia="Calibri"/>
          <w:b w:val="0"/>
        </w:rPr>
        <w:t>12. Case-specific method packages</w:t>
      </w:r>
    </w:p>
    <w:p>
      <w:pPr>
        <w:pStyle w:val="Heading2"/>
      </w:pPr>
      <w:r>
        <w:rPr>
          <w:rFonts w:ascii="Calibri" w:hAnsi="Calibri" w:eastAsia="Calibri"/>
          <w:b w:val="0"/>
        </w:rPr>
        <w:t>12.1 Marievik: office to housing/long-stay and circular supply</w:t>
      </w:r>
    </w:p>
    <w:p>
      <w:r>
        <w:rPr>
          <w:rFonts w:ascii="Calibri" w:hAnsi="Calibri" w:eastAsia="Calibri"/>
          <w:b/>
        </w:rPr>
        <w:t>Key unknowns:</w:t>
      </w:r>
      <w:r>
        <w:rPr>
          <w:rFonts w:ascii="Calibri" w:hAnsi="Calibri" w:eastAsia="Calibri"/>
          <w:b w:val="0"/>
        </w:rPr>
        <w:t xml:space="preserve"> planning/change-of-use, depth/daylight, façade, cores/egress, acoustics, wet-service distribution, structural grid/capacity, fire, market timing and recoverable fit-out.</w:t>
      </w:r>
    </w:p>
    <w:p>
      <w:r>
        <w:rPr>
          <w:rFonts w:ascii="Calibri" w:hAnsi="Calibri" w:eastAsia="Calibri"/>
          <w:b/>
        </w:rPr>
        <w:t>Methods:</w:t>
      </w:r>
      <w:r>
        <w:rPr>
          <w:rFonts w:ascii="Calibri" w:hAnsi="Calibri" w:eastAsia="Calibri"/>
          <w:b w:val="0"/>
        </w:rPr>
        <w:t xml:space="preserve"> alternative-use test-fits; regulatory feasibility matrix; daylight/fire/acoustic/service studies; measured component inventory; reversible interface prototypes; dynamic comparison of continued office, conversion, staged mixed use and demolition/new build; conversion option decision tree; valuer interviews; downtime/decant modelling; and recovery-market validation with suppliers.</w:t>
      </w:r>
    </w:p>
    <w:p>
      <w:r>
        <w:rPr>
          <w:rFonts w:ascii="Calibri" w:hAnsi="Calibri" w:eastAsia="Calibri"/>
          <w:b/>
        </w:rPr>
        <w:t>Primary proof:</w:t>
      </w:r>
      <w:r>
        <w:rPr>
          <w:rFonts w:ascii="Calibri" w:hAnsi="Calibri" w:eastAsia="Calibri"/>
          <w:b w:val="0"/>
        </w:rPr>
        <w:t xml:space="preserve"> whether measured conversion capacity changes the approved base-building/fit-out design, initial premium or timing decision.</w:t>
      </w:r>
    </w:p>
    <w:p>
      <w:pPr>
        <w:pStyle w:val="Heading2"/>
      </w:pPr>
      <w:r>
        <w:rPr>
          <w:rFonts w:ascii="Calibri" w:hAnsi="Calibri" w:eastAsia="Calibri"/>
          <w:b w:val="0"/>
        </w:rPr>
        <w:t>12.2 Uppsala school property: public budget and climate value</w:t>
      </w:r>
    </w:p>
    <w:p>
      <w:r>
        <w:rPr>
          <w:rFonts w:ascii="Calibri" w:hAnsi="Calibri" w:eastAsia="Calibri"/>
          <w:b/>
        </w:rPr>
        <w:t>Key unknowns:</w:t>
      </w:r>
      <w:r>
        <w:rPr>
          <w:rFonts w:ascii="Calibri" w:hAnsi="Calibri" w:eastAsia="Calibri"/>
          <w:b w:val="0"/>
        </w:rPr>
        <w:t xml:space="preserve"> pupil-demand scenarios, municipal portfolio alternatives, capital/operating budget separation, public procurement, climate contract and alternative community uses.</w:t>
      </w:r>
    </w:p>
    <w:p>
      <w:r>
        <w:rPr>
          <w:rFonts w:ascii="Calibri" w:hAnsi="Calibri" w:eastAsia="Calibri"/>
          <w:b/>
        </w:rPr>
        <w:t>Methods:</w:t>
      </w:r>
      <w:r>
        <w:rPr>
          <w:rFonts w:ascii="Calibri" w:hAnsi="Calibri" w:eastAsia="Calibri"/>
          <w:b w:val="0"/>
        </w:rPr>
        <w:t xml:space="preserve"> demographic scenarios; service-unit LCC/GWP; portfolio capacity model; shared-use POE; budget-incidence map; life-cycle procurement criterion; decision conference with property, education, finance and procurement; and realist evaluation of budget mechanisms.</w:t>
      </w:r>
    </w:p>
    <w:p>
      <w:r>
        <w:rPr>
          <w:rFonts w:ascii="Calibri" w:hAnsi="Calibri" w:eastAsia="Calibri"/>
          <w:b/>
        </w:rPr>
        <w:t>Primary proof:</w:t>
      </w:r>
      <w:r>
        <w:rPr>
          <w:rFonts w:ascii="Calibri" w:hAnsi="Calibri" w:eastAsia="Calibri"/>
          <w:b w:val="0"/>
        </w:rPr>
        <w:t xml:space="preserve"> whether whole-life and service evidence changes a budget or procurement choice that conventional capex would reject.</w:t>
      </w:r>
    </w:p>
    <w:p>
      <w:pPr>
        <w:pStyle w:val="Heading2"/>
      </w:pPr>
      <w:r>
        <w:rPr>
          <w:rFonts w:ascii="Calibri" w:hAnsi="Calibri" w:eastAsia="Calibri"/>
          <w:b w:val="0"/>
        </w:rPr>
        <w:t>12.3 Stena Malmö: portfolio prioritization and transition risk</w:t>
      </w:r>
    </w:p>
    <w:p>
      <w:r>
        <w:rPr>
          <w:rFonts w:ascii="Calibri" w:hAnsi="Calibri" w:eastAsia="Calibri"/>
          <w:b/>
        </w:rPr>
        <w:t>Key unknowns:</w:t>
      </w:r>
      <w:r>
        <w:rPr>
          <w:rFonts w:ascii="Calibri" w:hAnsi="Calibri" w:eastAsia="Calibri"/>
          <w:b w:val="0"/>
        </w:rPr>
        <w:t xml:space="preserve"> interaction of energy performance, condition, conversion potential, rent/vacancy, tenant disruption and CRREM trajectory.</w:t>
      </w:r>
    </w:p>
    <w:p>
      <w:r>
        <w:rPr>
          <w:rFonts w:ascii="Calibri" w:hAnsi="Calibri" w:eastAsia="Calibri"/>
          <w:b/>
        </w:rPr>
        <w:t>Methods:</w:t>
      </w:r>
      <w:r>
        <w:rPr>
          <w:rFonts w:ascii="Calibri" w:hAnsi="Calibri" w:eastAsia="Calibri"/>
          <w:b w:val="0"/>
        </w:rPr>
        <w:t xml:space="preserve"> asset archetypes; measured energy normalization; condition/maintenance data; CRREM pathway comparison; adaptability screening; retrofit and use-change scenarios; portfolio optimization with budget constraints; and downside DCF.</w:t>
      </w:r>
    </w:p>
    <w:p>
      <w:r>
        <w:rPr>
          <w:rFonts w:ascii="Calibri" w:hAnsi="Calibri" w:eastAsia="Calibri"/>
          <w:b/>
        </w:rPr>
        <w:t>Primary proof:</w:t>
      </w:r>
      <w:r>
        <w:rPr>
          <w:rFonts w:ascii="Calibri" w:hAnsi="Calibri" w:eastAsia="Calibri"/>
          <w:b w:val="0"/>
        </w:rPr>
        <w:t xml:space="preserve"> whether flexibility information changes asset sequencing, package scope or hold/sell/convert decision beyond energy-only prioritization.</w:t>
      </w:r>
    </w:p>
    <w:p>
      <w:pPr>
        <w:pStyle w:val="Heading2"/>
      </w:pPr>
      <w:r>
        <w:rPr>
          <w:rFonts w:ascii="Calibri" w:hAnsi="Calibri" w:eastAsia="Calibri"/>
          <w:b w:val="0"/>
        </w:rPr>
        <w:t>12.4 MKB Malmö: social housing and cultural/shared use</w:t>
      </w:r>
    </w:p>
    <w:p>
      <w:r>
        <w:rPr>
          <w:rFonts w:ascii="Calibri" w:hAnsi="Calibri" w:eastAsia="Calibri"/>
          <w:b/>
        </w:rPr>
        <w:t>Key unknowns:</w:t>
      </w:r>
      <w:r>
        <w:rPr>
          <w:rFonts w:ascii="Calibri" w:hAnsi="Calibri" w:eastAsia="Calibri"/>
          <w:b w:val="0"/>
        </w:rPr>
        <w:t xml:space="preserve"> operating model, affordability, access, safety, staffing, liability, community demand, social outcomes and displacement risk.</w:t>
      </w:r>
    </w:p>
    <w:p>
      <w:r>
        <w:rPr>
          <w:rFonts w:ascii="Calibri" w:hAnsi="Calibri" w:eastAsia="Calibri"/>
          <w:b/>
        </w:rPr>
        <w:t>Methods:</w:t>
      </w:r>
      <w:r>
        <w:rPr>
          <w:rFonts w:ascii="Calibri" w:hAnsi="Calibri" w:eastAsia="Calibri"/>
          <w:b w:val="0"/>
        </w:rPr>
        <w:t xml:space="preserve"> participatory service design; stakeholder and power mapping; temporary-use pilot; utilization/access data; social-LCA-informed indicators; POE; operating-cost and revenue model; distributional analysis; and governance/lease prototype.</w:t>
      </w:r>
    </w:p>
    <w:p>
      <w:r>
        <w:rPr>
          <w:rFonts w:ascii="Calibri" w:hAnsi="Calibri" w:eastAsia="Calibri"/>
          <w:b/>
        </w:rPr>
        <w:t>Primary proof:</w:t>
      </w:r>
      <w:r>
        <w:rPr>
          <w:rFonts w:ascii="Calibri" w:hAnsi="Calibri" w:eastAsia="Calibri"/>
          <w:b w:val="0"/>
        </w:rPr>
        <w:t xml:space="preserve"> whether social and operating evidence sustains a shared-use model rather than a short-lived activation.</w:t>
      </w:r>
    </w:p>
    <w:p>
      <w:pPr>
        <w:pStyle w:val="Heading2"/>
      </w:pPr>
      <w:r>
        <w:rPr>
          <w:rFonts w:ascii="Calibri" w:hAnsi="Calibri" w:eastAsia="Calibri"/>
          <w:b w:val="0"/>
        </w:rPr>
        <w:t>12.5 Gothenburg public properties: school-to-care transition</w:t>
      </w:r>
    </w:p>
    <w:p>
      <w:r>
        <w:rPr>
          <w:rFonts w:ascii="Calibri" w:hAnsi="Calibri" w:eastAsia="Calibri"/>
          <w:b/>
        </w:rPr>
        <w:t>Key unknowns:</w:t>
      </w:r>
      <w:r>
        <w:rPr>
          <w:rFonts w:ascii="Calibri" w:hAnsi="Calibri" w:eastAsia="Calibri"/>
          <w:b w:val="0"/>
        </w:rPr>
        <w:t xml:space="preserve"> timing and geography of demand decline/growth, care-space requirements, accessibility, services, acoustics, outdoor space and continuity.</w:t>
      </w:r>
    </w:p>
    <w:p>
      <w:r>
        <w:rPr>
          <w:rFonts w:ascii="Calibri" w:hAnsi="Calibri" w:eastAsia="Calibri"/>
          <w:b/>
        </w:rPr>
        <w:t>Methods:</w:t>
      </w:r>
      <w:r>
        <w:rPr>
          <w:rFonts w:ascii="Calibri" w:hAnsi="Calibri" w:eastAsia="Calibri"/>
          <w:b w:val="0"/>
        </w:rPr>
        <w:t xml:space="preserve"> demographic/geospatial scenarios; school/care requirement crosswalk; conversion test-fits; accessibility and services gap; portfolio option model; staged investment pathway; and procurement/brief changes.</w:t>
      </w:r>
    </w:p>
    <w:p>
      <w:r>
        <w:rPr>
          <w:rFonts w:ascii="Calibri" w:hAnsi="Calibri" w:eastAsia="Calibri"/>
          <w:b/>
        </w:rPr>
        <w:t>Primary proof:</w:t>
      </w:r>
      <w:r>
        <w:rPr>
          <w:rFonts w:ascii="Calibri" w:hAnsi="Calibri" w:eastAsia="Calibri"/>
          <w:b w:val="0"/>
        </w:rPr>
        <w:t xml:space="preserve"> avoided construction or vacancy through portfolio-level timing and reprogramming.</w:t>
      </w:r>
    </w:p>
    <w:p>
      <w:pPr>
        <w:pStyle w:val="Heading2"/>
      </w:pPr>
      <w:r>
        <w:rPr>
          <w:rFonts w:ascii="Calibri" w:hAnsi="Calibri" w:eastAsia="Calibri"/>
          <w:b w:val="0"/>
        </w:rPr>
        <w:t>12.6 SUA school: learning, hybrid use and operational flexibility</w:t>
      </w:r>
    </w:p>
    <w:p>
      <w:r>
        <w:rPr>
          <w:rFonts w:ascii="Calibri" w:hAnsi="Calibri" w:eastAsia="Calibri"/>
          <w:b/>
        </w:rPr>
        <w:t>Key unknowns:</w:t>
      </w:r>
      <w:r>
        <w:rPr>
          <w:rFonts w:ascii="Calibri" w:hAnsi="Calibri" w:eastAsia="Calibri"/>
          <w:b w:val="0"/>
        </w:rPr>
        <w:t xml:space="preserve"> pedagogy, acoustic/visual performance, technology, furniture, booking, security, staffing and community use.</w:t>
      </w:r>
    </w:p>
    <w:p>
      <w:r>
        <w:rPr>
          <w:rFonts w:ascii="Calibri" w:hAnsi="Calibri" w:eastAsia="Calibri"/>
          <w:b/>
        </w:rPr>
        <w:t>Methods:</w:t>
      </w:r>
      <w:r>
        <w:rPr>
          <w:rFonts w:ascii="Calibri" w:hAnsi="Calibri" w:eastAsia="Calibri"/>
          <w:b w:val="0"/>
        </w:rPr>
        <w:t xml:space="preserve"> learning-activity mapping; space syntax/adjacency and schedule models; reconfiguration time trials; occupancy/booking and POE; teacher/student co-design; inclusive-use review; and operational protocol experiments.</w:t>
      </w:r>
    </w:p>
    <w:p>
      <w:r>
        <w:rPr>
          <w:rFonts w:ascii="Calibri" w:hAnsi="Calibri" w:eastAsia="Calibri"/>
          <w:b/>
        </w:rPr>
        <w:t>Primary proof:</w:t>
      </w:r>
      <w:r>
        <w:rPr>
          <w:rFonts w:ascii="Calibri" w:hAnsi="Calibri" w:eastAsia="Calibri"/>
          <w:b w:val="0"/>
        </w:rPr>
        <w:t xml:space="preserve"> improved service diversity/utilization without degrading learning, inclusion or staff workload.</w:t>
      </w:r>
    </w:p>
    <w:p>
      <w:pPr>
        <w:pStyle w:val="Heading1"/>
        <w:pageBreakBefore/>
      </w:pPr>
      <w:r>
        <w:rPr>
          <w:rFonts w:ascii="Calibri" w:hAnsi="Calibri" w:eastAsia="Calibri"/>
          <w:b w:val="0"/>
        </w:rPr>
        <w:t>13. Policy, standards and market context</w:t>
      </w:r>
    </w:p>
    <w:p>
      <w:pPr>
        <w:pStyle w:val="Heading2"/>
      </w:pPr>
      <w:r>
        <w:rPr>
          <w:rFonts w:ascii="Calibri" w:hAnsi="Calibri" w:eastAsia="Calibri"/>
          <w:b w:val="0"/>
        </w:rPr>
        <w:t>13.1 EU Level(s)</w:t>
      </w:r>
    </w:p>
    <w:p>
      <w:r>
        <w:rPr>
          <w:rFonts w:ascii="Calibri" w:hAnsi="Calibri" w:eastAsia="Calibri"/>
          <w:b w:val="0"/>
        </w:rPr>
        <w:t>Level(s) provides a common European sustainability language. Indicator 2.3 treats adaptability across structure, layout and services and links it to longer useful life, efficient space use and technology upgrade. Indicator 2.4 covers deconstruction. Indicator 6.1 supports life-cycle cost. Indicator 6.2 identifies revenue stability, lower operating costs and reduced future risk as valuation channels, but the current guidance remains mainly Level 1 and does not provide a standardized European monetization method. That gap is a direct CAVF opportunity.</w:t>
      </w:r>
    </w:p>
    <w:p>
      <w:pPr>
        <w:pStyle w:val="Heading2"/>
      </w:pPr>
      <w:r>
        <w:rPr>
          <w:rFonts w:ascii="Calibri" w:hAnsi="Calibri" w:eastAsia="Calibri"/>
          <w:b w:val="0"/>
        </w:rPr>
        <w:t>13.2 EPBD 2024/1275 and Swedish implementation</w:t>
      </w:r>
    </w:p>
    <w:p>
      <w:r>
        <w:rPr>
          <w:rFonts w:ascii="Calibri" w:hAnsi="Calibri" w:eastAsia="Calibri"/>
          <w:b w:val="0"/>
        </w:rPr>
        <w:t>The consolidated EPBD requires life-cycle GWP calculation and EPC disclosure from 1 January 2028 for new buildings over 1,000 m² and from 1 January 2030 for all new buildings. National roadmaps must set a trajectory toward maximum limit values from 2030. The calculation follows relevant EN 15978 logic and a 50-year reference study period in Annex III. Renovation-passport schemes were to be introduced by May 2026 and should connect to digital building logbooks where available.</w:t>
      </w:r>
    </w:p>
    <w:p>
      <w:r>
        <w:rPr>
          <w:rFonts w:ascii="Calibri" w:hAnsi="Calibri" w:eastAsia="Calibri"/>
          <w:b w:val="0"/>
        </w:rPr>
        <w:t>Sweden’s climate-declaration regime began in 2022 and currently focuses on construction-stage impacts. In May 2026 Boverket submitted legislative and regulatory proposals for whole-life GWP disclosure and limits; the roadmap work continues toward October 2026. MARIEVIK+ should maintain a regulatory watch and version its calculation rules rather than freezing today’s national scope.</w:t>
      </w:r>
    </w:p>
    <w:p>
      <w:pPr>
        <w:pStyle w:val="Heading2"/>
      </w:pPr>
      <w:r>
        <w:rPr>
          <w:rFonts w:ascii="Calibri" w:hAnsi="Calibri" w:eastAsia="Calibri"/>
          <w:b w:val="0"/>
        </w:rPr>
        <w:t>13.3 Construction Products Regulation 2024/3110</w:t>
      </w:r>
    </w:p>
    <w:p>
      <w:r>
        <w:rPr>
          <w:rFonts w:ascii="Calibri" w:hAnsi="Calibri" w:eastAsia="Calibri"/>
          <w:b w:val="0"/>
        </w:rPr>
        <w:t>The new CPR is in force and lays the foundation for environmental performance information, used-product specifications and a construction digital product passport. Passport information must be accurate and current, based on open standards, interoperable, machine-readable where appropriate, protected by access rights and maintained for defined periods. The regulation also requires attention to information needed for reuse/remanufacturing. Implementation is staged through delegated acts; CAVF should align its data model without claiming that every product already has a mandatory passport.</w:t>
      </w:r>
    </w:p>
    <w:p>
      <w:pPr>
        <w:pStyle w:val="Heading2"/>
      </w:pPr>
      <w:r>
        <w:rPr>
          <w:rFonts w:ascii="Calibri" w:hAnsi="Calibri" w:eastAsia="Calibri"/>
          <w:b w:val="0"/>
        </w:rPr>
        <w:t>13.4 ISO and European standards map</w:t>
      </w:r>
    </w:p>
    <w:p>
      <w:pPr>
        <w:numPr>
          <w:ilvl w:val="0"/>
          <w:numId w:val="10"/>
        </w:numPr>
      </w:pPr>
      <w:r>
        <w:rPr>
          <w:rFonts w:ascii="Calibri" w:hAnsi="Calibri" w:eastAsia="Calibri"/>
          <w:b w:val="0"/>
        </w:rPr>
        <w:t>ISO 20887: design for disassembly and adaptability.</w:t>
      </w:r>
    </w:p>
    <w:p>
      <w:pPr>
        <w:numPr>
          <w:ilvl w:val="0"/>
          <w:numId w:val="10"/>
        </w:numPr>
      </w:pPr>
      <w:r>
        <w:rPr>
          <w:rFonts w:ascii="Calibri" w:hAnsi="Calibri" w:eastAsia="Calibri"/>
          <w:b w:val="0"/>
        </w:rPr>
        <w:t>EN 15978 / evolving prEN 15978: whole-building environmental assessment.</w:t>
      </w:r>
    </w:p>
    <w:p>
      <w:pPr>
        <w:numPr>
          <w:ilvl w:val="0"/>
          <w:numId w:val="10"/>
        </w:numPr>
      </w:pPr>
      <w:r>
        <w:rPr>
          <w:rFonts w:ascii="Calibri" w:hAnsi="Calibri" w:eastAsia="Calibri"/>
          <w:b w:val="0"/>
        </w:rPr>
        <w:t>EN 15804: environmental product declarations.</w:t>
      </w:r>
    </w:p>
    <w:p>
      <w:pPr>
        <w:numPr>
          <w:ilvl w:val="0"/>
          <w:numId w:val="10"/>
        </w:numPr>
      </w:pPr>
      <w:r>
        <w:rPr>
          <w:rFonts w:ascii="Calibri" w:hAnsi="Calibri" w:eastAsia="Calibri"/>
          <w:b w:val="0"/>
        </w:rPr>
        <w:t>ISO 15686-5 and EN 16627: life-cycle costing.</w:t>
      </w:r>
    </w:p>
    <w:p>
      <w:pPr>
        <w:numPr>
          <w:ilvl w:val="0"/>
          <w:numId w:val="10"/>
        </w:numPr>
      </w:pPr>
      <w:r>
        <w:rPr>
          <w:rFonts w:ascii="Calibri" w:hAnsi="Calibri" w:eastAsia="Calibri"/>
          <w:b w:val="0"/>
        </w:rPr>
        <w:t>ISO 19650 series: lifecycle information management using BIM.</w:t>
      </w:r>
    </w:p>
    <w:p>
      <w:pPr>
        <w:numPr>
          <w:ilvl w:val="0"/>
          <w:numId w:val="10"/>
        </w:numPr>
      </w:pPr>
      <w:r>
        <w:rPr>
          <w:rFonts w:ascii="Calibri" w:hAnsi="Calibri" w:eastAsia="Calibri"/>
          <w:b w:val="0"/>
        </w:rPr>
        <w:t>ISO 16739-1:2024 / IFC: vendor-neutral built-environment data schema.</w:t>
      </w:r>
    </w:p>
    <w:p>
      <w:pPr>
        <w:numPr>
          <w:ilvl w:val="0"/>
          <w:numId w:val="10"/>
        </w:numPr>
      </w:pPr>
      <w:r>
        <w:rPr>
          <w:rFonts w:ascii="Calibri" w:hAnsi="Calibri" w:eastAsia="Calibri"/>
          <w:b w:val="0"/>
        </w:rPr>
        <w:t>buildingSMART IDS: computer-interpretable information requirements and checking.</w:t>
      </w:r>
    </w:p>
    <w:p>
      <w:pPr>
        <w:numPr>
          <w:ilvl w:val="0"/>
          <w:numId w:val="10"/>
        </w:numPr>
      </w:pPr>
      <w:r>
        <w:rPr>
          <w:rFonts w:ascii="Calibri" w:hAnsi="Calibri" w:eastAsia="Calibri"/>
          <w:b w:val="0"/>
        </w:rPr>
        <w:t>ISO 14090 and ISO 14091: organizational climate adaptation and risk assessment.</w:t>
      </w:r>
    </w:p>
    <w:p>
      <w:r>
        <w:rPr>
          <w:rFonts w:ascii="Calibri" w:hAnsi="Calibri" w:eastAsia="Calibri"/>
          <w:b w:val="0"/>
        </w:rPr>
        <w:t>Standards provide process and definitions, not proof of value. Record edition and national annex because both standards and implementation are changing during the project.</w:t>
      </w:r>
    </w:p>
    <w:p>
      <w:pPr>
        <w:pStyle w:val="Heading2"/>
      </w:pPr>
      <w:r>
        <w:rPr>
          <w:rFonts w:ascii="Calibri" w:hAnsi="Calibri" w:eastAsia="Calibri"/>
          <w:b w:val="0"/>
        </w:rPr>
        <w:t>13.5 Climate resilience and stranding risk</w:t>
      </w:r>
    </w:p>
    <w:p>
      <w:r>
        <w:rPr>
          <w:rFonts w:ascii="Calibri" w:hAnsi="Calibri" w:eastAsia="Calibri"/>
          <w:b w:val="0"/>
        </w:rPr>
        <w:t>Boverket identifies heatwaves, heavier precipitation, flooding, landslide/erosion and related effects as material for Swedish built environments. Use SMHI/Boverket scenarios and ISO 14090/14091 principles for risk screening. Distinguish physical climate risk from transition risk.</w:t>
      </w:r>
    </w:p>
    <w:p>
      <w:r>
        <w:rPr>
          <w:rFonts w:ascii="Calibri" w:hAnsi="Calibri" w:eastAsia="Calibri"/>
          <w:b w:val="0"/>
        </w:rPr>
        <w:t>For commercial assets, CRREM translates carbon budgets into annual country/building-type energy and carbon-intensity pathways. The misalignment year can indicate transition exposure, but it is not a full valuation and does not capture embodied carbon or adaptability by itself. Use it alongside capex, use-change and lifecycle scenarios.</w:t>
      </w:r>
    </w:p>
    <w:p>
      <w:pPr>
        <w:pStyle w:val="Heading1"/>
        <w:pageBreakBefore/>
      </w:pPr>
      <w:r>
        <w:rPr>
          <w:rFonts w:ascii="Calibri" w:hAnsi="Calibri" w:eastAsia="Calibri"/>
          <w:b w:val="0"/>
        </w:rPr>
        <w:t>14. Governance, ethics and research quality</w:t>
      </w:r>
    </w:p>
    <w:p>
      <w:pPr>
        <w:pStyle w:val="Heading2"/>
      </w:pPr>
      <w:r>
        <w:rPr>
          <w:rFonts w:ascii="Calibri" w:hAnsi="Calibri" w:eastAsia="Calibri"/>
          <w:b w:val="0"/>
        </w:rPr>
        <w:t>14.1 Governance roles</w:t>
      </w:r>
    </w:p>
    <w:p>
      <w:pPr>
        <w:numPr>
          <w:ilvl w:val="0"/>
          <w:numId w:val="10"/>
        </w:numPr>
      </w:pPr>
      <w:r>
        <w:rPr>
          <w:rFonts w:ascii="Calibri" w:hAnsi="Calibri" w:eastAsia="Calibri"/>
          <w:b/>
        </w:rPr>
        <w:t>CAVF owner:</w:t>
      </w:r>
      <w:r>
        <w:rPr>
          <w:rFonts w:ascii="Calibri" w:hAnsi="Calibri" w:eastAsia="Calibri"/>
          <w:b w:val="0"/>
        </w:rPr>
        <w:t xml:space="preserve"> controls definitions, versions and change log.</w:t>
      </w:r>
    </w:p>
    <w:p>
      <w:pPr>
        <w:numPr>
          <w:ilvl w:val="0"/>
          <w:numId w:val="10"/>
        </w:numPr>
      </w:pPr>
      <w:r>
        <w:rPr>
          <w:rFonts w:ascii="Calibri" w:hAnsi="Calibri" w:eastAsia="Calibri"/>
          <w:b/>
        </w:rPr>
        <w:t>Methods leads:</w:t>
      </w:r>
      <w:r>
        <w:rPr>
          <w:rFonts w:ascii="Calibri" w:hAnsi="Calibri" w:eastAsia="Calibri"/>
          <w:b w:val="0"/>
        </w:rPr>
        <w:t xml:space="preserve"> physical/adaptability, LCA, LCC/finance, social/POE, digital/data and evaluation.</w:t>
      </w:r>
    </w:p>
    <w:p>
      <w:pPr>
        <w:numPr>
          <w:ilvl w:val="0"/>
          <w:numId w:val="10"/>
        </w:numPr>
      </w:pPr>
      <w:r>
        <w:rPr>
          <w:rFonts w:ascii="Calibri" w:hAnsi="Calibri" w:eastAsia="Calibri"/>
          <w:b/>
        </w:rPr>
        <w:t>Case owner:</w:t>
      </w:r>
      <w:r>
        <w:rPr>
          <w:rFonts w:ascii="Calibri" w:hAnsi="Calibri" w:eastAsia="Calibri"/>
          <w:b w:val="0"/>
        </w:rPr>
        <w:t xml:space="preserve"> decision access, baseline quality and implementation record.</w:t>
      </w:r>
    </w:p>
    <w:p>
      <w:pPr>
        <w:numPr>
          <w:ilvl w:val="0"/>
          <w:numId w:val="10"/>
        </w:numPr>
      </w:pPr>
      <w:r>
        <w:rPr>
          <w:rFonts w:ascii="Calibri" w:hAnsi="Calibri" w:eastAsia="Calibri"/>
          <w:b/>
        </w:rPr>
        <w:t>Data steward:</w:t>
      </w:r>
      <w:r>
        <w:rPr>
          <w:rFonts w:ascii="Calibri" w:hAnsi="Calibri" w:eastAsia="Calibri"/>
          <w:b w:val="0"/>
        </w:rPr>
        <w:t xml:space="preserve"> rights, provenance, quality and retention.</w:t>
      </w:r>
    </w:p>
    <w:p>
      <w:pPr>
        <w:numPr>
          <w:ilvl w:val="0"/>
          <w:numId w:val="10"/>
        </w:numPr>
      </w:pPr>
      <w:r>
        <w:rPr>
          <w:rFonts w:ascii="Calibri" w:hAnsi="Calibri" w:eastAsia="Calibri"/>
          <w:b/>
        </w:rPr>
        <w:t>Independent reviewer:</w:t>
      </w:r>
      <w:r>
        <w:rPr>
          <w:rFonts w:ascii="Calibri" w:hAnsi="Calibri" w:eastAsia="Calibri"/>
          <w:b w:val="0"/>
        </w:rPr>
        <w:t xml:space="preserve"> challenges assumptions, allocation, valuation translation and causal claims.</w:t>
      </w:r>
    </w:p>
    <w:p>
      <w:pPr>
        <w:numPr>
          <w:ilvl w:val="0"/>
          <w:numId w:val="10"/>
        </w:numPr>
      </w:pPr>
      <w:r>
        <w:rPr>
          <w:rFonts w:ascii="Calibri" w:hAnsi="Calibri" w:eastAsia="Calibri"/>
          <w:b/>
        </w:rPr>
        <w:t>Stakeholder panel:</w:t>
      </w:r>
      <w:r>
        <w:rPr>
          <w:rFonts w:ascii="Calibri" w:hAnsi="Calibri" w:eastAsia="Calibri"/>
          <w:b w:val="0"/>
        </w:rPr>
        <w:t xml:space="preserve"> users, public actors and value-chain participants, with conflicts documented.</w:t>
      </w:r>
    </w:p>
    <w:p>
      <w:pPr>
        <w:pStyle w:val="Heading2"/>
      </w:pPr>
      <w:r>
        <w:rPr>
          <w:rFonts w:ascii="Calibri" w:hAnsi="Calibri" w:eastAsia="Calibri"/>
          <w:b w:val="0"/>
        </w:rPr>
        <w:t>14.2 Ethics</w:t>
      </w:r>
    </w:p>
    <w:p>
      <w:r>
        <w:rPr>
          <w:rFonts w:ascii="Calibri" w:hAnsi="Calibri" w:eastAsia="Calibri"/>
          <w:b w:val="0"/>
        </w:rPr>
        <w:t>Obtain informed consent for interviews, observation, imaging and sensor studies. Minimize surveillance and protect vulnerable users. Assess whether shared or converted spaces produce exclusion, displacement, unaffordable service or uneven disruption. Publish conflict-of-interest and commercial-data limitations. Participation in a co-design workshop is not consent to public attribution.</w:t>
      </w:r>
    </w:p>
    <w:p>
      <w:pPr>
        <w:pStyle w:val="Heading2"/>
      </w:pPr>
      <w:r>
        <w:rPr>
          <w:rFonts w:ascii="Calibri" w:hAnsi="Calibri" w:eastAsia="Calibri"/>
          <w:b w:val="0"/>
        </w:rPr>
        <w:t>14.3 Reproducibility</w:t>
      </w:r>
    </w:p>
    <w:p>
      <w:pPr>
        <w:numPr>
          <w:ilvl w:val="0"/>
          <w:numId w:val="10"/>
        </w:numPr>
      </w:pPr>
      <w:r>
        <w:rPr>
          <w:rFonts w:ascii="Calibri" w:hAnsi="Calibri" w:eastAsia="Calibri"/>
          <w:b w:val="0"/>
        </w:rPr>
        <w:t>pre-register key hypotheses and outcome definitions;</w:t>
      </w:r>
    </w:p>
    <w:p>
      <w:pPr>
        <w:numPr>
          <w:ilvl w:val="0"/>
          <w:numId w:val="10"/>
        </w:numPr>
      </w:pPr>
      <w:r>
        <w:rPr>
          <w:rFonts w:ascii="Calibri" w:hAnsi="Calibri" w:eastAsia="Calibri"/>
          <w:b w:val="0"/>
        </w:rPr>
        <w:t>retain calculation files/code with version tags;</w:t>
      </w:r>
    </w:p>
    <w:p>
      <w:pPr>
        <w:numPr>
          <w:ilvl w:val="0"/>
          <w:numId w:val="10"/>
        </w:numPr>
      </w:pPr>
      <w:r>
        <w:rPr>
          <w:rFonts w:ascii="Calibri" w:hAnsi="Calibri" w:eastAsia="Calibri"/>
          <w:b w:val="0"/>
        </w:rPr>
        <w:t>use a source and assumption ledger;</w:t>
      </w:r>
    </w:p>
    <w:p>
      <w:pPr>
        <w:numPr>
          <w:ilvl w:val="0"/>
          <w:numId w:val="10"/>
        </w:numPr>
      </w:pPr>
      <w:r>
        <w:rPr>
          <w:rFonts w:ascii="Calibri" w:hAnsi="Calibri" w:eastAsia="Calibri"/>
          <w:b w:val="0"/>
        </w:rPr>
        <w:t>record deviations from the protocol;</w:t>
      </w:r>
    </w:p>
    <w:p>
      <w:pPr>
        <w:numPr>
          <w:ilvl w:val="0"/>
          <w:numId w:val="10"/>
        </w:numPr>
      </w:pPr>
      <w:r>
        <w:rPr>
          <w:rFonts w:ascii="Calibri" w:hAnsi="Calibri" w:eastAsia="Calibri"/>
          <w:b w:val="0"/>
        </w:rPr>
        <w:t>archive input snapshots and model configuration;</w:t>
      </w:r>
    </w:p>
    <w:p>
      <w:pPr>
        <w:numPr>
          <w:ilvl w:val="0"/>
          <w:numId w:val="10"/>
        </w:numPr>
      </w:pPr>
      <w:r>
        <w:rPr>
          <w:rFonts w:ascii="Calibri" w:hAnsi="Calibri" w:eastAsia="Calibri"/>
          <w:b w:val="0"/>
        </w:rPr>
        <w:t>conduct independent replication of selected calculations;</w:t>
      </w:r>
    </w:p>
    <w:p>
      <w:pPr>
        <w:numPr>
          <w:ilvl w:val="0"/>
          <w:numId w:val="10"/>
        </w:numPr>
      </w:pPr>
      <w:r>
        <w:rPr>
          <w:rFonts w:ascii="Calibri" w:hAnsi="Calibri" w:eastAsia="Calibri"/>
          <w:b w:val="0"/>
        </w:rPr>
        <w:t>publish negative and null results; and</w:t>
      </w:r>
    </w:p>
    <w:p>
      <w:pPr>
        <w:numPr>
          <w:ilvl w:val="0"/>
          <w:numId w:val="10"/>
        </w:numPr>
      </w:pPr>
      <w:r>
        <w:rPr>
          <w:rFonts w:ascii="Calibri" w:hAnsi="Calibri" w:eastAsia="Calibri"/>
          <w:b w:val="0"/>
        </w:rPr>
        <w:t>separate evidence, inference and recommendation.</w:t>
      </w:r>
    </w:p>
    <w:p>
      <w:pPr>
        <w:pStyle w:val="Heading2"/>
      </w:pPr>
      <w:r>
        <w:rPr>
          <w:rFonts w:ascii="Calibri" w:hAnsi="Calibri" w:eastAsia="Calibri"/>
          <w:b w:val="0"/>
        </w:rPr>
        <w:t>14.4 Evidence hierarchy</w:t>
      </w:r>
    </w:p>
    <w:p>
      <w:r>
        <w:rPr>
          <w:rFonts w:ascii="Calibri" w:hAnsi="Calibri" w:eastAsia="Calibri"/>
          <w:b w:val="0"/>
        </w:rPr>
        <w:t>Prefer: measured actual performance → verified project records → calibrated simulation → product/project-specific declarations → representative national data → generic conservative data → expert estimate → untested aspiration. The lower the evidence, the wider the range and more cautious the decision claim.</w:t>
      </w:r>
    </w:p>
    <w:p>
      <w:pPr>
        <w:pStyle w:val="Heading1"/>
        <w:pageBreakBefore/>
      </w:pPr>
      <w:r>
        <w:rPr>
          <w:rFonts w:ascii="Calibri" w:hAnsi="Calibri" w:eastAsia="Calibri"/>
          <w:b w:val="0"/>
        </w:rPr>
        <w:t>15. Risks, failure modes and mitigations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400"/>
        <w:gridCol w:w="3660"/>
        <w:gridCol w:w="3300"/>
      </w:tblGrid>
      <w:tr>
        <w:trPr>
          <w:tblHeader w:val="true"/>
        </w:trPr>
        <w:tc>
          <w:tcPr>
            <w:tcW w:type="dxa" w:w="24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Failure mode</w:t>
            </w:r>
          </w:p>
        </w:tc>
        <w:tc>
          <w:tcPr>
            <w:tcW w:type="dxa" w:w="366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Why it matters</w:t>
            </w:r>
          </w:p>
        </w:tc>
        <w:tc>
          <w:tcPr>
            <w:tcW w:type="dxa" w:w="3300"/>
            <w:tcMar>
              <w:top w:w="80" w:type="dxa"/>
              <w:start w:w="120" w:type="dxa"/>
              <w:bottom w:w="80" w:type="dxa"/>
              <w:end w:w="120" w:type="dxa"/>
            </w:tcMar>
            <w:vAlign w:val="top"/>
            <w:shd w:fill="E8EEF5"/>
          </w:tcPr>
          <w:p>
            <w:pPr>
              <w:spacing w:before="0" w:after="40" w:line="252" w:lineRule="auto"/>
            </w:pPr>
            <w:r>
              <w:rPr>
                <w:rFonts w:ascii="Calibri" w:hAnsi="Calibri" w:eastAsia="Calibri"/>
                <w:b/>
                <w:color w:val="0B2545"/>
                <w:sz w:val="17"/>
              </w:rPr>
              <w:t>Mitigation</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Flexibility becomes a vague positive label</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No falsifiable evidence</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operational definitions, scenarios and transformation thresholds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Composite score hides fatal bottleneck</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High average despite impossible conversion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dimension reporting, geometric aggregation and veto thresholds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Upfront carbon/cost ignored</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Overdesign presented as circular</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premium and carbon-payback analysis; S0 no-change scenario</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Double counting benefits</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Inflated business case</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valuation bridge; separate A–D and avoided alternatives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Module D treated as guaranteed credit</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Future market/speculation</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separate scenario, recovery evidence and sensitivity</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Digital twin without decision use</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Expensive data burden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information requirements tied to named decisions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Prototype optimized by its designers</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Non-transferable performance</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independent crew, repeated cycles and documented instructions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Living lab lacks counterfactual</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Weak attribution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conventional comparator, before/after and rival explanations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Stakeholder workshops overstate adoption</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Stated support ≠ changed routines</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observe budgets, briefs, bids, approvals and contracts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Model too complex for owners/valuers</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No adoption</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tiered CAVF: screen, decision brief and advanced analysis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Benefits/costs fall to different actors</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Rational non-adoption</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distribution map and contract/business-model intervention</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One flagship case dominates</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Poor transferability</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common protocol and contrasting replication cases</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Regulatory assumptions freeze</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Results obsolete during 2026–29</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regulatory watch and versioned rules</w:t>
            </w:r>
          </w:p>
        </w:tc>
      </w:tr>
      <w:tr>
        <w:tc>
          <w:tcPr>
            <w:tcW w:type="dxa" w:w="24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Occupancy data breaches trust</w:t>
            </w:r>
          </w:p>
        </w:tc>
        <w:tc>
          <w:tcPr>
            <w:tcW w:type="dxa" w:w="366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Ethical/legal failure</w:t>
            </w:r>
          </w:p>
        </w:tc>
        <w:tc>
          <w:tcPr>
            <w:tcW w:type="dxa" w:w="3300"/>
            <w:tcMar>
              <w:top w:w="80" w:type="dxa"/>
              <w:start w:w="120" w:type="dxa"/>
              <w:bottom w:w="80" w:type="dxa"/>
              <w:end w:w="120" w:type="dxa"/>
            </w:tcMar>
            <w:vAlign w:val="top"/>
            <w:shd w:fill="F2F4F7"/>
          </w:tcPr>
          <w:p>
            <w:pPr>
              <w:spacing w:before="0" w:after="40" w:line="252" w:lineRule="auto"/>
            </w:pPr>
            <w:r>
              <w:rPr>
                <w:rFonts w:ascii="Calibri" w:hAnsi="Calibri" w:eastAsia="Calibri"/>
                <w:b w:val="0"/>
                <w:color w:val="0B2545"/>
                <w:sz w:val="17"/>
              </w:rPr>
              <w:t>privacy by design, aggregation, governance and minimization</w:t>
            </w:r>
          </w:p>
        </w:tc>
      </w:tr>
      <w:tr>
        <w:tc>
          <w:tcPr>
            <w:tcW w:type="dxa" w:w="24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Only positive cases published</w:t>
            </w:r>
          </w:p>
        </w:tc>
        <w:tc>
          <w:tcPr>
            <w:tcW w:type="dxa" w:w="366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Biased framework</w:t>
            </w:r>
          </w:p>
        </w:tc>
        <w:tc>
          <w:tcPr>
            <w:tcW w:type="dxa" w:w="3300"/>
            <w:tcMar>
              <w:top w:w="80" w:type="dxa"/>
              <w:start w:w="120" w:type="dxa"/>
              <w:bottom w:w="80" w:type="dxa"/>
              <w:end w:w="120" w:type="dxa"/>
            </w:tcMar>
            <w:vAlign w:val="top"/>
          </w:tcPr>
          <w:p>
            <w:pPr>
              <w:spacing w:before="0" w:after="40" w:line="252" w:lineRule="auto"/>
            </w:pPr>
            <w:r>
              <w:rPr>
                <w:rFonts w:ascii="Calibri" w:hAnsi="Calibri" w:eastAsia="Calibri"/>
                <w:b w:val="0"/>
                <w:color w:val="0B2545"/>
                <w:sz w:val="17"/>
              </w:rPr>
              <w:t>log null/negative outcomes and non-exercise reasons</w:t>
            </w:r>
          </w:p>
        </w:tc>
      </w:tr>
    </w:tbl>
    <w:p>
      <w:pPr>
        <w:spacing w:after="40"/>
      </w:pPr>
    </w:p>
    <w:p>
      <w:pPr>
        <w:pStyle w:val="Heading1"/>
        <w:pageBreakBefore/>
      </w:pPr>
      <w:r>
        <w:rPr>
          <w:rFonts w:ascii="Calibri" w:hAnsi="Calibri" w:eastAsia="Calibri"/>
          <w:b w:val="0"/>
        </w:rPr>
        <w:t>16. Deliverables and publication programme</w:t>
      </w:r>
    </w:p>
    <w:p>
      <w:pPr>
        <w:pStyle w:val="Heading2"/>
      </w:pPr>
      <w:r>
        <w:rPr>
          <w:rFonts w:ascii="Calibri" w:hAnsi="Calibri" w:eastAsia="Calibri"/>
          <w:b w:val="0"/>
        </w:rPr>
        <w:t>Core practitioner deliverables</w:t>
      </w:r>
    </w:p>
    <w:p>
      <w:pPr>
        <w:numPr>
          <w:ilvl w:val="0"/>
          <w:numId w:val="30"/>
        </w:numPr>
      </w:pPr>
      <w:r>
        <w:rPr>
          <w:rFonts w:ascii="Calibri" w:hAnsi="Calibri" w:eastAsia="Calibri"/>
          <w:b w:val="0"/>
        </w:rPr>
        <w:t>CAVF method manual and tiered workflow.</w:t>
      </w:r>
    </w:p>
    <w:p>
      <w:pPr>
        <w:numPr>
          <w:ilvl w:val="0"/>
          <w:numId w:val="30"/>
        </w:numPr>
      </w:pPr>
      <w:r>
        <w:rPr>
          <w:rFonts w:ascii="Calibri" w:hAnsi="Calibri" w:eastAsia="Calibri"/>
          <w:b w:val="0"/>
        </w:rPr>
        <w:t>Flexibility criteria and evidence dictionary.</w:t>
      </w:r>
    </w:p>
    <w:p>
      <w:pPr>
        <w:numPr>
          <w:ilvl w:val="0"/>
          <w:numId w:val="30"/>
        </w:numPr>
      </w:pPr>
      <w:r>
        <w:rPr>
          <w:rFonts w:ascii="Calibri" w:hAnsi="Calibri" w:eastAsia="Calibri"/>
          <w:b w:val="0"/>
        </w:rPr>
        <w:t>Decision-episode brief and record templates.</w:t>
      </w:r>
    </w:p>
    <w:p>
      <w:pPr>
        <w:numPr>
          <w:ilvl w:val="0"/>
          <w:numId w:val="30"/>
        </w:numPr>
      </w:pPr>
      <w:r>
        <w:rPr>
          <w:rFonts w:ascii="Calibri" w:hAnsi="Calibri" w:eastAsia="Calibri"/>
          <w:b w:val="0"/>
        </w:rPr>
        <w:t>Common case data model, IFC/IDS requirements and data-quality protocol.</w:t>
      </w:r>
    </w:p>
    <w:p>
      <w:pPr>
        <w:numPr>
          <w:ilvl w:val="0"/>
          <w:numId w:val="30"/>
        </w:numPr>
      </w:pPr>
      <w:r>
        <w:rPr>
          <w:rFonts w:ascii="Calibri" w:hAnsi="Calibri" w:eastAsia="Calibri"/>
          <w:b w:val="0"/>
        </w:rPr>
        <w:t>Dynamic LCA/LCC/scenario workbook or transparent software implementation.</w:t>
      </w:r>
    </w:p>
    <w:p>
      <w:pPr>
        <w:numPr>
          <w:ilvl w:val="0"/>
          <w:numId w:val="30"/>
        </w:numPr>
      </w:pPr>
      <w:r>
        <w:rPr>
          <w:rFonts w:ascii="Calibri" w:hAnsi="Calibri" w:eastAsia="Calibri"/>
          <w:b w:val="0"/>
        </w:rPr>
        <w:t>Property-valuation translation bridge.</w:t>
      </w:r>
    </w:p>
    <w:p>
      <w:pPr>
        <w:numPr>
          <w:ilvl w:val="0"/>
          <w:numId w:val="30"/>
        </w:numPr>
      </w:pPr>
      <w:r>
        <w:rPr>
          <w:rFonts w:ascii="Calibri" w:hAnsi="Calibri" w:eastAsia="Calibri"/>
          <w:b w:val="0"/>
        </w:rPr>
        <w:t>Real-options module with worked examples and limits.</w:t>
      </w:r>
    </w:p>
    <w:p>
      <w:pPr>
        <w:numPr>
          <w:ilvl w:val="0"/>
          <w:numId w:val="30"/>
        </w:numPr>
      </w:pPr>
      <w:r>
        <w:rPr>
          <w:rFonts w:ascii="Calibri" w:hAnsi="Calibri" w:eastAsia="Calibri"/>
          <w:b w:val="0"/>
        </w:rPr>
        <w:t>Prototype and transformation test protocol.</w:t>
      </w:r>
    </w:p>
    <w:p>
      <w:pPr>
        <w:numPr>
          <w:ilvl w:val="0"/>
          <w:numId w:val="30"/>
        </w:numPr>
      </w:pPr>
      <w:r>
        <w:rPr>
          <w:rFonts w:ascii="Calibri" w:hAnsi="Calibri" w:eastAsia="Calibri"/>
          <w:b w:val="0"/>
        </w:rPr>
        <w:t>POE/shared-use protocol.</w:t>
      </w:r>
    </w:p>
    <w:p>
      <w:pPr>
        <w:numPr>
          <w:ilvl w:val="0"/>
          <w:numId w:val="30"/>
        </w:numPr>
      </w:pPr>
      <w:r>
        <w:rPr>
          <w:rFonts w:ascii="Calibri" w:hAnsi="Calibri" w:eastAsia="Calibri"/>
          <w:b w:val="0"/>
        </w:rPr>
        <w:t>Procurement criteria, clauses and verification plan.</w:t>
      </w:r>
    </w:p>
    <w:p>
      <w:pPr>
        <w:numPr>
          <w:ilvl w:val="0"/>
          <w:numId w:val="30"/>
        </w:numPr>
      </w:pPr>
      <w:r>
        <w:rPr>
          <w:rFonts w:ascii="Calibri" w:hAnsi="Calibri" w:eastAsia="Calibri"/>
          <w:b w:val="0"/>
        </w:rPr>
        <w:t>Business-model and value-distribution canvas.</w:t>
      </w:r>
    </w:p>
    <w:p>
      <w:pPr>
        <w:numPr>
          <w:ilvl w:val="0"/>
          <w:numId w:val="30"/>
        </w:numPr>
      </w:pPr>
      <w:r>
        <w:rPr>
          <w:rFonts w:ascii="Calibri" w:hAnsi="Calibri" w:eastAsia="Calibri"/>
          <w:b w:val="0"/>
        </w:rPr>
        <w:t>Case atlas and replication guide.</w:t>
      </w:r>
    </w:p>
    <w:p>
      <w:pPr>
        <w:pStyle w:val="Heading2"/>
      </w:pPr>
      <w:r>
        <w:rPr>
          <w:rFonts w:ascii="Calibri" w:hAnsi="Calibri" w:eastAsia="Calibri"/>
          <w:b w:val="0"/>
        </w:rPr>
        <w:t>Suggested academic outputs</w:t>
      </w:r>
    </w:p>
    <w:p>
      <w:pPr>
        <w:numPr>
          <w:ilvl w:val="0"/>
          <w:numId w:val="10"/>
        </w:numPr>
      </w:pPr>
      <w:r>
        <w:rPr>
          <w:rFonts w:ascii="Calibri" w:hAnsi="Calibri" w:eastAsia="Calibri"/>
          <w:b w:val="0"/>
        </w:rPr>
        <w:t>systematic/conceptual paper on built-environment flexibility taxonomy;</w:t>
      </w:r>
    </w:p>
    <w:p>
      <w:pPr>
        <w:numPr>
          <w:ilvl w:val="0"/>
          <w:numId w:val="10"/>
        </w:numPr>
      </w:pPr>
      <w:r>
        <w:rPr>
          <w:rFonts w:ascii="Calibri" w:hAnsi="Calibri" w:eastAsia="Calibri"/>
          <w:b w:val="0"/>
        </w:rPr>
        <w:t>methods paper on scenario-linked adaptability and lifecycle assessment;</w:t>
      </w:r>
    </w:p>
    <w:p>
      <w:pPr>
        <w:numPr>
          <w:ilvl w:val="0"/>
          <w:numId w:val="10"/>
        </w:numPr>
      </w:pPr>
      <w:r>
        <w:rPr>
          <w:rFonts w:ascii="Calibri" w:hAnsi="Calibri" w:eastAsia="Calibri"/>
          <w:b w:val="0"/>
        </w:rPr>
        <w:t>finance paper on real-option and valuation translation;</w:t>
      </w:r>
    </w:p>
    <w:p>
      <w:pPr>
        <w:numPr>
          <w:ilvl w:val="0"/>
          <w:numId w:val="10"/>
        </w:numPr>
      </w:pPr>
      <w:r>
        <w:rPr>
          <w:rFonts w:ascii="Calibri" w:hAnsi="Calibri" w:eastAsia="Calibri"/>
          <w:b w:val="0"/>
        </w:rPr>
        <w:t>digital methods paper on decision-led twins/logbooks/passports;</w:t>
      </w:r>
    </w:p>
    <w:p>
      <w:pPr>
        <w:numPr>
          <w:ilvl w:val="0"/>
          <w:numId w:val="10"/>
        </w:numPr>
      </w:pPr>
      <w:r>
        <w:rPr>
          <w:rFonts w:ascii="Calibri" w:hAnsi="Calibri" w:eastAsia="Calibri"/>
          <w:b w:val="0"/>
        </w:rPr>
        <w:t>living-lab paper on decision episodes and institutional change;</w:t>
      </w:r>
    </w:p>
    <w:p>
      <w:pPr>
        <w:numPr>
          <w:ilvl w:val="0"/>
          <w:numId w:val="10"/>
        </w:numPr>
      </w:pPr>
      <w:r>
        <w:rPr>
          <w:rFonts w:ascii="Calibri" w:hAnsi="Calibri" w:eastAsia="Calibri"/>
          <w:b w:val="0"/>
        </w:rPr>
        <w:t>comparative case paper on public/private adoption mechanisms; and</w:t>
      </w:r>
    </w:p>
    <w:p>
      <w:pPr>
        <w:numPr>
          <w:ilvl w:val="0"/>
          <w:numId w:val="10"/>
        </w:numPr>
      </w:pPr>
      <w:r>
        <w:rPr>
          <w:rFonts w:ascii="Calibri" w:hAnsi="Calibri" w:eastAsia="Calibri"/>
          <w:b w:val="0"/>
        </w:rPr>
        <w:t>social/use-value paper on shared and adaptive public space.</w:t>
      </w:r>
    </w:p>
    <w:p>
      <w:pPr>
        <w:pStyle w:val="Heading2"/>
      </w:pPr>
      <w:r>
        <w:rPr>
          <w:rFonts w:ascii="Calibri" w:hAnsi="Calibri" w:eastAsia="Calibri"/>
          <w:b w:val="0"/>
        </w:rPr>
        <w:t>Reporting cadence</w:t>
      </w:r>
    </w:p>
    <w:p>
      <w:pPr>
        <w:numPr>
          <w:ilvl w:val="0"/>
          <w:numId w:val="10"/>
        </w:numPr>
      </w:pPr>
      <w:r>
        <w:rPr>
          <w:rFonts w:ascii="Calibri" w:hAnsi="Calibri" w:eastAsia="Calibri"/>
          <w:b w:val="0"/>
        </w:rPr>
        <w:t>quarterly evidence and risk review;</w:t>
      </w:r>
    </w:p>
    <w:p>
      <w:pPr>
        <w:numPr>
          <w:ilvl w:val="0"/>
          <w:numId w:val="10"/>
        </w:numPr>
      </w:pPr>
      <w:r>
        <w:rPr>
          <w:rFonts w:ascii="Calibri" w:hAnsi="Calibri" w:eastAsia="Calibri"/>
          <w:b w:val="0"/>
        </w:rPr>
        <w:t>six-month methods/version release;</w:t>
      </w:r>
    </w:p>
    <w:p>
      <w:pPr>
        <w:numPr>
          <w:ilvl w:val="0"/>
          <w:numId w:val="10"/>
        </w:numPr>
      </w:pPr>
      <w:r>
        <w:rPr>
          <w:rFonts w:ascii="Calibri" w:hAnsi="Calibri" w:eastAsia="Calibri"/>
          <w:b w:val="0"/>
        </w:rPr>
        <w:t>annual cross-case synthesis;</w:t>
      </w:r>
    </w:p>
    <w:p>
      <w:pPr>
        <w:numPr>
          <w:ilvl w:val="0"/>
          <w:numId w:val="10"/>
        </w:numPr>
      </w:pPr>
      <w:r>
        <w:rPr>
          <w:rFonts w:ascii="Calibri" w:hAnsi="Calibri" w:eastAsia="Calibri"/>
          <w:b w:val="0"/>
        </w:rPr>
        <w:t>public methods before final success claims; and</w:t>
      </w:r>
    </w:p>
    <w:p>
      <w:pPr>
        <w:numPr>
          <w:ilvl w:val="0"/>
          <w:numId w:val="10"/>
        </w:numPr>
      </w:pPr>
      <w:r>
        <w:rPr>
          <w:rFonts w:ascii="Calibri" w:hAnsi="Calibri" w:eastAsia="Calibri"/>
          <w:b w:val="0"/>
        </w:rPr>
        <w:t>post-project check at 12 and 36 months where partners can support it.</w:t>
      </w:r>
    </w:p>
    <w:p>
      <w:pPr>
        <w:pStyle w:val="Heading1"/>
        <w:pageBreakBefore/>
      </w:pPr>
      <w:r>
        <w:rPr>
          <w:rFonts w:ascii="Calibri" w:hAnsi="Calibri" w:eastAsia="Calibri"/>
          <w:b w:val="0"/>
        </w:rPr>
        <w:t>17. Minimum templates</w:t>
      </w:r>
    </w:p>
    <w:p>
      <w:pPr>
        <w:pStyle w:val="Heading2"/>
      </w:pPr>
      <w:r>
        <w:rPr>
          <w:rFonts w:ascii="Calibri" w:hAnsi="Calibri" w:eastAsia="Calibri"/>
          <w:b w:val="0"/>
        </w:rPr>
        <w:t>17.1 Decision episode record</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400"/>
        <w:gridCol w:w="5960"/>
      </w:tblGrid>
      <w:tr>
        <w:trPr>
          <w:tblHeader w:val="true"/>
        </w:trPr>
        <w:tc>
          <w:tcPr>
            <w:tcW w:type="dxa" w:w="340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Field</w:t>
            </w:r>
          </w:p>
        </w:tc>
        <w:tc>
          <w:tcPr>
            <w:tcW w:type="dxa" w:w="596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Working entry</w:t>
            </w: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Decision</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Decision-maker and authority</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Decision date/gates</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Alternatives considered</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Service and constraints</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Conventional evidence/criteria</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CAVF evidence introduced</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Uncertainty and conflicts</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Decision and rationale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What changed because of CAVF</w:t>
            </w:r>
          </w:p>
        </w:tc>
        <w:tc>
          <w:tcPr>
            <w:tcW w:type="dxa" w:w="596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none / information / scope / design / timing / procurement / approval / financing</w:t>
            </w: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Follow-up trigger and owner</w:t>
            </w:r>
          </w:p>
        </w:tc>
        <w:tc>
          <w:tcPr>
            <w:tcW w:type="dxa" w:w="5960"/>
            <w:tcMar>
              <w:top w:w="40" w:type="dxa"/>
              <w:start w:w="120" w:type="dxa"/>
              <w:bottom w:w="40" w:type="dxa"/>
              <w:end w:w="120" w:type="dxa"/>
            </w:tcMar>
            <w:vAlign w:val="top"/>
          </w:tcPr>
          <w:p>
            <w:pPr>
              <w:spacing w:before="0" w:after="0" w:line="240" w:lineRule="auto"/>
            </w:pPr>
          </w:p>
        </w:tc>
      </w:tr>
    </w:tbl>
    <w:p>
      <w:pPr>
        <w:spacing w:after="40"/>
      </w:pPr>
    </w:p>
    <w:p>
      <w:pPr>
        <w:pStyle w:val="Heading2"/>
      </w:pPr>
      <w:r>
        <w:rPr>
          <w:rFonts w:ascii="Calibri" w:hAnsi="Calibri" w:eastAsia="Calibri"/>
          <w:b w:val="0"/>
        </w:rPr>
        <w:t>17.2 Scenario card</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400"/>
        <w:gridCol w:w="5960"/>
      </w:tblGrid>
      <w:tr>
        <w:trPr>
          <w:tblHeader w:val="true"/>
        </w:trPr>
        <w:tc>
          <w:tcPr>
            <w:tcW w:type="dxa" w:w="340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Field</w:t>
            </w:r>
          </w:p>
        </w:tc>
        <w:tc>
          <w:tcPr>
            <w:tcW w:type="dxa" w:w="596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Working entry</w:t>
            </w: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Name and narrative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Drivers</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Time path and trigger</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Probability/range or plausibility</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Required building/service response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Option exercised</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Rigid counterfactual</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Signposts to monitor</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Key uncertain inputs</w:t>
            </w:r>
          </w:p>
        </w:tc>
        <w:tc>
          <w:tcPr>
            <w:tcW w:type="dxa" w:w="5960"/>
            <w:tcMar>
              <w:top w:w="40" w:type="dxa"/>
              <w:start w:w="120" w:type="dxa"/>
              <w:bottom w:w="40" w:type="dxa"/>
              <w:end w:w="120" w:type="dxa"/>
            </w:tcMar>
            <w:vAlign w:val="top"/>
          </w:tcPr>
          <w:p>
            <w:pPr>
              <w:spacing w:before="0" w:after="0" w:line="240" w:lineRule="auto"/>
            </w:pPr>
          </w:p>
        </w:tc>
      </w:tr>
    </w:tbl>
    <w:p>
      <w:pPr>
        <w:spacing w:after="40"/>
      </w:pPr>
    </w:p>
    <w:p>
      <w:pPr>
        <w:pStyle w:val="Heading2"/>
        <w:pageBreakBefore/>
      </w:pPr>
      <w:r>
        <w:rPr>
          <w:rFonts w:ascii="Calibri" w:hAnsi="Calibri" w:eastAsia="Calibri"/>
          <w:b w:val="0"/>
        </w:rPr>
        <w:t>17.3 Flexibility evidence row</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400"/>
        <w:gridCol w:w="5960"/>
      </w:tblGrid>
      <w:tr>
        <w:trPr>
          <w:tblHeader w:val="true"/>
        </w:trPr>
        <w:tc>
          <w:tcPr>
            <w:tcW w:type="dxa" w:w="340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Field</w:t>
            </w:r>
          </w:p>
        </w:tc>
        <w:tc>
          <w:tcPr>
            <w:tcW w:type="dxa" w:w="596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Working entry</w:t>
            </w: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Criterion and dimension</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Physical fact</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Enabled change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Score 0–4</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Evidence/verification</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Confidence A–D</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Dependency/bottleneck</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Transformation time/cost/disruption/carbon</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Update event and owner</w:t>
            </w:r>
          </w:p>
        </w:tc>
        <w:tc>
          <w:tcPr>
            <w:tcW w:type="dxa" w:w="5960"/>
            <w:tcMar>
              <w:top w:w="40" w:type="dxa"/>
              <w:start w:w="120" w:type="dxa"/>
              <w:bottom w:w="40" w:type="dxa"/>
              <w:end w:w="120" w:type="dxa"/>
            </w:tcMar>
            <w:vAlign w:val="top"/>
          </w:tcPr>
          <w:p>
            <w:pPr>
              <w:spacing w:before="0" w:after="0" w:line="240" w:lineRule="auto"/>
            </w:pPr>
          </w:p>
        </w:tc>
      </w:tr>
    </w:tbl>
    <w:p>
      <w:pPr>
        <w:spacing w:after="40"/>
      </w:pPr>
    </w:p>
    <w:p>
      <w:pPr>
        <w:pStyle w:val="Heading2"/>
      </w:pPr>
      <w:r>
        <w:rPr>
          <w:rFonts w:ascii="Calibri" w:hAnsi="Calibri" w:eastAsia="Calibri"/>
          <w:b w:val="0"/>
        </w:rPr>
        <w:t>17.4 Valuation bridge row</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400"/>
        <w:gridCol w:w="5960"/>
      </w:tblGrid>
      <w:tr>
        <w:trPr>
          <w:tblHeader w:val="true"/>
        </w:trPr>
        <w:tc>
          <w:tcPr>
            <w:tcW w:type="dxa" w:w="340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Field</w:t>
            </w:r>
          </w:p>
        </w:tc>
        <w:tc>
          <w:tcPr>
            <w:tcW w:type="dxa" w:w="5960"/>
            <w:tcMar>
              <w:top w:w="40" w:type="dxa"/>
              <w:start w:w="120" w:type="dxa"/>
              <w:bottom w:w="40" w:type="dxa"/>
              <w:end w:w="120" w:type="dxa"/>
            </w:tcMar>
            <w:vAlign w:val="top"/>
            <w:shd w:fill="E8EEF5"/>
          </w:tcPr>
          <w:p>
            <w:pPr>
              <w:spacing w:before="0" w:after="0" w:line="240" w:lineRule="auto"/>
            </w:pPr>
            <w:r>
              <w:rPr>
                <w:rFonts w:ascii="Calibri" w:hAnsi="Calibri" w:eastAsia="Calibri"/>
                <w:b/>
                <w:color w:val="0B2545"/>
                <w:sz w:val="16"/>
              </w:rPr>
              <w:t>Working entry</w:t>
            </w: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Physical/operational evidence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Scenario and mechanism</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Cash-flow/risk variable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Direction and magnitude</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Market/case/hypothetical evidence</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Double-count check</w:t>
            </w:r>
          </w:p>
        </w:tc>
        <w:tc>
          <w:tcPr>
            <w:tcW w:type="dxa" w:w="5960"/>
            <w:tcMar>
              <w:top w:w="40" w:type="dxa"/>
              <w:start w:w="120" w:type="dxa"/>
              <w:bottom w:w="40" w:type="dxa"/>
              <w:end w:w="120" w:type="dxa"/>
            </w:tcMar>
            <w:vAlign w:val="top"/>
            <w:shd w:fill="F2F4F7"/>
          </w:tcPr>
          <w:p>
            <w:pPr>
              <w:spacing w:before="0" w:after="0" w:line="240" w:lineRule="auto"/>
            </w:pPr>
          </w:p>
        </w:tc>
      </w:tr>
      <w:tr>
        <w:tc>
          <w:tcPr>
            <w:tcW w:type="dxa" w:w="3400"/>
            <w:tcMar>
              <w:top w:w="40" w:type="dxa"/>
              <w:start w:w="120" w:type="dxa"/>
              <w:bottom w:w="40" w:type="dxa"/>
              <w:end w:w="120" w:type="dxa"/>
            </w:tcMar>
            <w:vAlign w:val="top"/>
          </w:tcPr>
          <w:p>
            <w:pPr>
              <w:spacing w:before="0" w:after="0" w:line="240" w:lineRule="auto"/>
            </w:pPr>
            <w:r>
              <w:rPr>
                <w:rFonts w:ascii="Calibri" w:hAnsi="Calibri" w:eastAsia="Calibri"/>
                <w:b w:val="0"/>
                <w:color w:val="0B2545"/>
                <w:sz w:val="16"/>
              </w:rPr>
              <w:t>Sensitivity</w:t>
            </w:r>
          </w:p>
        </w:tc>
        <w:tc>
          <w:tcPr>
            <w:tcW w:type="dxa" w:w="5960"/>
            <w:tcMar>
              <w:top w:w="40" w:type="dxa"/>
              <w:start w:w="120" w:type="dxa"/>
              <w:bottom w:w="40" w:type="dxa"/>
              <w:end w:w="120" w:type="dxa"/>
            </w:tcMar>
            <w:vAlign w:val="top"/>
          </w:tcPr>
          <w:p>
            <w:pPr>
              <w:spacing w:before="0" w:after="0" w:line="240" w:lineRule="auto"/>
            </w:pPr>
          </w:p>
        </w:tc>
      </w:tr>
      <w:tr>
        <w:tc>
          <w:tcPr>
            <w:tcW w:type="dxa" w:w="3400"/>
            <w:tcMar>
              <w:top w:w="40" w:type="dxa"/>
              <w:start w:w="120" w:type="dxa"/>
              <w:bottom w:w="40" w:type="dxa"/>
              <w:end w:w="120" w:type="dxa"/>
            </w:tcMar>
            <w:vAlign w:val="top"/>
            <w:shd w:fill="F2F4F7"/>
          </w:tcPr>
          <w:p>
            <w:pPr>
              <w:spacing w:before="0" w:after="0" w:line="240" w:lineRule="auto"/>
            </w:pPr>
            <w:r>
              <w:rPr>
                <w:rFonts w:ascii="Calibri" w:hAnsi="Calibri" w:eastAsia="Calibri"/>
                <w:b w:val="0"/>
                <w:color w:val="0B2545"/>
                <w:sz w:val="16"/>
              </w:rPr>
              <w:t>Valuer review</w:t>
            </w:r>
          </w:p>
        </w:tc>
        <w:tc>
          <w:tcPr>
            <w:tcW w:type="dxa" w:w="5960"/>
            <w:tcMar>
              <w:top w:w="40" w:type="dxa"/>
              <w:start w:w="120" w:type="dxa"/>
              <w:bottom w:w="40" w:type="dxa"/>
              <w:end w:w="120" w:type="dxa"/>
            </w:tcMar>
            <w:vAlign w:val="top"/>
            <w:shd w:fill="F2F4F7"/>
          </w:tcPr>
          <w:p>
            <w:pPr>
              <w:spacing w:before="0" w:after="0" w:line="240" w:lineRule="auto"/>
            </w:pPr>
          </w:p>
        </w:tc>
      </w:tr>
    </w:tbl>
    <w:p>
      <w:pPr>
        <w:spacing w:after="40"/>
      </w:pPr>
    </w:p>
    <w:p>
      <w:pPr>
        <w:pStyle w:val="Heading1"/>
        <w:pageBreakBefore/>
      </w:pPr>
      <w:r>
        <w:rPr>
          <w:rFonts w:ascii="Calibri" w:hAnsi="Calibri" w:eastAsia="Calibri"/>
          <w:b w:val="0"/>
        </w:rPr>
        <w:t>18. Recommended reading and source base</w:t>
      </w:r>
    </w:p>
    <w:p>
      <w:pPr>
        <w:pStyle w:val="Heading2"/>
      </w:pPr>
      <w:r>
        <w:rPr>
          <w:rFonts w:ascii="Calibri" w:hAnsi="Calibri" w:eastAsia="Calibri"/>
          <w:b w:val="0"/>
        </w:rPr>
        <w:t>Adaptability, flexibility and circular design</w:t>
      </w:r>
    </w:p>
    <w:p>
      <w:pPr>
        <w:numPr>
          <w:ilvl w:val="0"/>
          <w:numId w:val="10"/>
        </w:numPr>
      </w:pPr>
      <w:r>
        <w:rPr>
          <w:rFonts w:ascii="Calibri" w:hAnsi="Calibri" w:eastAsia="Calibri"/>
          <w:b w:val="0"/>
        </w:rPr>
        <w:t xml:space="preserve">Mlote, D. S., Budig, M. and Cheah, L. (2024). “Adaptability of buildings: a systematic review of current research.” Frontiers in Built Environment, 10, 1376759. </w:t>
      </w:r>
      <w:hyperlink r:id="rId11">
        <w:r>
          <w:rPr>
            <w:color w:val="2E74B5"/>
            <w:u w:val="single"/>
            <w:rFonts w:ascii="Calibri" w:hAnsi="Calibri"/>
          </w:rPr>
          <w:t>https://doi.org/10.3389/fbuil.2024.1376759</w:t>
        </w:r>
      </w:hyperlink>
    </w:p>
    <w:p>
      <w:pPr>
        <w:numPr>
          <w:ilvl w:val="0"/>
          <w:numId w:val="10"/>
        </w:numPr>
      </w:pPr>
      <w:r>
        <w:rPr>
          <w:rFonts w:ascii="Calibri" w:hAnsi="Calibri" w:eastAsia="Calibri"/>
          <w:b w:val="0"/>
        </w:rPr>
        <w:t xml:space="preserve">Pinder, J. et al. (2017). “What is meant by adaptability in buildings?” Facilities, 35(1/2), 2–20. </w:t>
      </w:r>
      <w:hyperlink r:id="rId12">
        <w:r>
          <w:rPr>
            <w:color w:val="2E74B5"/>
            <w:u w:val="single"/>
            <w:rFonts w:ascii="Calibri" w:hAnsi="Calibri"/>
          </w:rPr>
          <w:t>https://doi.org/10.1108/F-07-2015-0053</w:t>
        </w:r>
      </w:hyperlink>
    </w:p>
    <w:p>
      <w:pPr>
        <w:numPr>
          <w:ilvl w:val="0"/>
          <w:numId w:val="10"/>
        </w:numPr>
      </w:pPr>
      <w:r>
        <w:rPr>
          <w:rFonts w:ascii="Calibri" w:hAnsi="Calibri" w:eastAsia="Calibri"/>
          <w:b w:val="0"/>
        </w:rPr>
        <w:t xml:space="preserve">Askar, R., Bragança, L. and Gervásio, H. (2021). “Adaptability of Buildings: A Critical Review on the Concept Evolution.” Applied Sciences, 11, 4483. </w:t>
      </w:r>
      <w:hyperlink r:id="rId13">
        <w:r>
          <w:rPr>
            <w:color w:val="2E74B5"/>
            <w:u w:val="single"/>
            <w:rFonts w:ascii="Calibri" w:hAnsi="Calibri"/>
          </w:rPr>
          <w:t>https://doi.org/10.3390/app11104483</w:t>
        </w:r>
      </w:hyperlink>
    </w:p>
    <w:p>
      <w:pPr>
        <w:numPr>
          <w:ilvl w:val="0"/>
          <w:numId w:val="10"/>
        </w:numPr>
      </w:pPr>
      <w:r>
        <w:rPr>
          <w:rFonts w:ascii="Calibri" w:hAnsi="Calibri" w:eastAsia="Calibri"/>
          <w:b w:val="0"/>
        </w:rPr>
        <w:t xml:space="preserve">Rockow, Z. R., Ross, B. E. and Black, A. K. (2019). “Review of methods for evaluating adaptability of buildings.” International Journal of Building Pathology and Adaptation, 37(3), 273–287. </w:t>
      </w:r>
      <w:hyperlink r:id="rId14">
        <w:r>
          <w:rPr>
            <w:color w:val="2E74B5"/>
            <w:u w:val="single"/>
            <w:rFonts w:ascii="Calibri" w:hAnsi="Calibri"/>
          </w:rPr>
          <w:t>https://doi.org/10.1108/IJBPA-01-2018-0013</w:t>
        </w:r>
      </w:hyperlink>
    </w:p>
    <w:p>
      <w:pPr>
        <w:numPr>
          <w:ilvl w:val="0"/>
          <w:numId w:val="10"/>
        </w:numPr>
      </w:pPr>
      <w:r>
        <w:rPr>
          <w:rFonts w:ascii="Calibri" w:hAnsi="Calibri" w:eastAsia="Calibri"/>
          <w:b w:val="0"/>
        </w:rPr>
        <w:t xml:space="preserve">Slaughter, E. S. (2001). “Design strategies to increase building flexibility.” Building Research &amp; Information, 29(3), 208–217. </w:t>
      </w:r>
      <w:hyperlink r:id="rId15">
        <w:r>
          <w:rPr>
            <w:color w:val="2E74B5"/>
            <w:u w:val="single"/>
            <w:rFonts w:ascii="Calibri" w:hAnsi="Calibri"/>
          </w:rPr>
          <w:t>https://doi.org/10.1080/09613210010027693</w:t>
        </w:r>
      </w:hyperlink>
    </w:p>
    <w:p>
      <w:pPr>
        <w:numPr>
          <w:ilvl w:val="0"/>
          <w:numId w:val="10"/>
        </w:numPr>
      </w:pPr>
      <w:r>
        <w:rPr>
          <w:rFonts w:ascii="Calibri" w:hAnsi="Calibri" w:eastAsia="Calibri"/>
          <w:b w:val="0"/>
        </w:rPr>
        <w:t xml:space="preserve">Geraedts, R. (2016). “FLEX 4.0: A Practical Instrument to Assess the Adaptive Capacity of Buildings.” Energy Procedia, 96, 568–579. </w:t>
      </w:r>
      <w:hyperlink r:id="rId16">
        <w:r>
          <w:rPr>
            <w:color w:val="2E74B5"/>
            <w:u w:val="single"/>
            <w:rFonts w:ascii="Calibri" w:hAnsi="Calibri"/>
          </w:rPr>
          <w:t>https://doi.org/10.1016/j.egypro.2016.09.102</w:t>
        </w:r>
      </w:hyperlink>
    </w:p>
    <w:p>
      <w:pPr>
        <w:numPr>
          <w:ilvl w:val="0"/>
          <w:numId w:val="10"/>
        </w:numPr>
      </w:pPr>
      <w:r>
        <w:rPr>
          <w:rFonts w:ascii="Calibri" w:hAnsi="Calibri" w:eastAsia="Calibri"/>
          <w:b w:val="0"/>
        </w:rPr>
        <w:t>Habraken, N. J. (1972 English edition). Supports: An Alternative to Mass Housing. Architectural Press.</w:t>
      </w:r>
    </w:p>
    <w:p>
      <w:pPr>
        <w:numPr>
          <w:ilvl w:val="0"/>
          <w:numId w:val="10"/>
        </w:numPr>
      </w:pPr>
      <w:r>
        <w:rPr>
          <w:rFonts w:ascii="Calibri" w:hAnsi="Calibri" w:eastAsia="Calibri"/>
          <w:b w:val="0"/>
        </w:rPr>
        <w:t>Brand, S. (1994). How Buildings Learn: What Happens After They’re Built. Viking.</w:t>
      </w:r>
    </w:p>
    <w:p>
      <w:pPr>
        <w:numPr>
          <w:ilvl w:val="0"/>
          <w:numId w:val="10"/>
        </w:numPr>
      </w:pPr>
      <w:r>
        <w:rPr>
          <w:rFonts w:ascii="Calibri" w:hAnsi="Calibri" w:eastAsia="Calibri"/>
          <w:b w:val="0"/>
        </w:rPr>
        <w:t xml:space="preserve">ISO (2020, confirmed 2025). ISO 20887:2020, Sustainability in buildings and civil engineering works — Design for disassembly and adaptability. </w:t>
      </w:r>
      <w:hyperlink r:id="rId17">
        <w:r>
          <w:rPr>
            <w:color w:val="2E74B5"/>
            <w:u w:val="single"/>
            <w:rFonts w:ascii="Calibri" w:hAnsi="Calibri"/>
          </w:rPr>
          <w:t>https://www.iso.org/standard/69370.html</w:t>
        </w:r>
      </w:hyperlink>
    </w:p>
    <w:p>
      <w:pPr>
        <w:numPr>
          <w:ilvl w:val="0"/>
          <w:numId w:val="10"/>
        </w:numPr>
      </w:pPr>
      <w:r>
        <w:rPr>
          <w:rFonts w:ascii="Calibri" w:hAnsi="Calibri" w:eastAsia="Calibri"/>
          <w:b w:val="0"/>
        </w:rPr>
        <w:t xml:space="preserve">European Commission JRC (2021). Level(s) Indicator 2.3: Design for adaptability and renovation, version 1.1. </w:t>
      </w:r>
      <w:hyperlink r:id="rId18">
        <w:r>
          <w:rPr>
            <w:color w:val="2E74B5"/>
            <w:u w:val="single"/>
            <w:rFonts w:ascii="Calibri" w:hAnsi="Calibri"/>
          </w:rPr>
          <w:t>https://susproc.jrc.ec.europa.eu/product-bureau/sites/default/files/2021-01/UM3_Indicator_2.3_v1.1_23pp.pdf</w:t>
        </w:r>
      </w:hyperlink>
    </w:p>
    <w:p>
      <w:pPr>
        <w:numPr>
          <w:ilvl w:val="0"/>
          <w:numId w:val="10"/>
        </w:numPr>
      </w:pPr>
      <w:r>
        <w:rPr>
          <w:rFonts w:ascii="Calibri" w:hAnsi="Calibri" w:eastAsia="Calibri"/>
          <w:b w:val="0"/>
        </w:rPr>
        <w:t xml:space="preserve">European Commission JRC (2021). Level(s) Indicator 2.4: Design for deconstruction, version 2.0. </w:t>
      </w:r>
      <w:hyperlink r:id="rId19">
        <w:r>
          <w:rPr>
            <w:color w:val="2E74B5"/>
            <w:u w:val="single"/>
            <w:rFonts w:ascii="Calibri" w:hAnsi="Calibri"/>
          </w:rPr>
          <w:t>https://susproc.jrc.ec.europa.eu/product-bureau/sites/default/files/2021-11/UM3_Indicator_2.4_v.2.0_clean_20.07.2021.pdf</w:t>
        </w:r>
      </w:hyperlink>
    </w:p>
    <w:p>
      <w:pPr>
        <w:numPr>
          <w:ilvl w:val="0"/>
          <w:numId w:val="10"/>
        </w:numPr>
      </w:pPr>
      <w:r>
        <w:rPr>
          <w:rFonts w:ascii="Calibri" w:hAnsi="Calibri" w:eastAsia="Calibri"/>
          <w:b w:val="0"/>
        </w:rPr>
        <w:t xml:space="preserve">European Commission, BAMB project record. </w:t>
      </w:r>
      <w:hyperlink r:id="rId20">
        <w:r>
          <w:rPr>
            <w:color w:val="2E74B5"/>
            <w:u w:val="single"/>
            <w:rFonts w:ascii="Calibri" w:hAnsi="Calibri"/>
          </w:rPr>
          <w:t>https://cordis.europa.eu/project/id/642384</w:t>
        </w:r>
      </w:hyperlink>
    </w:p>
    <w:p>
      <w:pPr>
        <w:pStyle w:val="Heading2"/>
      </w:pPr>
      <w:r>
        <w:rPr>
          <w:rFonts w:ascii="Calibri" w:hAnsi="Calibri" w:eastAsia="Calibri"/>
          <w:b w:val="0"/>
        </w:rPr>
        <w:t>Lifecycle, cost, value and uncertainty</w:t>
      </w:r>
    </w:p>
    <w:p>
      <w:pPr>
        <w:numPr>
          <w:ilvl w:val="0"/>
          <w:numId w:val="10"/>
        </w:numPr>
      </w:pPr>
      <w:r>
        <w:rPr>
          <w:rFonts w:ascii="Calibri" w:hAnsi="Calibri" w:eastAsia="Calibri"/>
          <w:b w:val="0"/>
        </w:rPr>
        <w:t xml:space="preserve">European Commission JRC (2021). Level(s) Indicator 6.1: Life cycle costs, version 1.1. </w:t>
      </w:r>
      <w:hyperlink r:id="rId21">
        <w:r>
          <w:rPr>
            <w:color w:val="2E74B5"/>
            <w:u w:val="single"/>
            <w:rFonts w:ascii="Calibri" w:hAnsi="Calibri"/>
          </w:rPr>
          <w:t>https://susproc.jrc.ec.europa.eu/product-bureau/sites/default/files/2021-01/UM3_Indicator_6.1_v1.1_21pp.pdf</w:t>
        </w:r>
      </w:hyperlink>
    </w:p>
    <w:p>
      <w:pPr>
        <w:numPr>
          <w:ilvl w:val="0"/>
          <w:numId w:val="10"/>
        </w:numPr>
      </w:pPr>
      <w:r>
        <w:rPr>
          <w:rFonts w:ascii="Calibri" w:hAnsi="Calibri" w:eastAsia="Calibri"/>
          <w:b w:val="0"/>
        </w:rPr>
        <w:t xml:space="preserve">European Commission JRC (2021). Level(s) Indicator 6.2: Value creation and risk exposure, version 1.1. </w:t>
      </w:r>
      <w:hyperlink r:id="rId22">
        <w:r>
          <w:rPr>
            <w:color w:val="2E74B5"/>
            <w:u w:val="single"/>
            <w:rFonts w:ascii="Calibri" w:hAnsi="Calibri"/>
          </w:rPr>
          <w:t>https://susproc.jrc.ec.europa.eu/product-bureau/sites/default/files/2021-01/UM3_Indicator_6.2_v1.1_10pp.pdf</w:t>
        </w:r>
      </w:hyperlink>
    </w:p>
    <w:p>
      <w:pPr>
        <w:numPr>
          <w:ilvl w:val="0"/>
          <w:numId w:val="10"/>
        </w:numPr>
      </w:pPr>
      <w:r>
        <w:rPr>
          <w:rFonts w:ascii="Calibri" w:hAnsi="Calibri" w:eastAsia="Calibri"/>
          <w:b w:val="0"/>
        </w:rPr>
        <w:t xml:space="preserve">Greden, L. and Glicksman, L. (2005). “A real options model for valuing flexible space.” Journal of Corporate Real Estate, 7(1), 34–48. </w:t>
      </w:r>
      <w:hyperlink r:id="rId23">
        <w:r>
          <w:rPr>
            <w:color w:val="2E74B5"/>
            <w:u w:val="single"/>
            <w:rFonts w:ascii="Calibri" w:hAnsi="Calibri"/>
          </w:rPr>
          <w:t>https://doi.org/10.1108/14630010510812406</w:t>
        </w:r>
      </w:hyperlink>
    </w:p>
    <w:p>
      <w:pPr>
        <w:numPr>
          <w:ilvl w:val="0"/>
          <w:numId w:val="10"/>
        </w:numPr>
      </w:pPr>
      <w:r>
        <w:rPr>
          <w:rFonts w:ascii="Calibri" w:hAnsi="Calibri" w:eastAsia="Calibri"/>
          <w:b w:val="0"/>
        </w:rPr>
        <w:t xml:space="preserve">Collan, M. et al. (2014). “Valuing flexibility in a retrofit investment.” Journal of Corporate Real Estate, 16(1), 3–21. </w:t>
      </w:r>
      <w:hyperlink r:id="rId24">
        <w:r>
          <w:rPr>
            <w:color w:val="2E74B5"/>
            <w:u w:val="single"/>
            <w:rFonts w:ascii="Calibri" w:hAnsi="Calibri"/>
          </w:rPr>
          <w:t>https://doi.org/10.1108/JCRE-10-2013-0022</w:t>
        </w:r>
      </w:hyperlink>
    </w:p>
    <w:p>
      <w:pPr>
        <w:numPr>
          <w:ilvl w:val="0"/>
          <w:numId w:val="10"/>
        </w:numPr>
      </w:pPr>
      <w:r>
        <w:rPr>
          <w:rFonts w:ascii="Calibri" w:hAnsi="Calibri" w:eastAsia="Calibri"/>
          <w:b w:val="0"/>
        </w:rPr>
        <w:t xml:space="preserve">RICS (2026). ESG and sustainability in commercial property valuation, 4th edition. </w:t>
      </w:r>
      <w:hyperlink r:id="rId25">
        <w:r>
          <w:rPr>
            <w:color w:val="2E74B5"/>
            <w:u w:val="single"/>
            <w:rFonts w:ascii="Calibri" w:hAnsi="Calibri"/>
          </w:rPr>
          <w:t>https://www.rics.org/profession-standards/rics-standards-and-guidance/sector-standards/valuation-standards/esg-and-sustainability-in-commercial-property-valuation</w:t>
        </w:r>
      </w:hyperlink>
    </w:p>
    <w:p>
      <w:pPr>
        <w:numPr>
          <w:ilvl w:val="0"/>
          <w:numId w:val="10"/>
        </w:numPr>
      </w:pPr>
      <w:r>
        <w:rPr>
          <w:rFonts w:ascii="Calibri" w:hAnsi="Calibri" w:eastAsia="Calibri"/>
          <w:b w:val="0"/>
        </w:rPr>
        <w:t xml:space="preserve">CRREM Foundation. Pathways and methodology. </w:t>
      </w:r>
      <w:hyperlink r:id="rId26">
        <w:r>
          <w:rPr>
            <w:color w:val="2E74B5"/>
            <w:u w:val="single"/>
            <w:rFonts w:ascii="Calibri" w:hAnsi="Calibri"/>
          </w:rPr>
          <w:t>https://crrem.org/pathways/</w:t>
        </w:r>
      </w:hyperlink>
      <w:r>
        <w:rPr>
          <w:rFonts w:ascii="Calibri" w:hAnsi="Calibri" w:eastAsia="Calibri"/>
          <w:b w:val="0"/>
        </w:rPr>
        <w:t xml:space="preserve"> and </w:t>
      </w:r>
      <w:hyperlink r:id="rId27">
        <w:r>
          <w:rPr>
            <w:color w:val="2E74B5"/>
            <w:u w:val="single"/>
            <w:rFonts w:ascii="Calibri" w:hAnsi="Calibri"/>
          </w:rPr>
          <w:t>https://crrem.org/pathways/methodology/</w:t>
        </w:r>
      </w:hyperlink>
    </w:p>
    <w:p>
      <w:pPr>
        <w:numPr>
          <w:ilvl w:val="0"/>
          <w:numId w:val="10"/>
        </w:numPr>
      </w:pPr>
      <w:r>
        <w:rPr>
          <w:rFonts w:ascii="Calibri" w:hAnsi="Calibri" w:eastAsia="Calibri"/>
          <w:b w:val="0"/>
        </w:rPr>
        <w:t xml:space="preserve">Galle, W. et al. (2017). “Integrating Scenarios into Life Cycle Assessment.” Buildings, 7(3), 64. </w:t>
      </w:r>
      <w:hyperlink r:id="rId28">
        <w:r>
          <w:rPr>
            <w:color w:val="2E74B5"/>
            <w:u w:val="single"/>
            <w:rFonts w:ascii="Calibri" w:hAnsi="Calibri"/>
          </w:rPr>
          <w:t>https://doi.org/10.3390/buildings7030064</w:t>
        </w:r>
      </w:hyperlink>
    </w:p>
    <w:p>
      <w:pPr>
        <w:numPr>
          <w:ilvl w:val="0"/>
          <w:numId w:val="10"/>
        </w:numPr>
      </w:pPr>
      <w:r>
        <w:rPr>
          <w:rFonts w:ascii="Calibri" w:hAnsi="Calibri" w:eastAsia="Calibri"/>
          <w:b w:val="0"/>
        </w:rPr>
        <w:t xml:space="preserve">Joensuu, T. et al. (2022). “Developing Buildings’ Life Cycle Assessment in Circular Economy.” Journal of Cleaner Production, 360, 132142. </w:t>
      </w:r>
      <w:hyperlink r:id="rId29">
        <w:r>
          <w:rPr>
            <w:color w:val="2E74B5"/>
            <w:u w:val="single"/>
            <w:rFonts w:ascii="Calibri" w:hAnsi="Calibri"/>
          </w:rPr>
          <w:t>https://doi.org/10.1016/j.jclepro.2022.132142</w:t>
        </w:r>
      </w:hyperlink>
    </w:p>
    <w:p>
      <w:pPr>
        <w:pStyle w:val="Heading2"/>
      </w:pPr>
      <w:r>
        <w:rPr>
          <w:rFonts w:ascii="Calibri" w:hAnsi="Calibri" w:eastAsia="Calibri"/>
          <w:b w:val="0"/>
        </w:rPr>
        <w:t>Policy, standards and digital information</w:t>
      </w:r>
    </w:p>
    <w:p>
      <w:pPr>
        <w:numPr>
          <w:ilvl w:val="0"/>
          <w:numId w:val="10"/>
        </w:numPr>
      </w:pPr>
      <w:r>
        <w:rPr>
          <w:rFonts w:ascii="Calibri" w:hAnsi="Calibri" w:eastAsia="Calibri"/>
          <w:b w:val="0"/>
        </w:rPr>
        <w:t xml:space="preserve">European Union (2024/2026 consolidated). Directive (EU) 2024/1275 on the energy performance of buildings. </w:t>
      </w:r>
      <w:hyperlink r:id="rId30">
        <w:r>
          <w:rPr>
            <w:color w:val="2E74B5"/>
            <w:u w:val="single"/>
            <w:rFonts w:ascii="Calibri" w:hAnsi="Calibri"/>
          </w:rPr>
          <w:t>https://eur-lex.europa.eu/legal-content/EN/TXT/HTML/?uri=CELEX:02024L1275-20260524</w:t>
        </w:r>
      </w:hyperlink>
    </w:p>
    <w:p>
      <w:pPr>
        <w:numPr>
          <w:ilvl w:val="0"/>
          <w:numId w:val="10"/>
        </w:numPr>
      </w:pPr>
      <w:r>
        <w:rPr>
          <w:rFonts w:ascii="Calibri" w:hAnsi="Calibri" w:eastAsia="Calibri"/>
          <w:b w:val="0"/>
        </w:rPr>
        <w:t xml:space="preserve">European Union (2024). Regulation (EU) 2024/3110 laying down harmonised rules for the marketing of construction products. </w:t>
      </w:r>
      <w:hyperlink r:id="rId31">
        <w:r>
          <w:rPr>
            <w:color w:val="2E74B5"/>
            <w:u w:val="single"/>
            <w:rFonts w:ascii="Calibri" w:hAnsi="Calibri"/>
          </w:rPr>
          <w:t>https://eur-lex.europa.eu/eli/reg/2024/3110/oj/eng</w:t>
        </w:r>
      </w:hyperlink>
    </w:p>
    <w:p>
      <w:pPr>
        <w:numPr>
          <w:ilvl w:val="0"/>
          <w:numId w:val="10"/>
        </w:numPr>
      </w:pPr>
      <w:r>
        <w:rPr>
          <w:rFonts w:ascii="Calibri" w:hAnsi="Calibri" w:eastAsia="Calibri"/>
          <w:b w:val="0"/>
        </w:rPr>
        <w:t xml:space="preserve">European Union (2014/2026 consolidated). Directive 2014/24/EU on public procurement, especially Articles 31, 67 and 68. </w:t>
      </w:r>
      <w:hyperlink r:id="rId32">
        <w:r>
          <w:rPr>
            <w:color w:val="2E74B5"/>
            <w:u w:val="single"/>
            <w:rFonts w:ascii="Calibri" w:hAnsi="Calibri"/>
          </w:rPr>
          <w:t>https://eur-lex.europa.eu/eli/dir/2014/24/2026-01-01/eng</w:t>
        </w:r>
      </w:hyperlink>
    </w:p>
    <w:p>
      <w:pPr>
        <w:numPr>
          <w:ilvl w:val="0"/>
          <w:numId w:val="10"/>
        </w:numPr>
      </w:pPr>
      <w:r>
        <w:rPr>
          <w:rFonts w:ascii="Calibri" w:hAnsi="Calibri" w:eastAsia="Calibri"/>
          <w:b w:val="0"/>
        </w:rPr>
        <w:t xml:space="preserve">Boverket (2026). Regler om livscykel-GWP och gränsvärden för byggnaders klimatpåverkan. </w:t>
      </w:r>
      <w:hyperlink r:id="rId33">
        <w:r>
          <w:rPr>
            <w:color w:val="2E74B5"/>
            <w:u w:val="single"/>
            <w:rFonts w:ascii="Calibri" w:hAnsi="Calibri"/>
          </w:rPr>
          <w:t>https://www.boverket.se/sv/om-boverket/publikationer/2026/regler-om-livscykel-gwp/</w:t>
        </w:r>
      </w:hyperlink>
    </w:p>
    <w:p>
      <w:pPr>
        <w:numPr>
          <w:ilvl w:val="0"/>
          <w:numId w:val="10"/>
        </w:numPr>
      </w:pPr>
      <w:r>
        <w:rPr>
          <w:rFonts w:ascii="Calibri" w:hAnsi="Calibri" w:eastAsia="Calibri"/>
          <w:b w:val="0"/>
        </w:rPr>
        <w:t xml:space="preserve">Boverket. Climate declarations and climate database. </w:t>
      </w:r>
      <w:hyperlink r:id="rId34">
        <w:r>
          <w:rPr>
            <w:color w:val="2E74B5"/>
            <w:u w:val="single"/>
            <w:rFonts w:ascii="Calibri" w:hAnsi="Calibri"/>
          </w:rPr>
          <w:t>https://www.boverket.se/en/start/laws-and-regulations/climate-declaration/</w:t>
        </w:r>
      </w:hyperlink>
      <w:r>
        <w:rPr>
          <w:rFonts w:ascii="Calibri" w:hAnsi="Calibri" w:eastAsia="Calibri"/>
          <w:b w:val="0"/>
        </w:rPr>
        <w:t xml:space="preserve"> and </w:t>
      </w:r>
      <w:hyperlink r:id="rId35">
        <w:r>
          <w:rPr>
            <w:color w:val="2E74B5"/>
            <w:u w:val="single"/>
            <w:rFonts w:ascii="Calibri" w:hAnsi="Calibri"/>
          </w:rPr>
          <w:t>https://www.boverket.se/en/start/laws-and-regulations/climate-declaration/climate-database/</w:t>
        </w:r>
      </w:hyperlink>
    </w:p>
    <w:p>
      <w:pPr>
        <w:numPr>
          <w:ilvl w:val="0"/>
          <w:numId w:val="10"/>
        </w:numPr>
      </w:pPr>
      <w:r>
        <w:rPr>
          <w:rFonts w:ascii="Calibri" w:hAnsi="Calibri" w:eastAsia="Calibri"/>
          <w:b w:val="0"/>
        </w:rPr>
        <w:t xml:space="preserve">European Commission (2021). Study on the development of a European Union framework for digital building logbooks. </w:t>
      </w:r>
      <w:hyperlink r:id="rId36">
        <w:r>
          <w:rPr>
            <w:color w:val="2E74B5"/>
            <w:u w:val="single"/>
            <w:rFonts w:ascii="Calibri" w:hAnsi="Calibri"/>
          </w:rPr>
          <w:t>https://op.europa.eu/en/publication-detail/-/publication/40f40235-509e-11eb-b59f-01aa75ed71a1/language-en</w:t>
        </w:r>
      </w:hyperlink>
    </w:p>
    <w:p>
      <w:pPr>
        <w:numPr>
          <w:ilvl w:val="0"/>
          <w:numId w:val="10"/>
        </w:numPr>
      </w:pPr>
      <w:r>
        <w:rPr>
          <w:rFonts w:ascii="Calibri" w:hAnsi="Calibri" w:eastAsia="Calibri"/>
          <w:b w:val="0"/>
        </w:rPr>
        <w:t xml:space="preserve">ISO (2018). ISO 19650-1:2018. </w:t>
      </w:r>
      <w:hyperlink r:id="rId37">
        <w:r>
          <w:rPr>
            <w:color w:val="2E74B5"/>
            <w:u w:val="single"/>
            <w:rFonts w:ascii="Calibri" w:hAnsi="Calibri"/>
          </w:rPr>
          <w:t>https://www.iso.org/standard/68078.html</w:t>
        </w:r>
      </w:hyperlink>
    </w:p>
    <w:p>
      <w:pPr>
        <w:numPr>
          <w:ilvl w:val="0"/>
          <w:numId w:val="10"/>
        </w:numPr>
      </w:pPr>
      <w:r>
        <w:rPr>
          <w:rFonts w:ascii="Calibri" w:hAnsi="Calibri" w:eastAsia="Calibri"/>
          <w:b w:val="0"/>
        </w:rPr>
        <w:t xml:space="preserve">buildingSMART International. IFC and IDS standards. </w:t>
      </w:r>
      <w:hyperlink r:id="rId38">
        <w:r>
          <w:rPr>
            <w:color w:val="2E74B5"/>
            <w:u w:val="single"/>
            <w:rFonts w:ascii="Calibri" w:hAnsi="Calibri"/>
          </w:rPr>
          <w:t>https://technical.buildingsmart.org/standards/ifc/</w:t>
        </w:r>
      </w:hyperlink>
      <w:r>
        <w:rPr>
          <w:rFonts w:ascii="Calibri" w:hAnsi="Calibri" w:eastAsia="Calibri"/>
          <w:b w:val="0"/>
        </w:rPr>
        <w:t xml:space="preserve"> and </w:t>
      </w:r>
      <w:hyperlink r:id="rId39">
        <w:r>
          <w:rPr>
            <w:color w:val="2E74B5"/>
            <w:u w:val="single"/>
            <w:rFonts w:ascii="Calibri" w:hAnsi="Calibri"/>
          </w:rPr>
          <w:t>https://www.buildingsmart.org/standards/bsi-standards/information-delivery-specification-ids/</w:t>
        </w:r>
      </w:hyperlink>
    </w:p>
    <w:p>
      <w:pPr>
        <w:pStyle w:val="Heading2"/>
      </w:pPr>
      <w:r>
        <w:rPr>
          <w:rFonts w:ascii="Calibri" w:hAnsi="Calibri" w:eastAsia="Calibri"/>
          <w:b w:val="0"/>
        </w:rPr>
        <w:t>Reuse, renovation, use and social value</w:t>
      </w:r>
    </w:p>
    <w:p>
      <w:pPr>
        <w:numPr>
          <w:ilvl w:val="0"/>
          <w:numId w:val="10"/>
        </w:numPr>
      </w:pPr>
      <w:r>
        <w:rPr>
          <w:rFonts w:ascii="Calibri" w:hAnsi="Calibri" w:eastAsia="Calibri"/>
          <w:b w:val="0"/>
        </w:rPr>
        <w:t xml:space="preserve">European Environment Agency (2022). Building renovation: where circular economy and climate meet. </w:t>
      </w:r>
      <w:hyperlink r:id="rId40">
        <w:r>
          <w:rPr>
            <w:color w:val="2E74B5"/>
            <w:u w:val="single"/>
            <w:rFonts w:ascii="Calibri" w:hAnsi="Calibri"/>
          </w:rPr>
          <w:t>https://www.eea.europa.eu/en/analysis/publications/building-renovation-where-circular-economy-and-climate-meet</w:t>
        </w:r>
      </w:hyperlink>
    </w:p>
    <w:p>
      <w:pPr>
        <w:numPr>
          <w:ilvl w:val="0"/>
          <w:numId w:val="10"/>
        </w:numPr>
      </w:pPr>
      <w:r>
        <w:rPr>
          <w:rFonts w:ascii="Calibri" w:hAnsi="Calibri" w:eastAsia="Calibri"/>
          <w:b w:val="0"/>
        </w:rPr>
        <w:t xml:space="preserve">Zimmermann, R. K. et al. (2023). “GHG emissions from building renovation versus new-build.” Buildings &amp; Cities, 4(1). </w:t>
      </w:r>
      <w:hyperlink r:id="rId41">
        <w:r>
          <w:rPr>
            <w:color w:val="2E74B5"/>
            <w:u w:val="single"/>
            <w:rFonts w:ascii="Calibri" w:hAnsi="Calibri"/>
          </w:rPr>
          <w:t>https://doi.org/10.5334/bc.325</w:t>
        </w:r>
      </w:hyperlink>
    </w:p>
    <w:p>
      <w:pPr>
        <w:numPr>
          <w:ilvl w:val="0"/>
          <w:numId w:val="10"/>
        </w:numPr>
      </w:pPr>
      <w:r>
        <w:rPr>
          <w:rFonts w:ascii="Calibri" w:hAnsi="Calibri" w:eastAsia="Calibri"/>
          <w:b w:val="0"/>
        </w:rPr>
        <w:t xml:space="preserve">Lundgren, R. (2023). “Social life cycle assessment of adaptive reuse.” Buildings &amp; Cities, 4(1). </w:t>
      </w:r>
      <w:hyperlink r:id="rId42">
        <w:r>
          <w:rPr>
            <w:color w:val="2E74B5"/>
            <w:u w:val="single"/>
            <w:rFonts w:ascii="Calibri" w:hAnsi="Calibri"/>
          </w:rPr>
          <w:t>https://doi.org/10.5334/bc.314</w:t>
        </w:r>
      </w:hyperlink>
    </w:p>
    <w:p>
      <w:pPr>
        <w:numPr>
          <w:ilvl w:val="0"/>
          <w:numId w:val="10"/>
        </w:numPr>
      </w:pPr>
      <w:r>
        <w:rPr>
          <w:rFonts w:ascii="Calibri" w:hAnsi="Calibri" w:eastAsia="Calibri"/>
          <w:b w:val="0"/>
        </w:rPr>
        <w:t xml:space="preserve">Lolli, N. et al. (2022). “Post-Occupancy Evaluation Methods for Indoor Environmental Quality.” </w:t>
      </w:r>
      <w:hyperlink r:id="rId43">
        <w:r>
          <w:rPr>
            <w:color w:val="2E74B5"/>
            <w:u w:val="single"/>
            <w:rFonts w:ascii="Calibri" w:hAnsi="Calibri"/>
          </w:rPr>
          <w:t>https://pmc.ncbi.nlm.nih.gov/articles/PMC9607023/</w:t>
        </w:r>
      </w:hyperlink>
    </w:p>
    <w:p>
      <w:pPr>
        <w:numPr>
          <w:ilvl w:val="0"/>
          <w:numId w:val="10"/>
        </w:numPr>
      </w:pPr>
      <w:r>
        <w:rPr>
          <w:rFonts w:ascii="Calibri" w:hAnsi="Calibri" w:eastAsia="Calibri"/>
          <w:b w:val="0"/>
        </w:rPr>
        <w:t xml:space="preserve">OECD (2023). Built environment through a well-being lens. </w:t>
      </w:r>
      <w:hyperlink r:id="rId44">
        <w:r>
          <w:rPr>
            <w:color w:val="2E74B5"/>
            <w:u w:val="single"/>
            <w:rFonts w:ascii="Calibri" w:hAnsi="Calibri"/>
          </w:rPr>
          <w:t>https://www.oecd.org/en/publications/2023/11/built-environment-through-a-well-being-lens_deb96f05/full-report/component-5.html</w:t>
        </w:r>
      </w:hyperlink>
    </w:p>
    <w:p>
      <w:pPr>
        <w:pStyle w:val="Heading2"/>
      </w:pPr>
      <w:r>
        <w:rPr>
          <w:rFonts w:ascii="Calibri" w:hAnsi="Calibri" w:eastAsia="Calibri"/>
          <w:b w:val="0"/>
        </w:rPr>
        <w:t>Living labs and transition methods</w:t>
      </w:r>
    </w:p>
    <w:p>
      <w:pPr>
        <w:numPr>
          <w:ilvl w:val="0"/>
          <w:numId w:val="10"/>
        </w:numPr>
      </w:pPr>
      <w:r>
        <w:rPr>
          <w:rFonts w:ascii="Calibri" w:hAnsi="Calibri" w:eastAsia="Calibri"/>
          <w:b w:val="0"/>
        </w:rPr>
        <w:t xml:space="preserve">Geels, F. W. (2002). “Technological transitions as evolutionary reconfiguration processes.” Research Policy, 31, 1257–1274. </w:t>
      </w:r>
      <w:hyperlink r:id="rId45">
        <w:r>
          <w:rPr>
            <w:color w:val="2E74B5"/>
            <w:u w:val="single"/>
            <w:rFonts w:ascii="Calibri" w:hAnsi="Calibri"/>
          </w:rPr>
          <w:t>https://doi.org/10.1016/S0048-7333(02)00062-8</w:t>
        </w:r>
      </w:hyperlink>
    </w:p>
    <w:p>
      <w:pPr>
        <w:numPr>
          <w:ilvl w:val="0"/>
          <w:numId w:val="10"/>
        </w:numPr>
      </w:pPr>
      <w:r>
        <w:rPr>
          <w:rFonts w:ascii="Calibri" w:hAnsi="Calibri" w:eastAsia="Calibri"/>
          <w:b w:val="0"/>
        </w:rPr>
        <w:t xml:space="preserve">Geels, F. W. (2011). “The multi-level perspective on sustainability transitions.” Environmental Innovation and Societal Transitions, 1, 24–40. </w:t>
      </w:r>
      <w:hyperlink r:id="rId46">
        <w:r>
          <w:rPr>
            <w:color w:val="2E74B5"/>
            <w:u w:val="single"/>
            <w:rFonts w:ascii="Calibri" w:hAnsi="Calibri"/>
          </w:rPr>
          <w:t>https://doi.org/10.1016/j.eist.2011.02.002</w:t>
        </w:r>
      </w:hyperlink>
    </w:p>
    <w:p>
      <w:pPr>
        <w:numPr>
          <w:ilvl w:val="0"/>
          <w:numId w:val="10"/>
        </w:numPr>
      </w:pPr>
      <w:r>
        <w:rPr>
          <w:rFonts w:ascii="Calibri" w:hAnsi="Calibri" w:eastAsia="Calibri"/>
          <w:b w:val="0"/>
        </w:rPr>
        <w:t xml:space="preserve">Bulkeley, H. et al. (2016). “Urban living labs: governing urban sustainability transitions.” Current Opinion in Environmental Sustainability, 22, 13–17. </w:t>
      </w:r>
      <w:hyperlink r:id="rId47">
        <w:r>
          <w:rPr>
            <w:color w:val="2E74B5"/>
            <w:u w:val="single"/>
            <w:rFonts w:ascii="Calibri" w:hAnsi="Calibri"/>
          </w:rPr>
          <w:t>https://doi.org/10.1016/j.cosust.2017.02.003</w:t>
        </w:r>
      </w:hyperlink>
    </w:p>
    <w:p>
      <w:pPr>
        <w:numPr>
          <w:ilvl w:val="0"/>
          <w:numId w:val="10"/>
        </w:numPr>
      </w:pPr>
      <w:r>
        <w:rPr>
          <w:rFonts w:ascii="Calibri" w:hAnsi="Calibri" w:eastAsia="Calibri"/>
          <w:b w:val="0"/>
        </w:rPr>
        <w:t xml:space="preserve">Hossain, M., Leminen, S. and Westerlund, M. (2019). “A systematic review of living lab literature.” Journal of Cleaner Production, 213, 976–988. </w:t>
      </w:r>
      <w:hyperlink r:id="rId48">
        <w:r>
          <w:rPr>
            <w:color w:val="2E74B5"/>
            <w:u w:val="single"/>
            <w:rFonts w:ascii="Calibri" w:hAnsi="Calibri"/>
          </w:rPr>
          <w:t>https://doi.org/10.1016/j.jclepro.2018.12.257</w:t>
        </w:r>
      </w:hyperlink>
    </w:p>
    <w:p>
      <w:pPr>
        <w:numPr>
          <w:ilvl w:val="0"/>
          <w:numId w:val="10"/>
        </w:numPr>
      </w:pPr>
      <w:r>
        <w:rPr>
          <w:rFonts w:ascii="Calibri" w:hAnsi="Calibri" w:eastAsia="Calibri"/>
          <w:b w:val="0"/>
        </w:rPr>
        <w:t xml:space="preserve">Menny, M., Voytenko Palgan, Y. and McCormick, K. (2018). “Urban Living Labs and the Role of Users.” GAIA, 27(S1), 68–77. </w:t>
      </w:r>
      <w:hyperlink r:id="rId49">
        <w:r>
          <w:rPr>
            <w:color w:val="2E74B5"/>
            <w:u w:val="single"/>
            <w:rFonts w:ascii="Calibri" w:hAnsi="Calibri"/>
          </w:rPr>
          <w:t>https://doi.org/10.14512/gaia.27.S1.14</w:t>
        </w:r>
      </w:hyperlink>
    </w:p>
    <w:p>
      <w:pPr>
        <w:numPr>
          <w:ilvl w:val="0"/>
          <w:numId w:val="10"/>
        </w:numPr>
      </w:pPr>
      <w:r>
        <w:rPr>
          <w:rFonts w:ascii="Calibri" w:hAnsi="Calibri" w:eastAsia="Calibri"/>
          <w:b w:val="0"/>
        </w:rPr>
        <w:t>Wangel, J. (2011/related literature). Backcasting and participatory scenario methods; pair normative pathways with exploratory scenarios.</w:t>
      </w:r>
    </w:p>
    <w:p>
      <w:pPr>
        <w:pStyle w:val="Heading2"/>
      </w:pPr>
      <w:r>
        <w:rPr>
          <w:rFonts w:ascii="Calibri" w:hAnsi="Calibri" w:eastAsia="Calibri"/>
          <w:b w:val="0"/>
        </w:rPr>
        <w:t>Energy and climate flexibility</w:t>
      </w:r>
    </w:p>
    <w:p>
      <w:pPr>
        <w:numPr>
          <w:ilvl w:val="0"/>
          <w:numId w:val="10"/>
        </w:numPr>
      </w:pPr>
      <w:r>
        <w:rPr>
          <w:rFonts w:ascii="Calibri" w:hAnsi="Calibri" w:eastAsia="Calibri"/>
          <w:b w:val="0"/>
        </w:rPr>
        <w:t xml:space="preserve">IEA EBC Annex 67 (2017–2019). Energy Flexible Buildings: objectives, publications and methods. </w:t>
      </w:r>
      <w:hyperlink r:id="rId50">
        <w:r>
          <w:rPr>
            <w:color w:val="2E74B5"/>
            <w:u w:val="single"/>
            <w:rFonts w:ascii="Calibri" w:hAnsi="Calibri"/>
          </w:rPr>
          <w:t>https://www.annex67.org/</w:t>
        </w:r>
      </w:hyperlink>
      <w:r>
        <w:rPr>
          <w:rFonts w:ascii="Calibri" w:hAnsi="Calibri" w:eastAsia="Calibri"/>
          <w:b w:val="0"/>
        </w:rPr>
        <w:t xml:space="preserve"> and </w:t>
      </w:r>
      <w:hyperlink r:id="rId51">
        <w:r>
          <w:rPr>
            <w:color w:val="2E74B5"/>
            <w:u w:val="single"/>
            <w:rFonts w:ascii="Calibri" w:hAnsi="Calibri"/>
          </w:rPr>
          <w:t>https://www.annex67.org/publications/</w:t>
        </w:r>
      </w:hyperlink>
    </w:p>
    <w:p>
      <w:pPr>
        <w:numPr>
          <w:ilvl w:val="0"/>
          <w:numId w:val="10"/>
        </w:numPr>
      </w:pPr>
      <w:r>
        <w:rPr>
          <w:rFonts w:ascii="Calibri" w:hAnsi="Calibri" w:eastAsia="Calibri"/>
          <w:b w:val="0"/>
        </w:rPr>
        <w:t xml:space="preserve">Reynders, G. et al. (2018). “Energy flexible buildings: evaluation of definitions and quantification methodologies.” Energy and Buildings, 166, 372–390. </w:t>
      </w:r>
      <w:hyperlink r:id="rId52">
        <w:r>
          <w:rPr>
            <w:color w:val="2E74B5"/>
            <w:u w:val="single"/>
            <w:rFonts w:ascii="Calibri" w:hAnsi="Calibri"/>
          </w:rPr>
          <w:t>https://doi.org/10.1016/j.enbuild.2018.02.013</w:t>
        </w:r>
      </w:hyperlink>
    </w:p>
    <w:p>
      <w:pPr>
        <w:numPr>
          <w:ilvl w:val="0"/>
          <w:numId w:val="10"/>
        </w:numPr>
      </w:pPr>
      <w:r>
        <w:rPr>
          <w:rFonts w:ascii="Calibri" w:hAnsi="Calibri" w:eastAsia="Calibri"/>
          <w:b w:val="0"/>
        </w:rPr>
        <w:t xml:space="preserve">ISO (2019). ISO 14090:2019, Adaptation to climate change — Principles, requirements and guidelines. </w:t>
      </w:r>
      <w:hyperlink r:id="rId53">
        <w:r>
          <w:rPr>
            <w:color w:val="2E74B5"/>
            <w:u w:val="single"/>
            <w:rFonts w:ascii="Calibri" w:hAnsi="Calibri"/>
          </w:rPr>
          <w:t>https://www.iso.org/standard/68507.html</w:t>
        </w:r>
      </w:hyperlink>
    </w:p>
    <w:p>
      <w:pPr>
        <w:numPr>
          <w:ilvl w:val="0"/>
          <w:numId w:val="10"/>
        </w:numPr>
      </w:pPr>
      <w:r>
        <w:rPr>
          <w:rFonts w:ascii="Calibri" w:hAnsi="Calibri" w:eastAsia="Calibri"/>
          <w:b w:val="0"/>
        </w:rPr>
        <w:t xml:space="preserve">Boverket. Climate adaptation of the built environment. </w:t>
      </w:r>
      <w:hyperlink r:id="rId54">
        <w:r>
          <w:rPr>
            <w:color w:val="2E74B5"/>
            <w:u w:val="single"/>
            <w:rFonts w:ascii="Calibri" w:hAnsi="Calibri"/>
          </w:rPr>
          <w:t>https://www.boverket.se/sv/samhallsplanering/klimatanpassning/</w:t>
        </w:r>
      </w:hyperlink>
    </w:p>
    <w:p>
      <w:pPr>
        <w:pStyle w:val="Heading1"/>
        <w:pageBreakBefore/>
      </w:pPr>
      <w:r>
        <w:rPr>
          <w:rFonts w:ascii="Calibri" w:hAnsi="Calibri" w:eastAsia="Calibri"/>
          <w:b w:val="0"/>
        </w:rPr>
        <w:t>19. Final research position</w:t>
      </w:r>
    </w:p>
    <w:p>
      <w:r>
        <w:rPr>
          <w:rFonts w:ascii="Calibri" w:hAnsi="Calibri" w:eastAsia="Calibri"/>
          <w:b w:val="0"/>
        </w:rPr>
        <w:t>The strongest version of MARIEVIK+ is a decision-science and system-innovation project grounded in real buildings. Its novelty lies in connecting latent physical adaptability to exercised options and decision outcomes across environmental, financial and social systems. The project should resist two temptations: reducing flexibility to a checklist, and forcing all value into one monetary number. Instead, it should make uncertainty, distribution and mechanisms visible while offering a concise decision brief that owners, municipalities, valuers and suppliers can use.</w:t>
      </w:r>
    </w:p>
    <w:p>
      <w:r>
        <w:rPr>
          <w:rFonts w:ascii="Calibri" w:hAnsi="Calibri" w:eastAsia="Calibri"/>
          <w:b w:val="0"/>
        </w:rPr>
        <w:t>If CAVF can show when an additional beam, accessible service zone, demountable interface, conversion-ready plan, shared-use protocol or digital record changes an approved decision—and when it does not—the project will have produced knowledge that is both scientifically defensible and scalable.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E6B78"/>
        <w:sz w:val="17"/>
      </w:rPr>
      <w:t xml:space="preserve">RESEARCH &amp; INNOVATION HANDBOOK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E6B78"/>
        <w:sz w:val="17"/>
      </w:rPr>
      <w:t>MARIEVIK+  |  FLEXIBILITY OF THE BUILT 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3389/fbuil.2024.1376759" TargetMode="External"/><Relationship Id="rId12" Type="http://schemas.openxmlformats.org/officeDocument/2006/relationships/hyperlink" Target="https://doi.org/10.1108/F-07-2015-0053" TargetMode="External"/><Relationship Id="rId13" Type="http://schemas.openxmlformats.org/officeDocument/2006/relationships/hyperlink" Target="https://doi.org/10.3390/app11104483" TargetMode="External"/><Relationship Id="rId14" Type="http://schemas.openxmlformats.org/officeDocument/2006/relationships/hyperlink" Target="https://doi.org/10.1108/IJBPA-01-2018-0013" TargetMode="External"/><Relationship Id="rId15" Type="http://schemas.openxmlformats.org/officeDocument/2006/relationships/hyperlink" Target="https://doi.org/10.1080/09613210010027693" TargetMode="External"/><Relationship Id="rId16" Type="http://schemas.openxmlformats.org/officeDocument/2006/relationships/hyperlink" Target="https://doi.org/10.1016/j.egypro.2016.09.102" TargetMode="External"/><Relationship Id="rId17" Type="http://schemas.openxmlformats.org/officeDocument/2006/relationships/hyperlink" Target="https://www.iso.org/standard/69370.html" TargetMode="External"/><Relationship Id="rId18" Type="http://schemas.openxmlformats.org/officeDocument/2006/relationships/hyperlink" Target="https://susproc.jrc.ec.europa.eu/product-bureau/sites/default/files/2021-01/UM3_Indicator_2.3_v1.1_23pp.pdf" TargetMode="External"/><Relationship Id="rId19" Type="http://schemas.openxmlformats.org/officeDocument/2006/relationships/hyperlink" Target="https://susproc.jrc.ec.europa.eu/product-bureau/sites/default/files/2021-11/UM3_Indicator_2.4_v.2.0_clean_20.07.2021.pdf" TargetMode="External"/><Relationship Id="rId20" Type="http://schemas.openxmlformats.org/officeDocument/2006/relationships/hyperlink" Target="https://cordis.europa.eu/project/id/642384" TargetMode="External"/><Relationship Id="rId21" Type="http://schemas.openxmlformats.org/officeDocument/2006/relationships/hyperlink" Target="https://susproc.jrc.ec.europa.eu/product-bureau/sites/default/files/2021-01/UM3_Indicator_6.1_v1.1_21pp.pdf" TargetMode="External"/><Relationship Id="rId22" Type="http://schemas.openxmlformats.org/officeDocument/2006/relationships/hyperlink" Target="https://susproc.jrc.ec.europa.eu/product-bureau/sites/default/files/2021-01/UM3_Indicator_6.2_v1.1_10pp.pdf" TargetMode="External"/><Relationship Id="rId23" Type="http://schemas.openxmlformats.org/officeDocument/2006/relationships/hyperlink" Target="https://doi.org/10.1108/14630010510812406" TargetMode="External"/><Relationship Id="rId24" Type="http://schemas.openxmlformats.org/officeDocument/2006/relationships/hyperlink" Target="https://doi.org/10.1108/JCRE-10-2013-0022" TargetMode="External"/><Relationship Id="rId25" Type="http://schemas.openxmlformats.org/officeDocument/2006/relationships/hyperlink" Target="https://www.rics.org/profession-standards/rics-standards-and-guidance/sector-standards/valuation-standards/esg-and-sustainability-in-commercial-property-valuation" TargetMode="External"/><Relationship Id="rId26" Type="http://schemas.openxmlformats.org/officeDocument/2006/relationships/hyperlink" Target="https://crrem.org/pathways/" TargetMode="External"/><Relationship Id="rId27" Type="http://schemas.openxmlformats.org/officeDocument/2006/relationships/hyperlink" Target="https://crrem.org/pathways/methodology/" TargetMode="External"/><Relationship Id="rId28" Type="http://schemas.openxmlformats.org/officeDocument/2006/relationships/hyperlink" Target="https://doi.org/10.3390/buildings7030064" TargetMode="External"/><Relationship Id="rId29" Type="http://schemas.openxmlformats.org/officeDocument/2006/relationships/hyperlink" Target="https://doi.org/10.1016/j.jclepro.2022.132142" TargetMode="External"/><Relationship Id="rId30" Type="http://schemas.openxmlformats.org/officeDocument/2006/relationships/hyperlink" Target="https://eur-lex.europa.eu/legal-content/EN/TXT/HTML/?uri=CELEX:02024L1275-20260524" TargetMode="External"/><Relationship Id="rId31" Type="http://schemas.openxmlformats.org/officeDocument/2006/relationships/hyperlink" Target="https://eur-lex.europa.eu/eli/reg/2024/3110/oj/eng" TargetMode="External"/><Relationship Id="rId32" Type="http://schemas.openxmlformats.org/officeDocument/2006/relationships/hyperlink" Target="https://eur-lex.europa.eu/eli/dir/2014/24/2026-01-01/eng" TargetMode="External"/><Relationship Id="rId33" Type="http://schemas.openxmlformats.org/officeDocument/2006/relationships/hyperlink" Target="https://www.boverket.se/sv/om-boverket/publikationer/2026/regler-om-livscykel-gwp/" TargetMode="External"/><Relationship Id="rId34" Type="http://schemas.openxmlformats.org/officeDocument/2006/relationships/hyperlink" Target="https://www.boverket.se/en/start/laws-and-regulations/climate-declaration/" TargetMode="External"/><Relationship Id="rId35" Type="http://schemas.openxmlformats.org/officeDocument/2006/relationships/hyperlink" Target="https://www.boverket.se/en/start/laws-and-regulations/climate-declaration/climate-database/" TargetMode="External"/><Relationship Id="rId36" Type="http://schemas.openxmlformats.org/officeDocument/2006/relationships/hyperlink" Target="https://op.europa.eu/en/publication-detail/-/publication/40f40235-509e-11eb-b59f-01aa75ed71a1/language-en" TargetMode="External"/><Relationship Id="rId37" Type="http://schemas.openxmlformats.org/officeDocument/2006/relationships/hyperlink" Target="https://www.iso.org/standard/68078.html" TargetMode="External"/><Relationship Id="rId38" Type="http://schemas.openxmlformats.org/officeDocument/2006/relationships/hyperlink" Target="https://technical.buildingsmart.org/standards/ifc/" TargetMode="External"/><Relationship Id="rId39" Type="http://schemas.openxmlformats.org/officeDocument/2006/relationships/hyperlink" Target="https://www.buildingsmart.org/standards/bsi-standards/information-delivery-specification-ids/" TargetMode="External"/><Relationship Id="rId40" Type="http://schemas.openxmlformats.org/officeDocument/2006/relationships/hyperlink" Target="https://www.eea.europa.eu/en/analysis/publications/building-renovation-where-circular-economy-and-climate-meet" TargetMode="External"/><Relationship Id="rId41" Type="http://schemas.openxmlformats.org/officeDocument/2006/relationships/hyperlink" Target="https://doi.org/10.5334/bc.325" TargetMode="External"/><Relationship Id="rId42" Type="http://schemas.openxmlformats.org/officeDocument/2006/relationships/hyperlink" Target="https://doi.org/10.5334/bc.314" TargetMode="External"/><Relationship Id="rId43" Type="http://schemas.openxmlformats.org/officeDocument/2006/relationships/hyperlink" Target="https://pmc.ncbi.nlm.nih.gov/articles/PMC9607023/" TargetMode="External"/><Relationship Id="rId44" Type="http://schemas.openxmlformats.org/officeDocument/2006/relationships/hyperlink" Target="https://www.oecd.org/en/publications/2023/11/built-environment-through-a-well-being-lens_deb96f05/full-report/component-5.html" TargetMode="External"/><Relationship Id="rId45" Type="http://schemas.openxmlformats.org/officeDocument/2006/relationships/hyperlink" Target="https://doi.org/10.1016/S0048-7333(02)00062-8" TargetMode="External"/><Relationship Id="rId46" Type="http://schemas.openxmlformats.org/officeDocument/2006/relationships/hyperlink" Target="https://doi.org/10.1016/j.eist.2011.02.002" TargetMode="External"/><Relationship Id="rId47" Type="http://schemas.openxmlformats.org/officeDocument/2006/relationships/hyperlink" Target="https://doi.org/10.1016/j.cosust.2017.02.003" TargetMode="External"/><Relationship Id="rId48" Type="http://schemas.openxmlformats.org/officeDocument/2006/relationships/hyperlink" Target="https://doi.org/10.1016/j.jclepro.2018.12.257" TargetMode="External"/><Relationship Id="rId49" Type="http://schemas.openxmlformats.org/officeDocument/2006/relationships/hyperlink" Target="https://doi.org/10.14512/gaia.27.S1.14" TargetMode="External"/><Relationship Id="rId50" Type="http://schemas.openxmlformats.org/officeDocument/2006/relationships/hyperlink" Target="https://www.annex67.org/" TargetMode="External"/><Relationship Id="rId51" Type="http://schemas.openxmlformats.org/officeDocument/2006/relationships/hyperlink" Target="https://www.annex67.org/publications/" TargetMode="External"/><Relationship Id="rId52" Type="http://schemas.openxmlformats.org/officeDocument/2006/relationships/hyperlink" Target="https://doi.org/10.1016/j.enbuild.2018.02.013" TargetMode="External"/><Relationship Id="rId53" Type="http://schemas.openxmlformats.org/officeDocument/2006/relationships/hyperlink" Target="https://www.iso.org/standard/68507.html" TargetMode="External"/><Relationship Id="rId54" Type="http://schemas.openxmlformats.org/officeDocument/2006/relationships/hyperlink" Target="https://www.boverket.se/sv/samhallsplanering/klimatanpass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Flexibility of the Built Environment for MARIEVIK+</dc:title>
  <dc:subject>Research and innovation handbook for circular and adaptive buildings</dc:subject>
  <dc:creator>MARIEVIK+ research consortium</dc:creator>
  <cp:keywords>MARIEVIK+, adaptability, flexibility, circular buildings, CAVF, lifecycle value</cp:keywords>
  <dc:description>Evidence-based project research design, version 1.0, September 2026</dc:description>
  <cp:lastModifiedBy/>
  <cp:revision>1</cp:revision>
  <dcterms:created xsi:type="dcterms:W3CDTF">2013-12-23T23:15:00Z</dcterms:created>
  <dcterms:modified xsi:type="dcterms:W3CDTF">2013-12-23T23:15:00Z</dcterms:modified>
  <cp:category/>
</cp:coreProperties>
</file>