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 w:line="264" w:lineRule="auto"/>
      </w:pPr>
      <w:r>
        <w:rPr>
          <w:rFonts w:ascii="Calibri" w:hAnsi="Calibri" w:cs="Calibri"/>
          <w:color w:val="000000"/>
          <w:sz w:val="22"/>
        </w:rPr>
        <w:t>Product Design Requirements</w:t>
      </w:r>
    </w:p>
    <w:p>
      <w:pPr>
        <w:spacing w:after="120"/>
      </w:pPr>
      <w:r>
        <w:rPr>
          <w:rFonts w:ascii="Calibri" w:hAnsi="Calibri" w:cs="Calibri"/>
          <w:b/>
          <w:color w:val="0B1E3A"/>
          <w:sz w:val="56"/>
        </w:rPr>
        <w:t>Siraj</w:t>
      </w:r>
    </w:p>
    <w:p>
      <w:pPr>
        <w:spacing w:after="280"/>
      </w:pPr>
      <w:r>
        <w:rPr>
          <w:rFonts w:ascii="Calibri" w:hAnsi="Calibri" w:cs="Calibri"/>
          <w:b/>
          <w:color w:val="C66F45"/>
          <w:sz w:val="28"/>
        </w:rPr>
        <w:t>AI-powered personal finance advisor for the Saudi market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624"/>
      </w:tblGrid>
      <w:tr>
        <w:tc>
          <w:tcPr>
            <w:tcW w:type="dxa" w:w="4680"/>
            <w:shd w:fill="F7F3E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Field</w:t>
            </w:r>
          </w:p>
        </w:tc>
        <w:tc>
          <w:tcPr>
            <w:tcW w:type="dxa" w:w="4680"/>
            <w:shd w:fill="F7F3E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Details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Document type</w:t>
            </w:r>
          </w:p>
        </w:tc>
        <w:tc>
          <w:tcPr>
            <w:tcW w:type="dxa" w:w="662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Product Design Requirements (PDR)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662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662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July 9, 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Product</w:t>
            </w:r>
          </w:p>
        </w:tc>
        <w:tc>
          <w:tcPr>
            <w:tcW w:type="dxa" w:w="662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Siraj - سراج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Design palette</w:t>
            </w:r>
          </w:p>
        </w:tc>
        <w:tc>
          <w:tcPr>
            <w:tcW w:type="dxa" w:w="662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Deep navy, copper, lavender, off-white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Primary audience</w:t>
            </w:r>
          </w:p>
        </w:tc>
        <w:tc>
          <w:tcPr>
            <w:tcW w:type="dxa" w:w="662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Hackathon judges, product team, designers, developers</w:t>
            </w:r>
          </w:p>
        </w:tc>
      </w:tr>
    </w:tbl>
    <w:p>
      <w:pPr>
        <w:spacing w:before="0" w:after="16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7F3EF"/>
            <w:vAlign w:val="center"/>
          </w:tcPr>
          <w:p>
            <w:pPr>
              <w:spacing w:before="80" w:after="40"/>
            </w:pPr>
            <w:r>
              <w:rPr>
                <w:rFonts w:ascii="Calibri" w:hAnsi="Calibri" w:cs="Calibri"/>
                <w:b/>
                <w:color w:val="C66F45"/>
                <w:sz w:val="21"/>
              </w:rPr>
              <w:t>Executive summary</w:t>
              <w:br/>
            </w:r>
            <w:r>
              <w:rPr>
                <w:rFonts w:ascii="Calibri" w:hAnsi="Calibri" w:cs="Calibri"/>
                <w:color w:val="000000"/>
                <w:sz w:val="20"/>
              </w:rPr>
              <w:t>Siraj is a Saudi-focused AI financial advisor that analyzes banking data, classifies spending, calculates financial health, and turns everyday money behavior into actionable recommendations, savings plans, proactive alerts, and guided transaction flows.</w:t>
            </w:r>
          </w:p>
        </w:tc>
      </w:tr>
    </w:tbl>
    <w:p>
      <w:pPr>
        <w:spacing w:before="0" w:after="160" w:line="264" w:lineRule="auto"/>
      </w:pPr>
    </w:p>
    <w:p>
      <w:pPr>
        <w:pStyle w:val="Heading1"/>
        <w:keepNext/>
      </w:pPr>
      <w:r>
        <w:rPr>
          <w:rFonts w:ascii="Calibri" w:hAnsi="Calibri" w:cs="Calibri"/>
          <w:b/>
          <w:color w:val="0B1E3A"/>
          <w:sz w:val="32"/>
        </w:rPr>
        <w:t>1. Product Overview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Siraj helps users understand where their money goes and what to do next. The product combines a financial dashboard, transaction intelligence, Saudi Arabic AI chat, proactive financial alerts, and secure banking workflows into one guided personal finance experience.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Problem: users have access to bank data but often lack clear, personalized interpretation.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Solution: transform account and transaction data into understandable insights, plans, and actions.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Market fit: Arabic RTL UX, Saudi dialect support, and recommendations aligned to local financial behavior.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Trust requirement: no financial operation should execute without clear user confirmation.</w:t>
      </w:r>
    </w:p>
    <w:p>
      <w:pPr>
        <w:pStyle w:val="Heading1"/>
        <w:keepNext/>
      </w:pPr>
      <w:r>
        <w:rPr>
          <w:rFonts w:ascii="Calibri" w:hAnsi="Calibri" w:cs="Calibri"/>
          <w:b/>
          <w:color w:val="0B1E3A"/>
          <w:sz w:val="32"/>
        </w:rPr>
        <w:t>2. Product Goals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Give users a clear, real-time view of income, spending, savings, and financial health.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Classify transactions automatically and explain spending behavior in simple Arabic.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Provide AI recommendations that help users save more and avoid financial shortfalls.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Support conversational commands in Saudi dialect, including transfer, spending inquiry, and savings requests.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Create a polished, credible UX suitable for a hackathon demo and future banking integrations.</w:t>
      </w:r>
    </w:p>
    <w:p>
      <w:pPr>
        <w:pStyle w:val="Heading1"/>
        <w:keepNext/>
      </w:pPr>
      <w:r>
        <w:rPr>
          <w:rFonts w:ascii="Calibri" w:hAnsi="Calibri" w:cs="Calibri"/>
          <w:b/>
          <w:color w:val="0B1E3A"/>
          <w:sz w:val="32"/>
        </w:rPr>
        <w:t>3. Target Users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240"/>
        <w:gridCol w:w="3384"/>
      </w:tblGrid>
      <w:tr>
        <w:tc>
          <w:tcPr>
            <w:tcW w:type="dxa" w:w="3120"/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User segment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Need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Siraj value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Everyday banking customer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Understand spending and savings quickly.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Dashboard KPIs, charts, and simple insights.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Young professional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Plan monthly expenses and avoid overspending.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Savings plans, alerts, and category tracking.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Arabic-first user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Use natural Saudi phrases instead of formal banking language.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Saudi dialect NLP and intent detection.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Banking/fintech partner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Demonstrate AI value on transaction data.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API-ready dashboard, agent workflow, and measurable tests.</w:t>
            </w:r>
          </w:p>
        </w:tc>
      </w:tr>
    </w:tbl>
    <w:p>
      <w:pPr>
        <w:spacing w:before="0" w:after="160" w:line="264" w:lineRule="auto"/>
      </w:pPr>
    </w:p>
    <w:p>
      <w:pPr>
        <w:pStyle w:val="Heading1"/>
        <w:keepNext/>
      </w:pPr>
      <w:r>
        <w:rPr>
          <w:rFonts w:ascii="Calibri" w:hAnsi="Calibri" w:cs="Calibri"/>
          <w:b/>
          <w:color w:val="0B1E3A"/>
          <w:sz w:val="32"/>
        </w:rPr>
        <w:t>4. UX/UI Direction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The UI should feel premium, calm, and trustworthy. The Amad palette informs the product identity: deep navy for trust and structure, copper for primary actions and financial highlights, lavender for AI moments, and off-white for approachable surfaces.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520"/>
        <w:gridCol w:w="4608"/>
      </w:tblGrid>
      <w:tr>
        <w:tc>
          <w:tcPr>
            <w:tcW w:type="dxa" w:w="3120"/>
            <w:shd w:fill="F7F3E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Color</w:t>
            </w:r>
          </w:p>
        </w:tc>
        <w:tc>
          <w:tcPr>
            <w:tcW w:type="dxa" w:w="3120"/>
            <w:shd w:fill="F7F3E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Role</w:t>
            </w:r>
          </w:p>
        </w:tc>
        <w:tc>
          <w:tcPr>
            <w:tcW w:type="dxa" w:w="3120"/>
            <w:shd w:fill="F7F3E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Usage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Deep navy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Trust / structure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Sidebar, headings, primary text, chart anchors.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Copper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Action / warmth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Primary CTA, active finance indicators, key highlights.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Lavender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AI / guidance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Siraj AI states, assistant chips, secondary accents.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Off-white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Calm surface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Dashboard cards, background, empty states.</w:t>
            </w:r>
          </w:p>
        </w:tc>
      </w:tr>
    </w:tbl>
    <w:p>
      <w:pPr>
        <w:spacing w:before="0" w:after="160" w:line="264" w:lineRule="auto"/>
      </w:pPr>
    </w:p>
    <w:p>
      <w:pPr>
        <w:pStyle w:val="Heading2"/>
        <w:keepNext/>
      </w:pPr>
      <w:r>
        <w:rPr>
          <w:rFonts w:ascii="Calibri" w:hAnsi="Calibri" w:cs="Calibri"/>
          <w:b/>
          <w:color w:val="C66F45"/>
          <w:sz w:val="26"/>
        </w:rPr>
        <w:t>UI Concept A - Mobile Light Dashboard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A compact mobile-first dashboard direction focused on quick financial understanding and AI guidance.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036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aj_ui_design_1_mobile_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36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Calibri" w:hAnsi="Calibri" w:cs="Calibri"/>
          <w:b/>
          <w:color w:val="C66F45"/>
          <w:sz w:val="26"/>
        </w:rPr>
        <w:t>UI Concept B - Desktop Dark Analytics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A richer analytics dashboard direction for product demos, reports, and power-user workflows.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2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aj_ui_design_2_desktop_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rPr>
          <w:rFonts w:ascii="Calibri" w:hAnsi="Calibri" w:cs="Calibri"/>
          <w:b/>
          <w:color w:val="0B1E3A"/>
          <w:sz w:val="32"/>
        </w:rPr>
        <w:t>5. Feature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400"/>
        <w:gridCol w:w="1584"/>
      </w:tblGrid>
      <w:tr>
        <w:tc>
          <w:tcPr>
            <w:tcW w:type="dxa" w:w="3120"/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Feature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Description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Priority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RTL dashboard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Arabic interface with summary cards, charts, navigation, and quick actions.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MVP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Financial summary cards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Show total income, total expenses, net savings, and savings rate.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MVP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Expense analytics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Top expenses chart and spending distribution by category.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MVP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Transactions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View, add, categorize, and track financial transactions.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MVP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Siraj AI assistant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Chat interface that answers questions using account and transaction context.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MVP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Saudi dialect NLP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Detect intent from phrases such as transfer requests, spending questions, and savings goals.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Advanced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Financial health score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Calculate and display a score based on spending, saving, and account behavior.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MVP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Savings plan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Suggest personalized monthly and seasonal saving plans.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Advanced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Proactive alerts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Warn about overspending, unused subscriptions, risks, and opportunities.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Advanced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Transfer confirmation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Require confirmation before executing financial operations.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MVP</w:t>
            </w:r>
          </w:p>
        </w:tc>
      </w:tr>
    </w:tbl>
    <w:p>
      <w:pPr>
        <w:spacing w:before="0" w:after="160" w:line="264" w:lineRule="auto"/>
      </w:pPr>
    </w:p>
    <w:p>
      <w:pPr>
        <w:pStyle w:val="Heading1"/>
        <w:keepNext/>
      </w:pPr>
      <w:r>
        <w:rPr>
          <w:rFonts w:ascii="Calibri" w:hAnsi="Calibri" w:cs="Calibri"/>
          <w:b/>
          <w:color w:val="0B1E3A"/>
          <w:sz w:val="32"/>
        </w:rPr>
        <w:t>6. AI and Agent Requirements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The LLM must answer from available financial data and avoid inventing account facts.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The agent must classify user intent before suggesting a workflow.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Money movement must require a confirmation step before execution.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The assistant should route users to the right screen when a task needs UI interaction.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The NLP layer should support informal Saudi Arabic phrases and mixed Arabic/English banking terms.</w:t>
      </w:r>
    </w:p>
    <w:p>
      <w:pPr>
        <w:pStyle w:val="Heading1"/>
        <w:keepNext/>
      </w:pPr>
      <w:r>
        <w:rPr>
          <w:rFonts w:ascii="Calibri" w:hAnsi="Calibri" w:cs="Calibri"/>
          <w:b/>
          <w:color w:val="0B1E3A"/>
          <w:sz w:val="32"/>
        </w:rPr>
        <w:t>7. Data and Integration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984"/>
      </w:tblGrid>
      <w:tr>
        <w:tc>
          <w:tcPr>
            <w:tcW w:type="dxa" w:w="4680"/>
            <w:shd w:fill="F7F3E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Component</w:t>
            </w:r>
          </w:p>
        </w:tc>
        <w:tc>
          <w:tcPr>
            <w:tcW w:type="dxa" w:w="4680"/>
            <w:shd w:fill="F7F3E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Requirement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Bank data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Use experimental accounts, transactions, payment cards, and banking products for demo data.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Store balances, transaction history, card state, transfers, and AI interaction metadata securely.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API layer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Connect frontend to backend for balances, transfers, AI recommendations, and reports.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Processing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Clean data, normalize transaction descriptions, classify categories, and calculate financial health.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Protect user data privacy, validate actions, and minimize sensitive data exposure.</w:t>
            </w:r>
          </w:p>
        </w:tc>
      </w:tr>
    </w:tbl>
    <w:p>
      <w:pPr>
        <w:spacing w:before="0" w:after="160" w:line="264" w:lineRule="auto"/>
      </w:pPr>
    </w:p>
    <w:p>
      <w:pPr>
        <w:pStyle w:val="Heading1"/>
        <w:keepNext/>
      </w:pPr>
      <w:r>
        <w:rPr>
          <w:rFonts w:ascii="Calibri" w:hAnsi="Calibri" w:cs="Calibri"/>
          <w:b/>
          <w:color w:val="0B1E3A"/>
          <w:sz w:val="32"/>
        </w:rPr>
        <w:t>8. Key User Flows</w:t>
      </w:r>
    </w:p>
    <w:p>
      <w:pPr>
        <w:pStyle w:val="Heading2"/>
        <w:keepNext/>
      </w:pPr>
      <w:r>
        <w:rPr>
          <w:rFonts w:ascii="Calibri" w:hAnsi="Calibri" w:cs="Calibri"/>
          <w:b/>
          <w:color w:val="C66F45"/>
          <w:sz w:val="26"/>
        </w:rPr>
        <w:t>Flow 1 - Understand spending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User opens the dashboard.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Siraj shows income, expenses, savings, and savings rate.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User reviews top expenses and category distribution.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User opens Siraj insight to receive a short recommendation.</w:t>
      </w:r>
    </w:p>
    <w:p>
      <w:pPr>
        <w:pStyle w:val="Heading2"/>
        <w:keepNext/>
      </w:pPr>
      <w:r>
        <w:rPr>
          <w:rFonts w:ascii="Calibri" w:hAnsi="Calibri" w:cs="Calibri"/>
          <w:b/>
          <w:color w:val="C66F45"/>
          <w:sz w:val="26"/>
        </w:rPr>
        <w:t>Flow 2 - Ask Siraj where money went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User types: وين راحت فلوسي؟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NLP detects spending inquiry intent.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System retrieves recent transactions and category trends.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Siraj responds with a concise explanation and suggests next action.</w:t>
      </w:r>
    </w:p>
    <w:p>
      <w:pPr>
        <w:pStyle w:val="Heading2"/>
        <w:keepNext/>
      </w:pPr>
      <w:r>
        <w:rPr>
          <w:rFonts w:ascii="Calibri" w:hAnsi="Calibri" w:cs="Calibri"/>
          <w:b/>
          <w:color w:val="C66F45"/>
          <w:sz w:val="26"/>
        </w:rPr>
        <w:t>Flow 3 - Transfer money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User asks to transfer money.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Agent extracts amount, recipient, and source account.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System displays confirmation details.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Transfer executes only after explicit confirmation.</w:t>
      </w:r>
    </w:p>
    <w:p>
      <w:pPr>
        <w:pStyle w:val="ListNumber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Balances and transaction history update immediately.</w:t>
      </w:r>
    </w:p>
    <w:p>
      <w:pPr>
        <w:pStyle w:val="Heading1"/>
        <w:keepNext/>
      </w:pPr>
      <w:r>
        <w:rPr>
          <w:rFonts w:ascii="Calibri" w:hAnsi="Calibri" w:cs="Calibri"/>
          <w:b/>
          <w:color w:val="0B1E3A"/>
          <w:sz w:val="32"/>
        </w:rPr>
        <w:t>9. Success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5832"/>
      </w:tblGrid>
      <w:tr>
        <w:tc>
          <w:tcPr>
            <w:tcW w:type="dxa" w:w="4680"/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Metric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Target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Transaction classification accuracy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At least 90% on experimental data.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Saudi dialect intent extraction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Maintain or exceed the prototype result of 91%.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Dashboard comprehension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Users can identify income, expenses, and savings in under 10 seconds.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Transfer safety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100% of money movement flows include confirmation before execution.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API reliability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Successful responses for balance, transaction, and AI calls during demo flow.</w:t>
            </w:r>
          </w:p>
        </w:tc>
      </w:tr>
    </w:tbl>
    <w:p>
      <w:pPr>
        <w:spacing w:before="0" w:after="160" w:line="264" w:lineRule="auto"/>
      </w:pPr>
    </w:p>
    <w:p>
      <w:pPr>
        <w:pStyle w:val="Heading1"/>
        <w:keepNext/>
      </w:pPr>
      <w:r>
        <w:rPr>
          <w:rFonts w:ascii="Calibri" w:hAnsi="Calibri" w:cs="Calibri"/>
          <w:b/>
          <w:color w:val="0B1E3A"/>
          <w:sz w:val="32"/>
        </w:rPr>
        <w:t>10. Scope and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128"/>
      </w:tblGrid>
      <w:tr>
        <w:tc>
          <w:tcPr>
            <w:tcW w:type="dxa" w:w="4680"/>
            <w:shd w:fill="F7F3E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Phase</w:t>
            </w:r>
          </w:p>
        </w:tc>
        <w:tc>
          <w:tcPr>
            <w:tcW w:type="dxa" w:w="4680"/>
            <w:shd w:fill="F7F3E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/>
                <w:color w:val="0B1E3A"/>
                <w:sz w:val="19"/>
              </w:rPr>
              <w:t>Scope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MVP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Dashboard, transaction data, charts, AI recommendations, financial health score, transfer confirmation.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Phase 2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Deeper Saudi dialect coverage, subscription detection, seasonal predictions, richer reports.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Phase 3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Real banking integrations, long-term planning, partner ecosystem, advanced privacy controls.</w:t>
            </w:r>
          </w:p>
        </w:tc>
      </w:tr>
    </w:tbl>
    <w:p>
      <w:pPr>
        <w:spacing w:before="0" w:after="160" w:line="264" w:lineRule="auto"/>
      </w:pPr>
    </w:p>
    <w:p>
      <w:pPr>
        <w:pStyle w:val="Heading1"/>
        <w:keepNext/>
      </w:pPr>
      <w:r>
        <w:rPr>
          <w:rFonts w:ascii="Calibri" w:hAnsi="Calibri" w:cs="Calibri"/>
          <w:b/>
          <w:color w:val="0B1E3A"/>
          <w:sz w:val="32"/>
        </w:rPr>
        <w:t>11. Risks and Open Questions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Transaction descriptions differ across banks, which can reduce classification accuracy.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Financial recommendations must be carefully worded to avoid unsafe or overconfident advice.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Banking integrations will require strong security, permissions, audit trails, and compliance review.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Arabic text rendering and RTL layout need dedicated QA across desktop and mobile breakpoints.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Future product definition should clarify whether Siraj is bank-owned, standalone, or partner-integrated.</w:t>
      </w:r>
    </w:p>
    <w:p>
      <w:pPr>
        <w:pStyle w:val="Heading1"/>
        <w:keepNext/>
      </w:pPr>
      <w:r>
        <w:rPr>
          <w:rFonts w:ascii="Calibri" w:hAnsi="Calibri" w:cs="Calibri"/>
          <w:b/>
          <w:color w:val="0B1E3A"/>
          <w:sz w:val="32"/>
        </w:rPr>
        <w:t>12. Acceptance Criteria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Dashboard displays the four core financial KPIs and at least two analytics charts.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User can add or view transactions and see category-level spending.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Siraj AI can answer at least three core intents: transfer, spending explanation, and savings request.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Transfer flow includes confirmation and updates balances after completion.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Design uses the agreed palette consistently and supports Arabic RTL presentation.</w:t>
      </w:r>
    </w:p>
    <w:p>
      <w:pPr>
        <w:pStyle w:val="ListBullet"/>
        <w:spacing w:after="80" w:line="280" w:lineRule="auto"/>
      </w:pPr>
      <w:r>
        <w:rPr>
          <w:rFonts w:ascii="Calibri" w:hAnsi="Calibri" w:cs="Calibri"/>
          <w:color w:val="000000"/>
          <w:sz w:val="21"/>
        </w:rPr>
        <w:t>Prototype can demonstrate the full story from data ingestion to AI recommendation.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color w:val="555555"/>
        <w:sz w:val="18"/>
      </w:rPr>
      <w:t>Siraj - AI Financial Advisor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color w:val="555555"/>
        <w:sz w:val="18"/>
      </w:rPr>
      <w:t>Siraj PDR | Product Design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1E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C66F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1E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