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78A17" w14:textId="77777777" w:rsidR="00680430" w:rsidRPr="002A36EE" w:rsidRDefault="00D02348">
      <w:pPr>
        <w:jc w:val="center"/>
        <w:rPr>
          <w:rFonts w:cs="Times New Roman"/>
        </w:rPr>
      </w:pPr>
      <w:r w:rsidRPr="002A36EE">
        <w:rPr>
          <w:rFonts w:cs="Times New Roman"/>
          <w:b/>
          <w:sz w:val="30"/>
        </w:rPr>
        <w:t>From Preferences to Reciprocity: Firm Adjustment after the EU-Ecuador Free Trade Agreement</w:t>
      </w:r>
    </w:p>
    <w:p w14:paraId="0D09528D" w14:textId="77777777" w:rsidR="00680430" w:rsidRPr="002A36EE" w:rsidRDefault="00680430">
      <w:pPr>
        <w:jc w:val="center"/>
        <w:rPr>
          <w:rFonts w:cs="Times New Roman"/>
        </w:rPr>
      </w:pPr>
    </w:p>
    <w:p w14:paraId="39B0958F" w14:textId="77777777" w:rsidR="00680430" w:rsidRPr="002A36EE" w:rsidRDefault="00D02348">
      <w:pPr>
        <w:jc w:val="center"/>
        <w:rPr>
          <w:rFonts w:cs="Times New Roman"/>
        </w:rPr>
      </w:pPr>
      <w:r w:rsidRPr="002A36EE">
        <w:rPr>
          <w:rFonts w:cs="Times New Roman"/>
          <w:b/>
        </w:rPr>
        <w:t>Abstract</w:t>
      </w:r>
    </w:p>
    <w:p w14:paraId="46665A7A" w14:textId="01DF9555" w:rsidR="00680430" w:rsidRPr="002A36EE" w:rsidRDefault="004D1039">
      <w:pPr>
        <w:jc w:val="both"/>
        <w:rPr>
          <w:rFonts w:cs="Times New Roman"/>
        </w:rPr>
      </w:pPr>
      <w:r w:rsidRPr="002A36EE">
        <w:rPr>
          <w:rFonts w:cs="Times New Roman"/>
        </w:rPr>
        <w:t xml:space="preserve">The 2017 trade agreement between Ecuador and the European Union replaced a system of unilateral trade preferences with a reciprocal framework that preserved Ecuador’s access to the European market while gradually reducing its tariffs on European goods. This chapter examines how this transition affected firms operating in Ecuador. We combine firm-level financial statements from the </w:t>
      </w:r>
      <w:proofErr w:type="spellStart"/>
      <w:r w:rsidRPr="002A36EE">
        <w:rPr>
          <w:rFonts w:cs="Times New Roman"/>
          <w:i/>
          <w:iCs/>
        </w:rPr>
        <w:t>Superintendencia</w:t>
      </w:r>
      <w:proofErr w:type="spellEnd"/>
      <w:r w:rsidRPr="002A36EE">
        <w:rPr>
          <w:rFonts w:cs="Times New Roman"/>
          <w:i/>
          <w:iCs/>
        </w:rPr>
        <w:t xml:space="preserve"> de </w:t>
      </w:r>
      <w:proofErr w:type="spellStart"/>
      <w:r w:rsidRPr="002A36EE">
        <w:rPr>
          <w:rFonts w:cs="Times New Roman"/>
          <w:i/>
          <w:iCs/>
        </w:rPr>
        <w:t>Compañías</w:t>
      </w:r>
      <w:proofErr w:type="spellEnd"/>
      <w:r w:rsidRPr="002A36EE">
        <w:rPr>
          <w:rFonts w:cs="Times New Roman"/>
          <w:i/>
          <w:iCs/>
        </w:rPr>
        <w:t xml:space="preserve">, </w:t>
      </w:r>
      <w:proofErr w:type="spellStart"/>
      <w:r w:rsidRPr="002A36EE">
        <w:rPr>
          <w:rFonts w:cs="Times New Roman"/>
          <w:i/>
          <w:iCs/>
        </w:rPr>
        <w:t>Valores</w:t>
      </w:r>
      <w:proofErr w:type="spellEnd"/>
      <w:r w:rsidRPr="002A36EE">
        <w:rPr>
          <w:rFonts w:cs="Times New Roman"/>
          <w:i/>
          <w:iCs/>
        </w:rPr>
        <w:t xml:space="preserve"> y </w:t>
      </w:r>
      <w:proofErr w:type="spellStart"/>
      <w:r w:rsidRPr="002A36EE">
        <w:rPr>
          <w:rFonts w:cs="Times New Roman"/>
          <w:i/>
          <w:iCs/>
        </w:rPr>
        <w:t>Seguros</w:t>
      </w:r>
      <w:proofErr w:type="spellEnd"/>
      <w:r w:rsidRPr="002A36EE">
        <w:rPr>
          <w:rFonts w:cs="Times New Roman"/>
        </w:rPr>
        <w:t xml:space="preserve"> with customs records from the Central Bank of Ecuador covering 2014–2023, excluding 2022 because the underlying records are incomplete. To identify the agreement’s effects, we exploit differences in the magnitude and timing of tariff reductions across products and firms’ pre-existing import baskets. Specifically, we construct a firm-level measure that combines each firm’s 2014 composition of imports from Europe with the statutory tariff changes implemented after 2016, and use it to isolate the component of import growth induced by the agreement rather than by changes in firms’ own business conditions. Because the agreement largely maintained existing export access while progressively liberalizing imports, its most visible effects emerged on the import side. Firms more exposed to tariff reductions increased their imports from Europe and, over time, expanded their use of materials, sales, and employment. However, we find no evidence that lower tariffs generated measurable productivity gains within the period studied. The Ecuadorian case shows that the domestic effects of moving from preferences to reciprocity can be economically meaningful but gradual, appearing first through sourcing and production scale rather than through immediate improvements in productivity</w:t>
      </w:r>
      <w:r w:rsidR="00D02348" w:rsidRPr="002A36EE">
        <w:rPr>
          <w:rFonts w:cs="Times New Roman"/>
        </w:rPr>
        <w:t>.</w:t>
      </w:r>
    </w:p>
    <w:p w14:paraId="11C6F45D" w14:textId="69086363" w:rsidR="00680430" w:rsidRPr="002A36EE" w:rsidRDefault="00724B50">
      <w:pPr>
        <w:rPr>
          <w:rFonts w:cs="Times New Roman"/>
        </w:rPr>
      </w:pPr>
      <w:r w:rsidRPr="002A36EE">
        <w:rPr>
          <w:rFonts w:cs="Times New Roman"/>
          <w:b/>
          <w:i/>
          <w:iCs/>
        </w:rPr>
        <w:t>Keywords</w:t>
      </w:r>
      <w:r w:rsidRPr="002A36EE">
        <w:rPr>
          <w:rFonts w:cs="Times New Roman"/>
          <w:b/>
        </w:rPr>
        <w:t>:</w:t>
      </w:r>
      <w:r w:rsidR="0041171C">
        <w:rPr>
          <w:rFonts w:cs="Times New Roman"/>
          <w:bCs/>
        </w:rPr>
        <w:t xml:space="preserve"> </w:t>
      </w:r>
      <w:r w:rsidR="0041171C" w:rsidRPr="0041171C">
        <w:rPr>
          <w:rFonts w:cs="Times New Roman"/>
          <w:bCs/>
        </w:rPr>
        <w:t>trade liberalization, firm adjustment, imported inputs, EU–Ecuador Trade Agreement, political economy of trade</w:t>
      </w:r>
      <w:r w:rsidRPr="002A36EE">
        <w:rPr>
          <w:rFonts w:cs="Times New Roman"/>
          <w:bCs/>
        </w:rPr>
        <w:t>.</w:t>
      </w:r>
      <w:r w:rsidR="00D02348" w:rsidRPr="002A36EE">
        <w:rPr>
          <w:rFonts w:cs="Times New Roman"/>
        </w:rPr>
        <w:br w:type="page"/>
      </w:r>
    </w:p>
    <w:p w14:paraId="189940D2"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lastRenderedPageBreak/>
        <w:t>Introduction</w:t>
      </w:r>
    </w:p>
    <w:p w14:paraId="4A587222" w14:textId="77777777" w:rsidR="00680430" w:rsidRPr="002A36EE" w:rsidRDefault="00D02348">
      <w:pPr>
        <w:spacing w:after="120"/>
        <w:jc w:val="both"/>
        <w:rPr>
          <w:rFonts w:cs="Times New Roman"/>
        </w:rPr>
      </w:pPr>
      <w:r w:rsidRPr="002A36EE">
        <w:rPr>
          <w:rFonts w:cs="Times New Roman"/>
        </w:rPr>
        <w:t>The 2017 trade agreement between Ecuador and the European Union marked a turning point in the bilateral relationship. For years, Ecuador's access to the European market rested on nonreciprocal preference schemes that granted favorable treatment to its exports. That arrangement made the relationship institutionally fragile: Europe was a major destination for Ecuadorian goods, yet the basis of that access depended on a unilateral regime that could be modified at any time. Ecuador's accession to the EU-Colombia-Peru framework, which entered into force on January 1, 2017, changed that. It replaced preferences with reciprocity and, in doing so, redefined the institutional basis of Ecuador's relationship with Europe (Grijalva et al., 2022).</w:t>
      </w:r>
    </w:p>
    <w:p w14:paraId="3E1F64E2" w14:textId="24F38B72" w:rsidR="00680430" w:rsidRPr="002A36EE" w:rsidRDefault="00D02348">
      <w:pPr>
        <w:spacing w:after="120"/>
        <w:jc w:val="both"/>
        <w:rPr>
          <w:rFonts w:cs="Times New Roman"/>
        </w:rPr>
      </w:pPr>
      <w:r w:rsidRPr="002A36EE">
        <w:rPr>
          <w:rFonts w:cs="Times New Roman"/>
        </w:rPr>
        <w:t xml:space="preserve">The importance of that shift was not only diplomatic or legal. It also changed how integration with Europe affects the Ecuadorian economy. </w:t>
      </w:r>
      <w:r w:rsidR="009626AB" w:rsidRPr="002A36EE">
        <w:rPr>
          <w:rFonts w:cs="Times New Roman"/>
        </w:rPr>
        <w:t>On the export side, the agreement largely consolidated the preferential access that Ecuadorian products had already enjoyed under the GSP+ regime. For the export products covered by the agreement, average tariffs fell directly from their pre-implementation base rates to zero when the agreement entered into force in 2017. On the import side, by contrast, Ecuador’s tariff reductions were gradual and varied across products. For example, the annual average tariff on machinery and electrical equipment imported from Europe fell from about 4.9 percent in 2016 to 0.6 percent in 2023, a reduction of approximately 87 percent. For textiles and textile articles, the average tariff fell by more than 99 percent, from about 28.3 percent to approximately 0.1 percent over the same period. This contrast between immediate tariff elimination for covered Ecuadorian exports and the staggered liberalization of European imports shaped the way firms adjusted to the agreement.</w:t>
      </w:r>
      <w:r w:rsidRPr="002A36EE">
        <w:rPr>
          <w:rFonts w:cs="Times New Roman"/>
        </w:rPr>
        <w:t xml:space="preserve"> This asymmetry is central to the chapter's argument. Because the agreement did not radically transform Ecuador's export access to Europe, its most visible effects were likely to emerge through the opening of the Ecuadorian market to European products, including intermediate and capital goods. In that sense, the agreement opened a new phase of integration, whose domestic effects were expected to manifest through imports, sourcing, and production decisions.</w:t>
      </w:r>
    </w:p>
    <w:p w14:paraId="3C56306C" w14:textId="2C2FFA75" w:rsidR="00666790" w:rsidRPr="002A36EE" w:rsidRDefault="00666790" w:rsidP="00666790">
      <w:pPr>
        <w:spacing w:after="120"/>
        <w:jc w:val="both"/>
        <w:rPr>
          <w:rFonts w:cs="Times New Roman"/>
        </w:rPr>
      </w:pPr>
      <w:r w:rsidRPr="002A36EE">
        <w:rPr>
          <w:rFonts w:cs="Times New Roman"/>
        </w:rPr>
        <w:t xml:space="preserve">This chapter examines how that new phase of integration affected Ecuadorian firms. We construct a firm-level panel covering the period from 2014 to 2023 by combining monthly customs records from the Central Bank of Ecuador with annual financial statements filed with the </w:t>
      </w:r>
      <w:proofErr w:type="spellStart"/>
      <w:r w:rsidRPr="002A36EE">
        <w:rPr>
          <w:rFonts w:cs="Times New Roman"/>
          <w:i/>
          <w:iCs/>
        </w:rPr>
        <w:t>Superintendencia</w:t>
      </w:r>
      <w:proofErr w:type="spellEnd"/>
      <w:r w:rsidRPr="002A36EE">
        <w:rPr>
          <w:rFonts w:cs="Times New Roman"/>
          <w:i/>
          <w:iCs/>
        </w:rPr>
        <w:t xml:space="preserve"> de </w:t>
      </w:r>
      <w:proofErr w:type="spellStart"/>
      <w:r w:rsidRPr="002A36EE">
        <w:rPr>
          <w:rFonts w:cs="Times New Roman"/>
          <w:i/>
          <w:iCs/>
        </w:rPr>
        <w:t>Compañías</w:t>
      </w:r>
      <w:proofErr w:type="spellEnd"/>
      <w:r w:rsidRPr="002A36EE">
        <w:rPr>
          <w:rFonts w:cs="Times New Roman"/>
          <w:i/>
          <w:iCs/>
        </w:rPr>
        <w:t xml:space="preserve">, </w:t>
      </w:r>
      <w:proofErr w:type="spellStart"/>
      <w:r w:rsidRPr="002A36EE">
        <w:rPr>
          <w:rFonts w:cs="Times New Roman"/>
          <w:i/>
          <w:iCs/>
        </w:rPr>
        <w:t>Valores</w:t>
      </w:r>
      <w:proofErr w:type="spellEnd"/>
      <w:r w:rsidRPr="002A36EE">
        <w:rPr>
          <w:rFonts w:cs="Times New Roman"/>
          <w:i/>
          <w:iCs/>
        </w:rPr>
        <w:t xml:space="preserve"> y </w:t>
      </w:r>
      <w:proofErr w:type="spellStart"/>
      <w:r w:rsidRPr="002A36EE">
        <w:rPr>
          <w:rFonts w:cs="Times New Roman"/>
          <w:i/>
          <w:iCs/>
        </w:rPr>
        <w:t>Seguros</w:t>
      </w:r>
      <w:proofErr w:type="spellEnd"/>
      <w:r w:rsidRPr="002A36EE">
        <w:rPr>
          <w:rFonts w:cs="Times New Roman"/>
        </w:rPr>
        <w:t>. The customs records identify firms’ imports and exports by product, trading partner, and country of origin or destination using the ten-digit NANDINA classification, while the financial statements provide information on sales, material costs, employment, wages, capital, value added, and other firm characteristics. After harmonizing firm identifiers, we aggregate the customs transactions to the firm-year level and link them to the corresponding financial records.</w:t>
      </w:r>
    </w:p>
    <w:p w14:paraId="1497C4E1" w14:textId="79590548" w:rsidR="00666790" w:rsidRPr="002A36EE" w:rsidRDefault="00666790" w:rsidP="00666790">
      <w:pPr>
        <w:spacing w:after="120"/>
        <w:jc w:val="both"/>
        <w:rPr>
          <w:rFonts w:cs="Times New Roman"/>
        </w:rPr>
      </w:pPr>
      <w:r w:rsidRPr="002A36EE">
        <w:rPr>
          <w:rFonts w:cs="Times New Roman"/>
        </w:rPr>
        <w:t>To identify the effects of the agreement, we exploit the fact that tariff reductions differed across products and were implemented at different speeds. Firms entered the agreement with different import baskets and were therefore exposed to different tariff changes. We measure this exposure by combining each firm’s pre-agreement composition of imports from Europe in 2014 with the statutory tariff reductions measured relative to 2016, the last year before the agreement entered into force. This produces a firm-specific measure of the import-cost reduction generated by the treaty and allows us to isolate the component of European import growth associated with the agreement’s tariff schedule rather than with changes in firms’ own business conditions (</w:t>
      </w:r>
      <w:proofErr w:type="spellStart"/>
      <w:r w:rsidRPr="002A36EE">
        <w:rPr>
          <w:rFonts w:cs="Times New Roman"/>
        </w:rPr>
        <w:t>Borusyak</w:t>
      </w:r>
      <w:proofErr w:type="spellEnd"/>
      <w:r w:rsidRPr="002A36EE">
        <w:rPr>
          <w:rFonts w:cs="Times New Roman"/>
        </w:rPr>
        <w:t xml:space="preserve"> et al., 2025; Goldsmith-Pinkham et al., 2020).</w:t>
      </w:r>
    </w:p>
    <w:p w14:paraId="556E0678" w14:textId="6E996A74" w:rsidR="00680430" w:rsidRPr="002A36EE" w:rsidRDefault="00666790" w:rsidP="00666790">
      <w:pPr>
        <w:spacing w:after="120"/>
        <w:jc w:val="both"/>
        <w:rPr>
          <w:rFonts w:cs="Times New Roman"/>
        </w:rPr>
      </w:pPr>
      <w:r w:rsidRPr="002A36EE">
        <w:rPr>
          <w:rFonts w:cs="Times New Roman"/>
        </w:rPr>
        <w:t xml:space="preserve">The central finding is straightforward: the agreement did not transform firms overnight. The effects emerged gradually, as lower tariffs progressively made European goods more accessible. Firms more exposed to those tariff reductions increased their imports from Europe and, over time, increased their use of materials, sales, and employment. Yet, we find no evidence that these changes quickly translated into higher productivity. This shows that the impact of trade agreements may be judged too early: the </w:t>
      </w:r>
      <w:r w:rsidRPr="002A36EE">
        <w:rPr>
          <w:rFonts w:cs="Times New Roman"/>
        </w:rPr>
        <w:lastRenderedPageBreak/>
        <w:t>first years may look uneventful even when deeper adjustments are already underway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2007; Goldberg et al., 2010; Halpern et al., 2015)</w:t>
      </w:r>
      <w:r w:rsidR="00D02348" w:rsidRPr="002A36EE">
        <w:rPr>
          <w:rFonts w:cs="Times New Roman"/>
        </w:rPr>
        <w:t>.</w:t>
      </w:r>
    </w:p>
    <w:p w14:paraId="78FB17A9" w14:textId="4CD6BB36" w:rsidR="00680430" w:rsidRPr="002A36EE" w:rsidRDefault="00D02348">
      <w:pPr>
        <w:spacing w:after="120"/>
        <w:jc w:val="both"/>
        <w:rPr>
          <w:rFonts w:cs="Times New Roman"/>
        </w:rPr>
      </w:pPr>
      <w:r w:rsidRPr="002A36EE">
        <w:rPr>
          <w:rFonts w:cs="Times New Roman"/>
        </w:rPr>
        <w:t xml:space="preserve">This experience has implications beyond the Ecuadorian case. Ecuador is part of a wider transition now confronting countries whose preferential access to the European market is becoming more limited as their income status changes. For these countries, the move from unilateral preferences to reciprocal agreements does not simply preserve existing trade flows under a different legal form; it also creates new domestic adjustments whose effects may appear only slowly (Borchert &amp; Di Ubaldo, 2024; </w:t>
      </w:r>
      <w:r w:rsidR="00546F53" w:rsidRPr="002A36EE">
        <w:rPr>
          <w:rFonts w:cs="Times New Roman"/>
        </w:rPr>
        <w:t xml:space="preserve">López González &amp; </w:t>
      </w:r>
      <w:proofErr w:type="spellStart"/>
      <w:r w:rsidR="00546F53" w:rsidRPr="002A36EE">
        <w:rPr>
          <w:rFonts w:cs="Times New Roman"/>
        </w:rPr>
        <w:t>Gasiorek</w:t>
      </w:r>
      <w:proofErr w:type="spellEnd"/>
      <w:r w:rsidRPr="002A36EE">
        <w:rPr>
          <w:rFonts w:cs="Times New Roman"/>
        </w:rPr>
        <w:t>, 2011). The Ecuadorian case sheds light on a broader transformation in the European Union's economic relations with developing economies: the transition from preferences to reciprocity is not only a change in legal form, but also a shift whose domestic consequences first appear through imports, input use, and gradual firm adjustment.</w:t>
      </w:r>
    </w:p>
    <w:p w14:paraId="53C7A814"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t>The EU–Ecuador Agreement in Context</w:t>
      </w:r>
    </w:p>
    <w:p w14:paraId="554DEAA0" w14:textId="4C820914" w:rsidR="00135332" w:rsidRPr="002A36EE" w:rsidRDefault="00135332">
      <w:pPr>
        <w:spacing w:after="120"/>
        <w:jc w:val="both"/>
        <w:rPr>
          <w:rFonts w:cs="Times New Roman"/>
        </w:rPr>
      </w:pPr>
    </w:p>
    <w:p w14:paraId="1398C58D" w14:textId="6431D545" w:rsidR="00135332" w:rsidRPr="002A36EE" w:rsidRDefault="00135332" w:rsidP="00135332">
      <w:pPr>
        <w:spacing w:after="120"/>
        <w:jc w:val="both"/>
        <w:rPr>
          <w:rFonts w:cs="Times New Roman"/>
        </w:rPr>
      </w:pPr>
      <w:r w:rsidRPr="002A36EE">
        <w:rPr>
          <w:rFonts w:cs="Times New Roman"/>
        </w:rPr>
        <w:t>The agreement with the European Union emerged in a context shaped by both external pressure and domestic policy concerns. Guided by President Rafael Correa's (</w:t>
      </w:r>
      <w:r w:rsidR="0012485C" w:rsidRPr="002A36EE">
        <w:rPr>
          <w:rFonts w:cs="Times New Roman"/>
        </w:rPr>
        <w:t>2007–2017</w:t>
      </w:r>
      <w:r w:rsidRPr="002A36EE">
        <w:rPr>
          <w:rFonts w:cs="Times New Roman"/>
        </w:rPr>
        <w:t xml:space="preserve">) rejection of FTAs with trade partners in the Global North (Becker, 2013), </w:t>
      </w:r>
      <w:r w:rsidR="002A66DA" w:rsidRPr="002A36EE">
        <w:rPr>
          <w:rFonts w:cs="Times New Roman"/>
        </w:rPr>
        <w:t>Ecuador initially participated in the negotiations alongside Colombia and Peru but withdrew in 2009. The government objected both to the narrowing of the proposed association agreement into a predominantly commercial agreement and to the European Union’s treatment of Ecuadorian banana exports. Negotiations resumed in January 2013, as the economic costs of remaining outside the agreement became increasingly difficult to ignore. Colombia and Peru had already concluded their negotiations and would begin receiving preferential access to the European market during that year, while Ecuador faced the prospect of losing its existing trade preferences and market share in key exports, particularly bananas. These pressures led the government to return to the negotiations despite its continuing ideological reservations about conventional free trade agreements (Grijalva et al., 2022)</w:t>
      </w:r>
      <w:r w:rsidRPr="002A36EE">
        <w:rPr>
          <w:rFonts w:cs="Times New Roman"/>
        </w:rPr>
        <w:t>.</w:t>
      </w:r>
    </w:p>
    <w:p w14:paraId="4D6978D5" w14:textId="6966F8CC" w:rsidR="00D84135" w:rsidRPr="002A36EE" w:rsidRDefault="00D75B75" w:rsidP="00D75B75">
      <w:pPr>
        <w:spacing w:after="120"/>
        <w:jc w:val="both"/>
        <w:rPr>
          <w:rFonts w:cs="Times New Roman"/>
        </w:rPr>
      </w:pPr>
      <w:r w:rsidRPr="002A36EE">
        <w:rPr>
          <w:rFonts w:cs="Times New Roman"/>
        </w:rPr>
        <w:t>Ecuador entered the existing EU–Colombia–Peru Trade Agreement through a Protocol of Accession signed in November 2016, and the agreement entered into force for Ecuador in January 2017 (Grijalva et al., 2022). The agreement established a common legal framework—including shared rules of origin, dispute-settlement procedures, and institutional bodies—while allowing each country to maintain its own tariff-elimination schedule. Colombia and Peru had concluded their negotiations in 2010, with the agreement entering into force for Peru in March 2013 and for Colombia in August 2013, whereas Ecuador negotiated its own schedule between 2014 and 2016. Although Ecuador’s schedule followed a broadly similar gradualist structure, it provided for less immediate liberalization. Based on our calculations from the corresponding tariff schedules, approximately 60 percent of Ecuador’s industrial tariff lines were subject to zero tariffs upon implementation, compared with approximately 65 percent in Colombia and 80 percent in Peru.</w:t>
      </w:r>
      <w:r w:rsidRPr="002A36EE">
        <w:rPr>
          <w:rStyle w:val="FootnoteReference"/>
          <w:rFonts w:cs="Times New Roman"/>
        </w:rPr>
        <w:footnoteReference w:id="1"/>
      </w:r>
      <w:r w:rsidRPr="002A36EE">
        <w:rPr>
          <w:rFonts w:cs="Times New Roman"/>
        </w:rPr>
        <w:t xml:space="preserve"> This difference partly reflects the lower initial tariff levels in Colombia and, particularly, Peru. Ecuador also negotiated longer phase-out periods and exclusions or special treatment for selected sensitive agricultural and industrial products, including dairy products and motor vehicles. The gradualist design was therefore common to the EU–Andean framework, while the specific pace of liberalization reflected each country’s initial tariff structure and negotiated schedule</w:t>
      </w:r>
      <w:r w:rsidR="00135332" w:rsidRPr="002A36EE">
        <w:rPr>
          <w:rFonts w:cs="Times New Roman"/>
        </w:rPr>
        <w:t xml:space="preserve">.  </w:t>
      </w:r>
    </w:p>
    <w:p w14:paraId="61AF6167" w14:textId="30743215" w:rsidR="00135332" w:rsidRPr="002A36EE" w:rsidRDefault="00DB0F1F" w:rsidP="00135332">
      <w:pPr>
        <w:spacing w:after="120"/>
        <w:jc w:val="both"/>
        <w:rPr>
          <w:rFonts w:cs="Times New Roman"/>
        </w:rPr>
      </w:pPr>
      <w:r w:rsidRPr="002A36EE">
        <w:rPr>
          <w:rFonts w:cs="Times New Roman"/>
        </w:rPr>
        <w:t xml:space="preserve">For Ecuador, the agreement also provided a durable legal basis for preserving preferential access to the European market. The government therefore presented it not as a conventional free trade agreement, but </w:t>
      </w:r>
      <w:r w:rsidRPr="002A36EE">
        <w:rPr>
          <w:rFonts w:cs="Times New Roman"/>
        </w:rPr>
        <w:lastRenderedPageBreak/>
        <w:t>as a “development agreement” compatible with its broader policy discourse (Grijalva et al., 2022). This concern became particularly important as Ecuador graduated from the European Union’s Generalized System of Preferences. Under the EU’s GSP regulation, countries classified by the World Bank as upper-middle-income economies for three consecutive years cease to qualify for standard GSP treatment. Ecuador graduated from standard GSP on January 1, 2015, together with China, Thailand, and the Maldives (European Commission, 2016). Although Ecuador had entered the more favorable GSP+ arrangement on January 1, 2014—conditional on the ratification and implementation of international conventions on human rights, labor rights, environmental protection, and governance—these unilateral preferences did not provide a permanent basis for market access. A reciprocal trade agreement therefore offered a more durable mechanism through which Ecuador could preserve its preferential access to the European market (Grijalva et al., 2022)</w:t>
      </w:r>
      <w:r w:rsidR="00135332" w:rsidRPr="002A36EE">
        <w:rPr>
          <w:rFonts w:cs="Times New Roman"/>
        </w:rPr>
        <w:t>.</w:t>
      </w:r>
    </w:p>
    <w:p w14:paraId="20388656" w14:textId="77777777" w:rsidR="00135332" w:rsidRPr="002A36EE" w:rsidRDefault="00135332" w:rsidP="00135332">
      <w:pPr>
        <w:spacing w:after="120"/>
        <w:jc w:val="both"/>
        <w:rPr>
          <w:rFonts w:cs="Times New Roman"/>
        </w:rPr>
      </w:pPr>
      <w:r w:rsidRPr="002A36EE">
        <w:rPr>
          <w:rFonts w:cs="Times New Roman"/>
        </w:rPr>
        <w:t>Ecuador's path is part of a broader pattern. Since the 2014 GSP reform, countries facing the loss or expiration of European trade preferences have increasingly sought reciprocal arrangements with the EU. Vietnam's agreement entered into force in 2020, while Indonesia, the Philippines, and Bangladesh have pursued or prepared negotiations as their existing preferences approach expiration or graduation. In each case, the prospect of losing nonreciprocal preferences creates pressure to accept greater reciprocity in exchange for more durable access to the European market (Borchert &amp; Di Ubaldo, 2024).</w:t>
      </w:r>
    </w:p>
    <w:p w14:paraId="4F1787A1" w14:textId="52CDDFBF" w:rsidR="008811E0" w:rsidRPr="002A36EE" w:rsidRDefault="00135332">
      <w:pPr>
        <w:spacing w:after="120"/>
        <w:jc w:val="both"/>
        <w:rPr>
          <w:rFonts w:cs="Times New Roman"/>
        </w:rPr>
      </w:pPr>
      <w:r w:rsidRPr="002A36EE">
        <w:rPr>
          <w:rFonts w:cs="Times New Roman"/>
        </w:rPr>
        <w:t>The European Union occupies a central place in Ecuador's trade relations. In recent years, it has been one of Ecuador's three main trade partners and a major destination for the country's exports. In 2024, bilateral trade in goods with the European Union reached €7.6 billion. Ecuador exported €5.2 billion and imported €2.4 billion (European Commission, 2025). Ecuador's mostly positive trade balance with the EU is shown in Figure 1.</w:t>
      </w:r>
    </w:p>
    <w:p w14:paraId="0328D487" w14:textId="77777777" w:rsidR="008811E0" w:rsidRPr="002A36EE" w:rsidRDefault="008811E0">
      <w:pPr>
        <w:spacing w:after="120"/>
        <w:jc w:val="both"/>
        <w:rPr>
          <w:rFonts w:cs="Times New Roman"/>
        </w:rPr>
      </w:pPr>
    </w:p>
    <w:p w14:paraId="194E1AA0" w14:textId="1A0B9E6F" w:rsidR="00B76AEF" w:rsidRPr="002A36EE" w:rsidRDefault="0063641F" w:rsidP="00724B50">
      <w:pPr>
        <w:jc w:val="center"/>
        <w:rPr>
          <w:rFonts w:cs="Times New Roman"/>
        </w:rPr>
      </w:pPr>
      <w:r w:rsidRPr="002A36EE">
        <w:rPr>
          <w:rFonts w:cs="Times New Roman"/>
          <w:b/>
          <w:bCs/>
        </w:rPr>
        <w:t xml:space="preserve">Figure </w:t>
      </w:r>
      <w:r w:rsidRPr="002A36EE">
        <w:rPr>
          <w:rFonts w:cs="Times New Roman"/>
          <w:b/>
          <w:bCs/>
        </w:rPr>
        <w:fldChar w:fldCharType="begin"/>
      </w:r>
      <w:r w:rsidRPr="002A36EE">
        <w:rPr>
          <w:rFonts w:cs="Times New Roman"/>
          <w:b/>
          <w:bCs/>
        </w:rPr>
        <w:instrText xml:space="preserve"> SEQ Figure \* ARABIC </w:instrText>
      </w:r>
      <w:r w:rsidRPr="002A36EE">
        <w:rPr>
          <w:rFonts w:cs="Times New Roman"/>
          <w:b/>
          <w:bCs/>
        </w:rPr>
        <w:fldChar w:fldCharType="separate"/>
      </w:r>
      <w:r w:rsidRPr="002A36EE">
        <w:rPr>
          <w:rFonts w:cs="Times New Roman"/>
          <w:b/>
          <w:bCs/>
          <w:noProof/>
        </w:rPr>
        <w:t>1</w:t>
      </w:r>
      <w:r w:rsidRPr="002A36EE">
        <w:rPr>
          <w:rFonts w:cs="Times New Roman"/>
          <w:b/>
          <w:bCs/>
          <w:noProof/>
        </w:rPr>
        <w:fldChar w:fldCharType="end"/>
      </w:r>
      <w:r w:rsidRPr="002A36EE">
        <w:rPr>
          <w:rFonts w:cs="Times New Roman"/>
          <w:b/>
          <w:bCs/>
        </w:rPr>
        <w:t>.</w:t>
      </w:r>
      <w:r w:rsidRPr="002A36EE">
        <w:rPr>
          <w:rFonts w:cs="Times New Roman"/>
        </w:rPr>
        <w:t xml:space="preserve"> Bilateral trade balance between Ecuador and the European Union</w:t>
      </w:r>
      <w:r w:rsidR="00E141FC" w:rsidRPr="002A36EE">
        <w:rPr>
          <w:rFonts w:cs="Times New Roman"/>
        </w:rPr>
        <w:t xml:space="preserve">, </w:t>
      </w:r>
      <w:r w:rsidR="0012485C" w:rsidRPr="002A36EE">
        <w:rPr>
          <w:rFonts w:cs="Times New Roman"/>
        </w:rPr>
        <w:t>2013–2023</w:t>
      </w:r>
    </w:p>
    <w:p w14:paraId="454097F5" w14:textId="77777777" w:rsidR="00B76AEF" w:rsidRPr="002A36EE" w:rsidRDefault="00B76AEF" w:rsidP="00B76AEF">
      <w:pPr>
        <w:pStyle w:val="Caption"/>
        <w:keepNext/>
        <w:jc w:val="center"/>
        <w:rPr>
          <w:rFonts w:cs="Times New Roman"/>
        </w:rPr>
      </w:pPr>
      <w:r w:rsidRPr="002A36EE">
        <w:rPr>
          <w:rFonts w:cs="Times New Roman"/>
          <w:noProof/>
        </w:rPr>
        <w:drawing>
          <wp:inline distT="0" distB="0" distL="0" distR="0" wp14:anchorId="4B9F294F" wp14:editId="26AB9EB9">
            <wp:extent cx="5577840" cy="2743200"/>
            <wp:effectExtent l="0" t="0" r="3810" b="0"/>
            <wp:docPr id="1" name="Chart 1">
              <a:extLst xmlns:a="http://schemas.openxmlformats.org/drawingml/2006/main">
                <a:ext uri="{FF2B5EF4-FFF2-40B4-BE49-F238E27FC236}">
                  <a16:creationId xmlns:a16="http://schemas.microsoft.com/office/drawing/2014/main" id="{B86F07A5-CFA5-4E9F-A47A-BEC68F596A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903782" w14:textId="3DF85B85" w:rsidR="00680430" w:rsidRPr="002A36EE" w:rsidRDefault="00B76AEF" w:rsidP="00FD1B27">
      <w:pPr>
        <w:pStyle w:val="Caption"/>
        <w:jc w:val="both"/>
        <w:rPr>
          <w:rFonts w:cs="Times New Roman"/>
          <w:b w:val="0"/>
          <w:bCs w:val="0"/>
        </w:rPr>
      </w:pPr>
      <w:r w:rsidRPr="002A36EE">
        <w:rPr>
          <w:rFonts w:cs="Times New Roman"/>
          <w:b w:val="0"/>
          <w:bCs w:val="0"/>
          <w:i/>
        </w:rPr>
        <w:t xml:space="preserve">Note: </w:t>
      </w:r>
      <w:r w:rsidRPr="002A36EE">
        <w:rPr>
          <w:rFonts w:cs="Times New Roman"/>
          <w:b w:val="0"/>
          <w:bCs w:val="0"/>
        </w:rPr>
        <w:t>The figure reports Ecuador's monthly exports to and imports from the European Union, measured in millions of 2018 U.S. dollars, together with the resulting bilateral trade balance.</w:t>
      </w:r>
      <w:r w:rsidR="008811E0" w:rsidRPr="002A36EE">
        <w:rPr>
          <w:rFonts w:cs="Times New Roman"/>
          <w:b w:val="0"/>
          <w:bCs w:val="0"/>
        </w:rPr>
        <w:t xml:space="preserve"> The trade balance is calculated as exports minus imports; positive values indicate a surplus for Ecuador and negative values indicate a deficit. The monthly series are seasonally adjusted. Data for 2022 are omitted because the underlying customs records for that year are incomplete. </w:t>
      </w:r>
      <w:r w:rsidR="008811E0" w:rsidRPr="002A36EE">
        <w:rPr>
          <w:rFonts w:cs="Times New Roman"/>
          <w:b w:val="0"/>
          <w:bCs w:val="0"/>
          <w:i/>
          <w:iCs/>
        </w:rPr>
        <w:t>Source</w:t>
      </w:r>
      <w:r w:rsidR="008811E0" w:rsidRPr="002A36EE">
        <w:rPr>
          <w:rFonts w:cs="Times New Roman"/>
          <w:b w:val="0"/>
          <w:bCs w:val="0"/>
        </w:rPr>
        <w:t>: Authors’ calculations based on customs transaction records from the Central Bank of Ecuador.</w:t>
      </w:r>
    </w:p>
    <w:p w14:paraId="7BAE37C9" w14:textId="04C7FEB6" w:rsidR="00680430" w:rsidRPr="002A36EE" w:rsidRDefault="00D02348">
      <w:pPr>
        <w:spacing w:after="120"/>
        <w:jc w:val="both"/>
        <w:rPr>
          <w:rFonts w:cs="Times New Roman"/>
        </w:rPr>
      </w:pPr>
      <w:r w:rsidRPr="002A36EE">
        <w:rPr>
          <w:rFonts w:cs="Times New Roman"/>
        </w:rPr>
        <w:lastRenderedPageBreak/>
        <w:t>What makes this relationship especially consequential is not only its size, but also the kind of goods that move in each direction. On the one hand, Ecuador's sales to the European Union are concentrated in agricultural, food, and fishery products. Indeed, several of Ecuador's leading export sectors depend heavily on the European market (Grijalva et al., 2022). On the other hand, European exports to Ecuador are led by machinery, chemicals, transport equipment, and other manufactured goods (European Commission, 202</w:t>
      </w:r>
      <w:r w:rsidR="005A0300" w:rsidRPr="002A36EE">
        <w:rPr>
          <w:rFonts w:cs="Times New Roman"/>
        </w:rPr>
        <w:t>5</w:t>
      </w:r>
      <w:r w:rsidRPr="002A36EE">
        <w:rPr>
          <w:rFonts w:cs="Times New Roman"/>
        </w:rPr>
        <w:t>). In practical terms, Europe is a key buyer of goods closely tied to Ecuador's main export sectors, while Ecuador relies on Europe as a source of industrial products that support production, transport, and business activity more broadly.</w:t>
      </w:r>
    </w:p>
    <w:p w14:paraId="68D804E7" w14:textId="2DE34D6A" w:rsidR="006B6B5B" w:rsidRPr="002A36EE" w:rsidRDefault="006B6B5B" w:rsidP="006B6B5B">
      <w:pPr>
        <w:spacing w:after="120"/>
        <w:jc w:val="both"/>
        <w:rPr>
          <w:rFonts w:cs="Times New Roman"/>
          <w:sz w:val="20"/>
          <w:szCs w:val="18"/>
        </w:rPr>
      </w:pPr>
      <w:r w:rsidRPr="002A36EE">
        <w:rPr>
          <w:rFonts w:cs="Times New Roman"/>
          <w:sz w:val="20"/>
          <w:szCs w:val="18"/>
        </w:rPr>
        <w:t xml:space="preserve">To describe the different paths of tariff liberalization, we match the tariff applicable to each product and month with Ecuador’s customs transaction records from the Central Bank of Ecuador. Products are identified using the ten-digit NANDINA classification and restricted to bilateral trade with European Union countries. We then assign each product to a broad Harmonized System section and calculate the monthly average tariff within each section. These averages are calculated over the products represented in the observed trade records rather than over the complete universe of tariff lines. For Ecuadorian exports covered by the agreement, the figure compares the pre-implementation base tariff with the </w:t>
      </w:r>
      <w:r w:rsidR="00E141FC" w:rsidRPr="002A36EE">
        <w:rPr>
          <w:rFonts w:cs="Times New Roman"/>
          <w:sz w:val="20"/>
          <w:szCs w:val="18"/>
        </w:rPr>
        <w:t>zero-rate</w:t>
      </w:r>
      <w:r w:rsidRPr="002A36EE">
        <w:rPr>
          <w:rFonts w:cs="Times New Roman"/>
          <w:sz w:val="20"/>
          <w:szCs w:val="18"/>
        </w:rPr>
        <w:t xml:space="preserve"> applied after the agreement entered into force in January 2017. For imports from the European Union, it traces the tariff applicable to each product and month as Ecuador’s negotiated phase-out schedules were implemented. Data for 2022 are omitted because the underlying customs records for that year are incomplete.</w:t>
      </w:r>
    </w:p>
    <w:p w14:paraId="32AEE078" w14:textId="321FCE03" w:rsidR="00B76AEF" w:rsidRPr="002A36EE" w:rsidRDefault="006B6B5B">
      <w:pPr>
        <w:pStyle w:val="Caption"/>
        <w:jc w:val="both"/>
        <w:rPr>
          <w:rFonts w:cs="Times New Roman"/>
          <w:b w:val="0"/>
          <w:bCs w:val="0"/>
        </w:rPr>
      </w:pPr>
      <w:r w:rsidRPr="002A36EE">
        <w:rPr>
          <w:rFonts w:cs="Times New Roman"/>
          <w:b w:val="0"/>
          <w:bCs w:val="0"/>
        </w:rPr>
        <w:t>This exercise shows that tariff liberalization under the agreement was highly heterogeneous across goods and between trade directions. On the export side, the average tariff for the product groups represented in the data fell directly from its pre-implementation base to zero when the agreement entered into force in 2017. On the import side, by contrast, Ecuador reduced tariffs on European goods more gradually and under different schedules across sectors, as shown in Figure 2.</w:t>
      </w:r>
    </w:p>
    <w:p w14:paraId="59523806" w14:textId="6E78EBDB" w:rsidR="00B76AEF" w:rsidRPr="002A36EE" w:rsidRDefault="00B76AEF" w:rsidP="00724B50">
      <w:pPr>
        <w:pStyle w:val="Caption"/>
        <w:jc w:val="center"/>
        <w:rPr>
          <w:rFonts w:cs="Times New Roman"/>
        </w:rPr>
      </w:pPr>
      <w:r w:rsidRPr="002A36EE">
        <w:rPr>
          <w:rFonts w:cs="Times New Roman"/>
          <w:b w:val="0"/>
          <w:bCs w:val="0"/>
        </w:rPr>
        <w:br/>
      </w:r>
      <w:r w:rsidR="006B6B5B" w:rsidRPr="002A36EE">
        <w:rPr>
          <w:rFonts w:cs="Times New Roman"/>
        </w:rPr>
        <w:t>Figure 2.</w:t>
      </w:r>
      <w:r w:rsidR="006B6B5B" w:rsidRPr="002A36EE">
        <w:rPr>
          <w:rFonts w:cs="Times New Roman"/>
          <w:b w:val="0"/>
          <w:bCs w:val="0"/>
        </w:rPr>
        <w:t xml:space="preserve"> Average tariff rates by major product group under the EU–Ecuador Trade Agreement, 2014–2023</w:t>
      </w:r>
      <w:r w:rsidRPr="002A36EE">
        <w:rPr>
          <w:rFonts w:cs="Times New Roman"/>
        </w:rPr>
        <w:br/>
      </w:r>
      <w:r w:rsidRPr="002A36EE">
        <w:rPr>
          <w:rFonts w:cs="Times New Roman"/>
        </w:rPr>
        <w:br/>
      </w:r>
    </w:p>
    <w:tbl>
      <w:tblPr>
        <w:tblpPr w:leftFromText="180" w:rightFromText="180" w:vertAnchor="page" w:horzAnchor="margin" w:tblpXSpec="center" w:tblpY="1019"/>
        <w:tblW w:w="10551" w:type="dxa"/>
        <w:tblLook w:val="04A0" w:firstRow="1" w:lastRow="0" w:firstColumn="1" w:lastColumn="0" w:noHBand="0" w:noVBand="1"/>
      </w:tblPr>
      <w:tblGrid>
        <w:gridCol w:w="648"/>
        <w:gridCol w:w="450"/>
        <w:gridCol w:w="1846"/>
        <w:gridCol w:w="563"/>
        <w:gridCol w:w="741"/>
        <w:gridCol w:w="288"/>
        <w:gridCol w:w="162"/>
        <w:gridCol w:w="540"/>
        <w:gridCol w:w="247"/>
        <w:gridCol w:w="162"/>
        <w:gridCol w:w="779"/>
        <w:gridCol w:w="162"/>
        <w:gridCol w:w="143"/>
        <w:gridCol w:w="162"/>
        <w:gridCol w:w="272"/>
        <w:gridCol w:w="162"/>
        <w:gridCol w:w="1757"/>
        <w:gridCol w:w="162"/>
        <w:gridCol w:w="297"/>
        <w:gridCol w:w="162"/>
        <w:gridCol w:w="238"/>
        <w:gridCol w:w="608"/>
      </w:tblGrid>
      <w:tr w:rsidR="00455FFD" w:rsidRPr="002A36EE" w14:paraId="74970A64" w14:textId="77777777" w:rsidTr="00C5133C">
        <w:trPr>
          <w:gridAfter w:val="1"/>
          <w:wAfter w:w="608" w:type="dxa"/>
          <w:trHeight w:val="20"/>
        </w:trPr>
        <w:tc>
          <w:tcPr>
            <w:tcW w:w="648" w:type="dxa"/>
            <w:tcBorders>
              <w:top w:val="nil"/>
              <w:left w:val="nil"/>
              <w:bottom w:val="nil"/>
              <w:right w:val="nil"/>
            </w:tcBorders>
            <w:shd w:val="clear" w:color="auto" w:fill="auto"/>
            <w:noWrap/>
            <w:hideMark/>
          </w:tcPr>
          <w:p w14:paraId="5F4629D3" w14:textId="77777777" w:rsidR="00455FFD" w:rsidRPr="002A36EE" w:rsidRDefault="00455FFD" w:rsidP="00455FFD">
            <w:pPr>
              <w:spacing w:after="0" w:line="240" w:lineRule="auto"/>
              <w:jc w:val="center"/>
              <w:rPr>
                <w:rFonts w:cs="Times New Roman"/>
                <w:color w:val="000000"/>
              </w:rPr>
            </w:pPr>
          </w:p>
          <w:tbl>
            <w:tblPr>
              <w:tblW w:w="224" w:type="dxa"/>
              <w:tblCellSpacing w:w="0" w:type="dxa"/>
              <w:tblCellMar>
                <w:left w:w="0" w:type="dxa"/>
                <w:right w:w="0" w:type="dxa"/>
              </w:tblCellMar>
              <w:tblLook w:val="04A0" w:firstRow="1" w:lastRow="0" w:firstColumn="1" w:lastColumn="0" w:noHBand="0" w:noVBand="1"/>
            </w:tblPr>
            <w:tblGrid>
              <w:gridCol w:w="224"/>
            </w:tblGrid>
            <w:tr w:rsidR="00455FFD" w:rsidRPr="002A36EE" w14:paraId="464FD27D" w14:textId="77777777" w:rsidTr="000B45F7">
              <w:trPr>
                <w:trHeight w:val="352"/>
                <w:tblCellSpacing w:w="0" w:type="dxa"/>
              </w:trPr>
              <w:tc>
                <w:tcPr>
                  <w:tcW w:w="224" w:type="dxa"/>
                  <w:tcBorders>
                    <w:top w:val="nil"/>
                    <w:left w:val="nil"/>
                    <w:bottom w:val="nil"/>
                    <w:right w:val="nil"/>
                  </w:tcBorders>
                  <w:shd w:val="clear" w:color="auto" w:fill="auto"/>
                  <w:noWrap/>
                  <w:vAlign w:val="bottom"/>
                  <w:hideMark/>
                </w:tcPr>
                <w:p w14:paraId="21BF6343" w14:textId="77777777" w:rsidR="00455FFD" w:rsidRPr="002A36EE" w:rsidRDefault="00455FFD" w:rsidP="0041171C">
                  <w:pPr>
                    <w:framePr w:hSpace="180" w:wrap="around" w:vAnchor="page" w:hAnchor="margin" w:xAlign="center" w:y="1019"/>
                    <w:spacing w:after="0" w:line="240" w:lineRule="auto"/>
                    <w:jc w:val="center"/>
                    <w:rPr>
                      <w:rFonts w:cs="Times New Roman"/>
                      <w:color w:val="000000"/>
                    </w:rPr>
                  </w:pPr>
                </w:p>
              </w:tc>
            </w:tr>
          </w:tbl>
          <w:p w14:paraId="7F4AD462" w14:textId="77777777" w:rsidR="00455FFD" w:rsidRPr="002A36EE" w:rsidRDefault="00455FFD" w:rsidP="00455FFD">
            <w:pPr>
              <w:spacing w:after="0" w:line="240" w:lineRule="auto"/>
              <w:jc w:val="center"/>
              <w:rPr>
                <w:rFonts w:cs="Times New Roman"/>
                <w:color w:val="000000"/>
              </w:rPr>
            </w:pPr>
          </w:p>
        </w:tc>
        <w:tc>
          <w:tcPr>
            <w:tcW w:w="4590"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4C29EAC" w14:textId="77777777" w:rsidR="00455FFD" w:rsidRPr="002A36EE" w:rsidRDefault="00455FFD" w:rsidP="00C5133C">
            <w:pPr>
              <w:spacing w:after="0" w:line="240" w:lineRule="auto"/>
              <w:jc w:val="center"/>
              <w:rPr>
                <w:rFonts w:cs="Times New Roman"/>
                <w:color w:val="000000"/>
                <w:sz w:val="24"/>
                <w:szCs w:val="24"/>
              </w:rPr>
            </w:pPr>
            <w:r w:rsidRPr="002A36EE">
              <w:rPr>
                <w:rFonts w:cs="Times New Roman"/>
                <w:color w:val="000000"/>
                <w:sz w:val="24"/>
                <w:szCs w:val="24"/>
              </w:rPr>
              <w:t>Imports</w:t>
            </w:r>
          </w:p>
        </w:tc>
        <w:tc>
          <w:tcPr>
            <w:tcW w:w="4705" w:type="dxa"/>
            <w:gridSpan w:val="13"/>
            <w:tcBorders>
              <w:top w:val="single" w:sz="4" w:space="0" w:color="auto"/>
              <w:left w:val="nil"/>
              <w:bottom w:val="single" w:sz="4" w:space="0" w:color="auto"/>
              <w:right w:val="single" w:sz="4" w:space="0" w:color="000000"/>
            </w:tcBorders>
            <w:shd w:val="clear" w:color="auto" w:fill="auto"/>
            <w:noWrap/>
            <w:vAlign w:val="center"/>
            <w:hideMark/>
          </w:tcPr>
          <w:p w14:paraId="694E1C0D" w14:textId="77777777" w:rsidR="00455FFD" w:rsidRPr="002A36EE" w:rsidRDefault="00455FFD" w:rsidP="00C5133C">
            <w:pPr>
              <w:spacing w:after="0" w:line="240" w:lineRule="auto"/>
              <w:jc w:val="center"/>
              <w:rPr>
                <w:rFonts w:cs="Times New Roman"/>
                <w:color w:val="000000"/>
                <w:sz w:val="24"/>
                <w:szCs w:val="24"/>
              </w:rPr>
            </w:pPr>
            <w:r w:rsidRPr="002A36EE">
              <w:rPr>
                <w:rFonts w:cs="Times New Roman"/>
                <w:color w:val="000000"/>
                <w:sz w:val="24"/>
                <w:szCs w:val="24"/>
              </w:rPr>
              <w:t>Exports</w:t>
            </w:r>
          </w:p>
        </w:tc>
      </w:tr>
      <w:tr w:rsidR="00ED2CC6" w:rsidRPr="002A36EE" w14:paraId="6FCE2C2A" w14:textId="77777777" w:rsidTr="00C5133C">
        <w:trPr>
          <w:trHeight w:val="218"/>
        </w:trPr>
        <w:tc>
          <w:tcPr>
            <w:tcW w:w="648" w:type="dxa"/>
            <w:vMerge w:val="restart"/>
            <w:tcBorders>
              <w:top w:val="nil"/>
              <w:left w:val="nil"/>
              <w:bottom w:val="nil"/>
              <w:right w:val="nil"/>
            </w:tcBorders>
            <w:shd w:val="clear" w:color="auto" w:fill="auto"/>
            <w:noWrap/>
            <w:textDirection w:val="btLr"/>
            <w:hideMark/>
          </w:tcPr>
          <w:p w14:paraId="61769F34" w14:textId="77777777" w:rsidR="00455FFD" w:rsidRPr="002A36EE" w:rsidRDefault="00455FFD" w:rsidP="00455FFD">
            <w:pPr>
              <w:spacing w:after="0" w:line="240" w:lineRule="auto"/>
              <w:jc w:val="center"/>
              <w:rPr>
                <w:rFonts w:cs="Times New Roman"/>
                <w:color w:val="000000"/>
                <w:sz w:val="36"/>
                <w:szCs w:val="36"/>
              </w:rPr>
            </w:pPr>
            <w:r w:rsidRPr="002A36EE">
              <w:rPr>
                <w:rFonts w:cs="Times New Roman"/>
                <w:color w:val="000000"/>
                <w:sz w:val="24"/>
                <w:szCs w:val="24"/>
              </w:rPr>
              <w:t>Average Rate (%)</w:t>
            </w:r>
          </w:p>
        </w:tc>
        <w:tc>
          <w:tcPr>
            <w:tcW w:w="450" w:type="dxa"/>
            <w:tcBorders>
              <w:top w:val="nil"/>
              <w:left w:val="nil"/>
              <w:bottom w:val="nil"/>
              <w:right w:val="nil"/>
            </w:tcBorders>
            <w:shd w:val="clear" w:color="auto" w:fill="auto"/>
            <w:noWrap/>
            <w:hideMark/>
          </w:tcPr>
          <w:p w14:paraId="1EC677EB" w14:textId="77777777" w:rsidR="00455FFD" w:rsidRPr="002A36EE" w:rsidRDefault="00455FFD" w:rsidP="00455FFD">
            <w:pPr>
              <w:spacing w:after="0" w:line="240" w:lineRule="auto"/>
              <w:jc w:val="center"/>
              <w:rPr>
                <w:rFonts w:cs="Times New Roman"/>
                <w:color w:val="000000"/>
                <w:sz w:val="36"/>
                <w:szCs w:val="36"/>
              </w:rPr>
            </w:pPr>
          </w:p>
        </w:tc>
        <w:tc>
          <w:tcPr>
            <w:tcW w:w="1846" w:type="dxa"/>
            <w:tcBorders>
              <w:top w:val="nil"/>
              <w:left w:val="nil"/>
              <w:bottom w:val="nil"/>
              <w:right w:val="nil"/>
            </w:tcBorders>
            <w:shd w:val="clear" w:color="auto" w:fill="auto"/>
            <w:noWrap/>
            <w:hideMark/>
          </w:tcPr>
          <w:p w14:paraId="3EF326AC"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11F6616"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7C9C060C" w14:textId="77777777" w:rsidR="00455FFD" w:rsidRPr="002A36EE" w:rsidRDefault="00455FFD" w:rsidP="00455FFD">
            <w:pPr>
              <w:spacing w:after="0" w:line="240" w:lineRule="auto"/>
              <w:jc w:val="center"/>
              <w:rPr>
                <w:rFonts w:cs="Times New Roman"/>
                <w:sz w:val="20"/>
                <w:szCs w:val="20"/>
              </w:rPr>
            </w:pPr>
          </w:p>
        </w:tc>
        <w:tc>
          <w:tcPr>
            <w:tcW w:w="288" w:type="dxa"/>
            <w:tcBorders>
              <w:top w:val="nil"/>
              <w:left w:val="nil"/>
              <w:bottom w:val="nil"/>
              <w:right w:val="nil"/>
            </w:tcBorders>
            <w:shd w:val="clear" w:color="auto" w:fill="auto"/>
            <w:noWrap/>
            <w:hideMark/>
          </w:tcPr>
          <w:p w14:paraId="08A0F313" w14:textId="2A3F3E60" w:rsidR="00455FFD" w:rsidRPr="002A36EE" w:rsidRDefault="00455FFD" w:rsidP="00455FFD">
            <w:pPr>
              <w:spacing w:after="0" w:line="240" w:lineRule="auto"/>
              <w:jc w:val="center"/>
              <w:rPr>
                <w:rFonts w:cs="Times New Roman"/>
                <w:sz w:val="20"/>
                <w:szCs w:val="20"/>
              </w:rPr>
            </w:pPr>
            <w:r w:rsidRPr="002A36EE">
              <w:rPr>
                <w:rFonts w:cs="Times New Roman"/>
                <w:noProof/>
                <w:color w:val="000000"/>
              </w:rPr>
              <w:drawing>
                <wp:anchor distT="0" distB="0" distL="114300" distR="114300" simplePos="0" relativeHeight="251657216" behindDoc="0" locked="0" layoutInCell="1" allowOverlap="1" wp14:anchorId="23153E6E" wp14:editId="323356A9">
                  <wp:simplePos x="0" y="0"/>
                  <wp:positionH relativeFrom="column">
                    <wp:posOffset>-2362452</wp:posOffset>
                  </wp:positionH>
                  <wp:positionV relativeFrom="paragraph">
                    <wp:posOffset>16210</wp:posOffset>
                  </wp:positionV>
                  <wp:extent cx="2907102" cy="2854960"/>
                  <wp:effectExtent l="0" t="0" r="7620" b="2540"/>
                  <wp:wrapNone/>
                  <wp:docPr id="5" name="Chart 5">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tc>
        <w:tc>
          <w:tcPr>
            <w:tcW w:w="949" w:type="dxa"/>
            <w:gridSpan w:val="3"/>
            <w:tcBorders>
              <w:top w:val="nil"/>
              <w:left w:val="nil"/>
              <w:bottom w:val="nil"/>
              <w:right w:val="nil"/>
            </w:tcBorders>
            <w:shd w:val="clear" w:color="auto" w:fill="auto"/>
            <w:noWrap/>
            <w:hideMark/>
          </w:tcPr>
          <w:p w14:paraId="2199C4FE"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23271ABE"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2E39B607"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7708FD8F"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2EF4610B"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703BB3D7" w14:textId="77777777" w:rsidR="00455FFD" w:rsidRPr="002A36EE" w:rsidRDefault="00455FFD" w:rsidP="00455FFD">
            <w:pPr>
              <w:spacing w:after="0" w:line="240" w:lineRule="auto"/>
              <w:jc w:val="center"/>
              <w:rPr>
                <w:rFonts w:cs="Times New Roman"/>
                <w:sz w:val="20"/>
                <w:szCs w:val="20"/>
              </w:rPr>
            </w:pPr>
          </w:p>
        </w:tc>
        <w:tc>
          <w:tcPr>
            <w:tcW w:w="1008" w:type="dxa"/>
            <w:gridSpan w:val="3"/>
            <w:tcBorders>
              <w:top w:val="nil"/>
              <w:left w:val="nil"/>
              <w:bottom w:val="nil"/>
              <w:right w:val="nil"/>
            </w:tcBorders>
            <w:shd w:val="clear" w:color="auto" w:fill="auto"/>
            <w:noWrap/>
            <w:hideMark/>
          </w:tcPr>
          <w:p w14:paraId="3D6F3EEF" w14:textId="25C8646B" w:rsidR="00455FFD" w:rsidRPr="002A36EE" w:rsidRDefault="00455FFD" w:rsidP="00455FFD">
            <w:pPr>
              <w:spacing w:after="0" w:line="240" w:lineRule="auto"/>
              <w:jc w:val="center"/>
              <w:rPr>
                <w:rFonts w:cs="Times New Roman"/>
                <w:sz w:val="20"/>
                <w:szCs w:val="20"/>
              </w:rPr>
            </w:pPr>
            <w:r w:rsidRPr="002A36EE">
              <w:rPr>
                <w:rFonts w:cs="Times New Roman"/>
                <w:noProof/>
                <w:color w:val="000000"/>
              </w:rPr>
              <w:drawing>
                <wp:anchor distT="0" distB="0" distL="114300" distR="114300" simplePos="0" relativeHeight="251684864" behindDoc="0" locked="0" layoutInCell="1" allowOverlap="1" wp14:anchorId="4A3E8C28" wp14:editId="77F12D9C">
                  <wp:simplePos x="0" y="0"/>
                  <wp:positionH relativeFrom="column">
                    <wp:posOffset>-2794093</wp:posOffset>
                  </wp:positionH>
                  <wp:positionV relativeFrom="paragraph">
                    <wp:posOffset>18010</wp:posOffset>
                  </wp:positionV>
                  <wp:extent cx="2973280" cy="2863850"/>
                  <wp:effectExtent l="0" t="0" r="17780" b="12700"/>
                  <wp:wrapNone/>
                  <wp:docPr id="4" name="Chart 4">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tc>
      </w:tr>
      <w:tr w:rsidR="00ED2CC6" w:rsidRPr="002A36EE" w14:paraId="417E0C24" w14:textId="77777777" w:rsidTr="00C5133C">
        <w:trPr>
          <w:gridAfter w:val="1"/>
          <w:wAfter w:w="608" w:type="dxa"/>
          <w:trHeight w:val="218"/>
        </w:trPr>
        <w:tc>
          <w:tcPr>
            <w:tcW w:w="648" w:type="dxa"/>
            <w:vMerge/>
            <w:tcBorders>
              <w:top w:val="nil"/>
              <w:left w:val="nil"/>
              <w:bottom w:val="nil"/>
              <w:right w:val="nil"/>
            </w:tcBorders>
            <w:hideMark/>
          </w:tcPr>
          <w:p w14:paraId="53814330"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20FB7310"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6979F27E"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0658C922"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1728CC69"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13368E52"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2EFE9FC7"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794473C6"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521A7501"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5C078DCA"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28D763D6"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6A1DE055"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173403AF" w14:textId="77777777" w:rsidR="00455FFD" w:rsidRPr="002A36EE" w:rsidRDefault="00455FFD" w:rsidP="00455FFD">
            <w:pPr>
              <w:spacing w:after="0" w:line="240" w:lineRule="auto"/>
              <w:jc w:val="center"/>
              <w:rPr>
                <w:rFonts w:cs="Times New Roman"/>
                <w:sz w:val="20"/>
                <w:szCs w:val="20"/>
              </w:rPr>
            </w:pPr>
          </w:p>
        </w:tc>
      </w:tr>
      <w:tr w:rsidR="00ED2CC6" w:rsidRPr="002A36EE" w14:paraId="39EA2808" w14:textId="77777777" w:rsidTr="00C5133C">
        <w:trPr>
          <w:gridAfter w:val="1"/>
          <w:wAfter w:w="608" w:type="dxa"/>
          <w:trHeight w:val="218"/>
        </w:trPr>
        <w:tc>
          <w:tcPr>
            <w:tcW w:w="648" w:type="dxa"/>
            <w:vMerge/>
            <w:tcBorders>
              <w:top w:val="nil"/>
              <w:left w:val="nil"/>
              <w:bottom w:val="nil"/>
              <w:right w:val="nil"/>
            </w:tcBorders>
            <w:hideMark/>
          </w:tcPr>
          <w:p w14:paraId="1BA4AA6E"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172B0046"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67B64DC0"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57D1B429"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22F97AF0"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57EE0E32"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62A3792A"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346C3AC4"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37174A5E"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38CD7D6"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1D40DE7F"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5CA478FD"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2CC26D5C" w14:textId="77777777" w:rsidR="00455FFD" w:rsidRPr="002A36EE" w:rsidRDefault="00455FFD" w:rsidP="00455FFD">
            <w:pPr>
              <w:spacing w:after="0" w:line="240" w:lineRule="auto"/>
              <w:jc w:val="center"/>
              <w:rPr>
                <w:rFonts w:cs="Times New Roman"/>
                <w:sz w:val="20"/>
                <w:szCs w:val="20"/>
              </w:rPr>
            </w:pPr>
          </w:p>
        </w:tc>
      </w:tr>
      <w:tr w:rsidR="00ED2CC6" w:rsidRPr="002A36EE" w14:paraId="3E8C0377" w14:textId="77777777" w:rsidTr="00C5133C">
        <w:trPr>
          <w:gridAfter w:val="1"/>
          <w:wAfter w:w="608" w:type="dxa"/>
          <w:trHeight w:val="218"/>
        </w:trPr>
        <w:tc>
          <w:tcPr>
            <w:tcW w:w="648" w:type="dxa"/>
            <w:vMerge/>
            <w:tcBorders>
              <w:top w:val="nil"/>
              <w:left w:val="nil"/>
              <w:bottom w:val="nil"/>
              <w:right w:val="nil"/>
            </w:tcBorders>
            <w:hideMark/>
          </w:tcPr>
          <w:p w14:paraId="670E8AED"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33F4A600"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B912A29"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B0B50C5"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1C26624C"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795B117"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14B76AAB"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5B83D525"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6B94E107"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4989BBA9"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43F10E72"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11C41345"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2A23E81A" w14:textId="77777777" w:rsidR="00455FFD" w:rsidRPr="002A36EE" w:rsidRDefault="00455FFD" w:rsidP="00455FFD">
            <w:pPr>
              <w:spacing w:after="0" w:line="240" w:lineRule="auto"/>
              <w:jc w:val="center"/>
              <w:rPr>
                <w:rFonts w:cs="Times New Roman"/>
                <w:sz w:val="20"/>
                <w:szCs w:val="20"/>
              </w:rPr>
            </w:pPr>
          </w:p>
        </w:tc>
      </w:tr>
      <w:tr w:rsidR="00ED2CC6" w:rsidRPr="002A36EE" w14:paraId="56B35A75" w14:textId="77777777" w:rsidTr="00C5133C">
        <w:trPr>
          <w:gridAfter w:val="1"/>
          <w:wAfter w:w="608" w:type="dxa"/>
          <w:trHeight w:val="218"/>
        </w:trPr>
        <w:tc>
          <w:tcPr>
            <w:tcW w:w="648" w:type="dxa"/>
            <w:vMerge/>
            <w:tcBorders>
              <w:top w:val="nil"/>
              <w:left w:val="nil"/>
              <w:bottom w:val="nil"/>
              <w:right w:val="nil"/>
            </w:tcBorders>
            <w:hideMark/>
          </w:tcPr>
          <w:p w14:paraId="1C6DB3CA"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379711C4"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39916DB0"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B29B87B"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2A96FB5C"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7D35C67E"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130CDA52"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6F2029B8"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3FED5EF2"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060415C"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57B818EC"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4CA0FFE8"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57864FE1" w14:textId="77777777" w:rsidR="00455FFD" w:rsidRPr="002A36EE" w:rsidRDefault="00455FFD" w:rsidP="00455FFD">
            <w:pPr>
              <w:spacing w:after="0" w:line="240" w:lineRule="auto"/>
              <w:jc w:val="center"/>
              <w:rPr>
                <w:rFonts w:cs="Times New Roman"/>
                <w:sz w:val="20"/>
                <w:szCs w:val="20"/>
              </w:rPr>
            </w:pPr>
          </w:p>
        </w:tc>
      </w:tr>
      <w:tr w:rsidR="00ED2CC6" w:rsidRPr="002A36EE" w14:paraId="79B15459" w14:textId="77777777" w:rsidTr="00C5133C">
        <w:trPr>
          <w:gridAfter w:val="1"/>
          <w:wAfter w:w="608" w:type="dxa"/>
          <w:trHeight w:val="218"/>
        </w:trPr>
        <w:tc>
          <w:tcPr>
            <w:tcW w:w="648" w:type="dxa"/>
            <w:vMerge/>
            <w:tcBorders>
              <w:top w:val="nil"/>
              <w:left w:val="nil"/>
              <w:bottom w:val="nil"/>
              <w:right w:val="nil"/>
            </w:tcBorders>
            <w:hideMark/>
          </w:tcPr>
          <w:p w14:paraId="39A20DAD"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18F37127"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E48ADB3"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553C7F46"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0CEB72B4"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3F9C27CD"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64AFB717"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440FE278"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306FEBC3"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50B46D55"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34D33962"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264D46D6"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7DA3383C" w14:textId="77777777" w:rsidR="00455FFD" w:rsidRPr="002A36EE" w:rsidRDefault="00455FFD" w:rsidP="00455FFD">
            <w:pPr>
              <w:spacing w:after="0" w:line="240" w:lineRule="auto"/>
              <w:jc w:val="center"/>
              <w:rPr>
                <w:rFonts w:cs="Times New Roman"/>
                <w:sz w:val="20"/>
                <w:szCs w:val="20"/>
              </w:rPr>
            </w:pPr>
          </w:p>
        </w:tc>
      </w:tr>
      <w:tr w:rsidR="00ED2CC6" w:rsidRPr="002A36EE" w14:paraId="2DBEABCE" w14:textId="77777777" w:rsidTr="00C5133C">
        <w:trPr>
          <w:gridAfter w:val="1"/>
          <w:wAfter w:w="608" w:type="dxa"/>
          <w:trHeight w:val="218"/>
        </w:trPr>
        <w:tc>
          <w:tcPr>
            <w:tcW w:w="648" w:type="dxa"/>
            <w:vMerge/>
            <w:tcBorders>
              <w:top w:val="nil"/>
              <w:left w:val="nil"/>
              <w:bottom w:val="nil"/>
              <w:right w:val="nil"/>
            </w:tcBorders>
            <w:hideMark/>
          </w:tcPr>
          <w:p w14:paraId="22FDD298"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7E84D939"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98E4EE6"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7375BCAC"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06D3FAA3"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D430547"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5F2E21E6"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07D75BBC"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6BE6F357"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6124BB7"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56EF6FBD"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3A9E91B5"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7048A3BE" w14:textId="77777777" w:rsidR="00455FFD" w:rsidRPr="002A36EE" w:rsidRDefault="00455FFD" w:rsidP="00455FFD">
            <w:pPr>
              <w:spacing w:after="0" w:line="240" w:lineRule="auto"/>
              <w:jc w:val="center"/>
              <w:rPr>
                <w:rFonts w:cs="Times New Roman"/>
                <w:sz w:val="20"/>
                <w:szCs w:val="20"/>
              </w:rPr>
            </w:pPr>
          </w:p>
        </w:tc>
      </w:tr>
      <w:tr w:rsidR="00ED2CC6" w:rsidRPr="002A36EE" w14:paraId="335615CD" w14:textId="77777777" w:rsidTr="00C5133C">
        <w:trPr>
          <w:gridAfter w:val="1"/>
          <w:wAfter w:w="608" w:type="dxa"/>
          <w:trHeight w:val="218"/>
        </w:trPr>
        <w:tc>
          <w:tcPr>
            <w:tcW w:w="648" w:type="dxa"/>
            <w:vMerge/>
            <w:tcBorders>
              <w:top w:val="nil"/>
              <w:left w:val="nil"/>
              <w:bottom w:val="nil"/>
              <w:right w:val="nil"/>
            </w:tcBorders>
            <w:hideMark/>
          </w:tcPr>
          <w:p w14:paraId="06D1DA60"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3BB354DD"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69CB80C4"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3F17E147"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122A4739"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7AFB14CB"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0D59ADB4"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446992E7"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213590D2"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F018728"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18AACC38"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6B694D25"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41C16540" w14:textId="77777777" w:rsidR="00455FFD" w:rsidRPr="002A36EE" w:rsidRDefault="00455FFD" w:rsidP="00455FFD">
            <w:pPr>
              <w:spacing w:after="0" w:line="240" w:lineRule="auto"/>
              <w:jc w:val="center"/>
              <w:rPr>
                <w:rFonts w:cs="Times New Roman"/>
                <w:sz w:val="20"/>
                <w:szCs w:val="20"/>
              </w:rPr>
            </w:pPr>
          </w:p>
        </w:tc>
      </w:tr>
      <w:tr w:rsidR="00ED2CC6" w:rsidRPr="002A36EE" w14:paraId="238D3443" w14:textId="77777777" w:rsidTr="00C5133C">
        <w:trPr>
          <w:gridAfter w:val="1"/>
          <w:wAfter w:w="608" w:type="dxa"/>
          <w:trHeight w:val="218"/>
        </w:trPr>
        <w:tc>
          <w:tcPr>
            <w:tcW w:w="648" w:type="dxa"/>
            <w:vMerge/>
            <w:tcBorders>
              <w:top w:val="nil"/>
              <w:left w:val="nil"/>
              <w:bottom w:val="nil"/>
              <w:right w:val="nil"/>
            </w:tcBorders>
            <w:hideMark/>
          </w:tcPr>
          <w:p w14:paraId="088F333E"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78AD75DC"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318F7CCC"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68B36BF5"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46418BA4"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5B96F329"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48FB4AE7"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6B75660B"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11D8A3F1"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3F16166A"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4D66AD62"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77167060"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32E202AB" w14:textId="77777777" w:rsidR="00455FFD" w:rsidRPr="002A36EE" w:rsidRDefault="00455FFD" w:rsidP="00455FFD">
            <w:pPr>
              <w:spacing w:after="0" w:line="240" w:lineRule="auto"/>
              <w:jc w:val="center"/>
              <w:rPr>
                <w:rFonts w:cs="Times New Roman"/>
                <w:sz w:val="20"/>
                <w:szCs w:val="20"/>
              </w:rPr>
            </w:pPr>
          </w:p>
        </w:tc>
      </w:tr>
      <w:tr w:rsidR="00ED2CC6" w:rsidRPr="002A36EE" w14:paraId="3E2A675D" w14:textId="77777777" w:rsidTr="00C5133C">
        <w:trPr>
          <w:gridAfter w:val="1"/>
          <w:wAfter w:w="608" w:type="dxa"/>
          <w:trHeight w:val="218"/>
        </w:trPr>
        <w:tc>
          <w:tcPr>
            <w:tcW w:w="648" w:type="dxa"/>
            <w:vMerge/>
            <w:tcBorders>
              <w:top w:val="nil"/>
              <w:left w:val="nil"/>
              <w:bottom w:val="nil"/>
              <w:right w:val="nil"/>
            </w:tcBorders>
            <w:hideMark/>
          </w:tcPr>
          <w:p w14:paraId="7B1AB585"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4AB29E96"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17AB04B"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AC9F1E2"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50512D43"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55424C17"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6B6DE5A5"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720FDC3B"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6580B5D9"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5CD2DC3"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7B6142D7"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5D4E2A5D"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1ABC2028" w14:textId="77777777" w:rsidR="00455FFD" w:rsidRPr="002A36EE" w:rsidRDefault="00455FFD" w:rsidP="00455FFD">
            <w:pPr>
              <w:spacing w:after="0" w:line="240" w:lineRule="auto"/>
              <w:jc w:val="center"/>
              <w:rPr>
                <w:rFonts w:cs="Times New Roman"/>
                <w:sz w:val="20"/>
                <w:szCs w:val="20"/>
              </w:rPr>
            </w:pPr>
          </w:p>
        </w:tc>
      </w:tr>
      <w:tr w:rsidR="00ED2CC6" w:rsidRPr="002A36EE" w14:paraId="695A4ABA" w14:textId="77777777" w:rsidTr="00C5133C">
        <w:trPr>
          <w:gridAfter w:val="1"/>
          <w:wAfter w:w="608" w:type="dxa"/>
          <w:trHeight w:val="218"/>
        </w:trPr>
        <w:tc>
          <w:tcPr>
            <w:tcW w:w="648" w:type="dxa"/>
            <w:vMerge/>
            <w:tcBorders>
              <w:top w:val="nil"/>
              <w:left w:val="nil"/>
              <w:bottom w:val="nil"/>
              <w:right w:val="nil"/>
            </w:tcBorders>
            <w:hideMark/>
          </w:tcPr>
          <w:p w14:paraId="7BCC238A"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617C4D48"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78ADAF93"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3A35943D"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3484A920"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6058F69B"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4FF98B2C"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335D0248"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122D6232"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721CCA10"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5580C6F7"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485DD503"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52C1A16A" w14:textId="77777777" w:rsidR="00455FFD" w:rsidRPr="002A36EE" w:rsidRDefault="00455FFD" w:rsidP="00455FFD">
            <w:pPr>
              <w:spacing w:after="0" w:line="240" w:lineRule="auto"/>
              <w:jc w:val="center"/>
              <w:rPr>
                <w:rFonts w:cs="Times New Roman"/>
                <w:sz w:val="20"/>
                <w:szCs w:val="20"/>
              </w:rPr>
            </w:pPr>
          </w:p>
        </w:tc>
      </w:tr>
      <w:tr w:rsidR="00ED2CC6" w:rsidRPr="002A36EE" w14:paraId="7EC3FC5F" w14:textId="77777777" w:rsidTr="00C5133C">
        <w:trPr>
          <w:gridAfter w:val="1"/>
          <w:wAfter w:w="608" w:type="dxa"/>
          <w:trHeight w:val="218"/>
        </w:trPr>
        <w:tc>
          <w:tcPr>
            <w:tcW w:w="648" w:type="dxa"/>
            <w:vMerge/>
            <w:tcBorders>
              <w:top w:val="nil"/>
              <w:left w:val="nil"/>
              <w:bottom w:val="nil"/>
              <w:right w:val="nil"/>
            </w:tcBorders>
            <w:hideMark/>
          </w:tcPr>
          <w:p w14:paraId="47F1BF00"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20393F64"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F419161"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21731CF8"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582B0AB1"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64615C6"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49BE0EDE"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1B4D2E7F"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7AFD7B6D"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6974F4C3"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46DED9E5"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6E5A0619"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0EA8DA1B" w14:textId="77777777" w:rsidR="00455FFD" w:rsidRPr="002A36EE" w:rsidRDefault="00455FFD" w:rsidP="00455FFD">
            <w:pPr>
              <w:spacing w:after="0" w:line="240" w:lineRule="auto"/>
              <w:jc w:val="center"/>
              <w:rPr>
                <w:rFonts w:cs="Times New Roman"/>
                <w:sz w:val="20"/>
                <w:szCs w:val="20"/>
              </w:rPr>
            </w:pPr>
          </w:p>
        </w:tc>
      </w:tr>
      <w:tr w:rsidR="00ED2CC6" w:rsidRPr="002A36EE" w14:paraId="2876B603" w14:textId="77777777" w:rsidTr="00C5133C">
        <w:trPr>
          <w:gridAfter w:val="1"/>
          <w:wAfter w:w="608" w:type="dxa"/>
          <w:trHeight w:val="218"/>
        </w:trPr>
        <w:tc>
          <w:tcPr>
            <w:tcW w:w="648" w:type="dxa"/>
            <w:vMerge/>
            <w:tcBorders>
              <w:top w:val="nil"/>
              <w:left w:val="nil"/>
              <w:bottom w:val="nil"/>
              <w:right w:val="nil"/>
            </w:tcBorders>
            <w:hideMark/>
          </w:tcPr>
          <w:p w14:paraId="3FB5BC0D"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39FC1C29"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17D117C8"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4B8A00B0"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08494026"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7D2EADF8"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02D4FDD5"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401A75DF"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5228CD45"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0257B812"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7A3D4282"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1B2D695F"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38301A88" w14:textId="77777777" w:rsidR="00455FFD" w:rsidRPr="002A36EE" w:rsidRDefault="00455FFD" w:rsidP="00455FFD">
            <w:pPr>
              <w:spacing w:after="0" w:line="240" w:lineRule="auto"/>
              <w:jc w:val="center"/>
              <w:rPr>
                <w:rFonts w:cs="Times New Roman"/>
                <w:sz w:val="20"/>
                <w:szCs w:val="20"/>
              </w:rPr>
            </w:pPr>
          </w:p>
        </w:tc>
      </w:tr>
      <w:tr w:rsidR="00ED2CC6" w:rsidRPr="002A36EE" w14:paraId="629FE402" w14:textId="77777777" w:rsidTr="00C5133C">
        <w:trPr>
          <w:gridAfter w:val="1"/>
          <w:wAfter w:w="608" w:type="dxa"/>
          <w:trHeight w:val="218"/>
        </w:trPr>
        <w:tc>
          <w:tcPr>
            <w:tcW w:w="648" w:type="dxa"/>
            <w:vMerge/>
            <w:tcBorders>
              <w:top w:val="nil"/>
              <w:left w:val="nil"/>
              <w:bottom w:val="nil"/>
              <w:right w:val="nil"/>
            </w:tcBorders>
            <w:hideMark/>
          </w:tcPr>
          <w:p w14:paraId="6D316C6D"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1C197B8C"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18A57DB5"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FD4460C"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2D90042A"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8FC95E1"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5D0E8B50"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12036D35"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2881485F"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02C22E3F"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6E74D02B"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1263050D"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7BC57ED6" w14:textId="77777777" w:rsidR="00455FFD" w:rsidRPr="002A36EE" w:rsidRDefault="00455FFD" w:rsidP="00455FFD">
            <w:pPr>
              <w:spacing w:after="0" w:line="240" w:lineRule="auto"/>
              <w:jc w:val="center"/>
              <w:rPr>
                <w:rFonts w:cs="Times New Roman"/>
                <w:sz w:val="20"/>
                <w:szCs w:val="20"/>
              </w:rPr>
            </w:pPr>
          </w:p>
        </w:tc>
      </w:tr>
      <w:tr w:rsidR="00ED2CC6" w:rsidRPr="002A36EE" w14:paraId="3E8A2C8E" w14:textId="77777777" w:rsidTr="00C5133C">
        <w:trPr>
          <w:gridAfter w:val="1"/>
          <w:wAfter w:w="608" w:type="dxa"/>
          <w:trHeight w:val="218"/>
        </w:trPr>
        <w:tc>
          <w:tcPr>
            <w:tcW w:w="648" w:type="dxa"/>
            <w:vMerge/>
            <w:tcBorders>
              <w:top w:val="nil"/>
              <w:left w:val="nil"/>
              <w:bottom w:val="nil"/>
              <w:right w:val="nil"/>
            </w:tcBorders>
            <w:hideMark/>
          </w:tcPr>
          <w:p w14:paraId="2AFAFBC4"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79995C46"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0B75F3FA"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471D6BC0"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4EBB8BDA"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BF101A4"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37D8A315"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0CF52071"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32EA514A"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623D4D3C"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64C8F054"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0BB8B82F"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487EAB9B" w14:textId="77777777" w:rsidR="00455FFD" w:rsidRPr="002A36EE" w:rsidRDefault="00455FFD" w:rsidP="00455FFD">
            <w:pPr>
              <w:spacing w:after="0" w:line="240" w:lineRule="auto"/>
              <w:jc w:val="center"/>
              <w:rPr>
                <w:rFonts w:cs="Times New Roman"/>
                <w:sz w:val="20"/>
                <w:szCs w:val="20"/>
              </w:rPr>
            </w:pPr>
          </w:p>
        </w:tc>
      </w:tr>
      <w:tr w:rsidR="00ED2CC6" w:rsidRPr="002A36EE" w14:paraId="1BDC96ED" w14:textId="77777777" w:rsidTr="00C5133C">
        <w:trPr>
          <w:gridAfter w:val="1"/>
          <w:wAfter w:w="608" w:type="dxa"/>
          <w:trHeight w:val="218"/>
        </w:trPr>
        <w:tc>
          <w:tcPr>
            <w:tcW w:w="648" w:type="dxa"/>
            <w:vMerge/>
            <w:tcBorders>
              <w:top w:val="nil"/>
              <w:left w:val="nil"/>
              <w:bottom w:val="nil"/>
              <w:right w:val="nil"/>
            </w:tcBorders>
            <w:hideMark/>
          </w:tcPr>
          <w:p w14:paraId="55DC15DB"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773F5D54"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54EC597F"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0A325241"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478A376B"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1C7CD95E"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7CABA849"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6064011D"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778B9477"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40CB9EC1"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5E961FF6"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40551601"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1B3A04F3" w14:textId="77777777" w:rsidR="00455FFD" w:rsidRPr="002A36EE" w:rsidRDefault="00455FFD" w:rsidP="00455FFD">
            <w:pPr>
              <w:spacing w:after="0" w:line="240" w:lineRule="auto"/>
              <w:jc w:val="center"/>
              <w:rPr>
                <w:rFonts w:cs="Times New Roman"/>
                <w:sz w:val="20"/>
                <w:szCs w:val="20"/>
              </w:rPr>
            </w:pPr>
          </w:p>
        </w:tc>
      </w:tr>
      <w:tr w:rsidR="00ED2CC6" w:rsidRPr="002A36EE" w14:paraId="0B16D0E5" w14:textId="77777777" w:rsidTr="00C5133C">
        <w:trPr>
          <w:gridAfter w:val="1"/>
          <w:wAfter w:w="608" w:type="dxa"/>
          <w:trHeight w:val="218"/>
        </w:trPr>
        <w:tc>
          <w:tcPr>
            <w:tcW w:w="648" w:type="dxa"/>
            <w:vMerge/>
            <w:tcBorders>
              <w:top w:val="nil"/>
              <w:left w:val="nil"/>
              <w:bottom w:val="nil"/>
              <w:right w:val="nil"/>
            </w:tcBorders>
            <w:hideMark/>
          </w:tcPr>
          <w:p w14:paraId="7896C1DC"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4A9804DD"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44FF7A83"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80BC078"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15E37D02"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533F7F28"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45FDFBAC"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3BACBCAB"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6CCEB506"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51039D44"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12B51DBC"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49427B94"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168BC525" w14:textId="77777777" w:rsidR="00455FFD" w:rsidRPr="002A36EE" w:rsidRDefault="00455FFD" w:rsidP="00455FFD">
            <w:pPr>
              <w:spacing w:after="0" w:line="240" w:lineRule="auto"/>
              <w:jc w:val="center"/>
              <w:rPr>
                <w:rFonts w:cs="Times New Roman"/>
                <w:sz w:val="20"/>
                <w:szCs w:val="20"/>
              </w:rPr>
            </w:pPr>
          </w:p>
        </w:tc>
      </w:tr>
      <w:tr w:rsidR="00ED2CC6" w:rsidRPr="002A36EE" w14:paraId="49755DCA" w14:textId="77777777" w:rsidTr="00C5133C">
        <w:trPr>
          <w:gridAfter w:val="1"/>
          <w:wAfter w:w="608" w:type="dxa"/>
          <w:trHeight w:val="218"/>
        </w:trPr>
        <w:tc>
          <w:tcPr>
            <w:tcW w:w="648" w:type="dxa"/>
            <w:vMerge/>
            <w:tcBorders>
              <w:top w:val="nil"/>
              <w:left w:val="nil"/>
              <w:bottom w:val="nil"/>
              <w:right w:val="nil"/>
            </w:tcBorders>
            <w:hideMark/>
          </w:tcPr>
          <w:p w14:paraId="05589A5E"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3326ABF7"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6D9FF5D3"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2CA68A5A"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0C166B5A"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53210834"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354488AF"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213C7A97"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2837C49B"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7E7E284D"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48DD0271"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61B37540"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3CA60E0A" w14:textId="77777777" w:rsidR="00455FFD" w:rsidRPr="002A36EE" w:rsidRDefault="00455FFD" w:rsidP="00455FFD">
            <w:pPr>
              <w:spacing w:after="0" w:line="240" w:lineRule="auto"/>
              <w:jc w:val="center"/>
              <w:rPr>
                <w:rFonts w:cs="Times New Roman"/>
                <w:sz w:val="20"/>
                <w:szCs w:val="20"/>
              </w:rPr>
            </w:pPr>
          </w:p>
        </w:tc>
      </w:tr>
      <w:tr w:rsidR="00ED2CC6" w:rsidRPr="002A36EE" w14:paraId="3872874C" w14:textId="77777777" w:rsidTr="00C5133C">
        <w:trPr>
          <w:gridAfter w:val="1"/>
          <w:wAfter w:w="608" w:type="dxa"/>
          <w:trHeight w:val="218"/>
        </w:trPr>
        <w:tc>
          <w:tcPr>
            <w:tcW w:w="648" w:type="dxa"/>
            <w:vMerge/>
            <w:tcBorders>
              <w:top w:val="nil"/>
              <w:left w:val="nil"/>
              <w:bottom w:val="nil"/>
              <w:right w:val="nil"/>
            </w:tcBorders>
            <w:hideMark/>
          </w:tcPr>
          <w:p w14:paraId="369BE527"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15B2C9AF"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06F0011D"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40677466"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5BE9561A"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2199169D"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09053F7C"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29611F3C"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0DF81A90"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021FD105"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19A263F7"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05E1C896"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41D8E268" w14:textId="77777777" w:rsidR="00455FFD" w:rsidRPr="002A36EE" w:rsidRDefault="00455FFD" w:rsidP="00455FFD">
            <w:pPr>
              <w:spacing w:after="0" w:line="240" w:lineRule="auto"/>
              <w:jc w:val="center"/>
              <w:rPr>
                <w:rFonts w:cs="Times New Roman"/>
                <w:sz w:val="20"/>
                <w:szCs w:val="20"/>
              </w:rPr>
            </w:pPr>
          </w:p>
        </w:tc>
      </w:tr>
      <w:tr w:rsidR="00ED2CC6" w:rsidRPr="002A36EE" w14:paraId="28239966" w14:textId="77777777" w:rsidTr="00C5133C">
        <w:trPr>
          <w:gridAfter w:val="1"/>
          <w:wAfter w:w="608" w:type="dxa"/>
          <w:trHeight w:val="218"/>
        </w:trPr>
        <w:tc>
          <w:tcPr>
            <w:tcW w:w="648" w:type="dxa"/>
            <w:vMerge/>
            <w:tcBorders>
              <w:top w:val="nil"/>
              <w:left w:val="nil"/>
              <w:bottom w:val="nil"/>
              <w:right w:val="nil"/>
            </w:tcBorders>
            <w:hideMark/>
          </w:tcPr>
          <w:p w14:paraId="1CBD4E72" w14:textId="77777777" w:rsidR="00455FFD" w:rsidRPr="002A36EE" w:rsidRDefault="00455FFD" w:rsidP="00455FFD">
            <w:pPr>
              <w:spacing w:after="0" w:line="240" w:lineRule="auto"/>
              <w:jc w:val="center"/>
              <w:rPr>
                <w:rFonts w:cs="Times New Roman"/>
                <w:color w:val="000000"/>
                <w:sz w:val="36"/>
                <w:szCs w:val="36"/>
              </w:rPr>
            </w:pPr>
          </w:p>
        </w:tc>
        <w:tc>
          <w:tcPr>
            <w:tcW w:w="450" w:type="dxa"/>
            <w:tcBorders>
              <w:top w:val="nil"/>
              <w:left w:val="nil"/>
              <w:bottom w:val="nil"/>
              <w:right w:val="nil"/>
            </w:tcBorders>
            <w:shd w:val="clear" w:color="auto" w:fill="auto"/>
            <w:noWrap/>
            <w:hideMark/>
          </w:tcPr>
          <w:p w14:paraId="25772B1B"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67BD6D6B"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691B8E11"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6126071A"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0AEB63FD"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036797D6"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3838A5B0"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70392C92"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5C6FE2DC"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4B5EFBA5"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15E8CE19"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1F3750CD" w14:textId="77777777" w:rsidR="00455FFD" w:rsidRPr="002A36EE" w:rsidRDefault="00455FFD" w:rsidP="00455FFD">
            <w:pPr>
              <w:spacing w:after="0" w:line="240" w:lineRule="auto"/>
              <w:jc w:val="center"/>
              <w:rPr>
                <w:rFonts w:cs="Times New Roman"/>
                <w:sz w:val="20"/>
                <w:szCs w:val="20"/>
              </w:rPr>
            </w:pPr>
          </w:p>
        </w:tc>
      </w:tr>
      <w:tr w:rsidR="00ED2CC6" w:rsidRPr="002A36EE" w14:paraId="70C43F89" w14:textId="77777777" w:rsidTr="00C5133C">
        <w:trPr>
          <w:gridAfter w:val="1"/>
          <w:wAfter w:w="608" w:type="dxa"/>
          <w:trHeight w:val="218"/>
        </w:trPr>
        <w:tc>
          <w:tcPr>
            <w:tcW w:w="648" w:type="dxa"/>
            <w:tcBorders>
              <w:top w:val="nil"/>
              <w:left w:val="nil"/>
              <w:bottom w:val="nil"/>
              <w:right w:val="nil"/>
            </w:tcBorders>
            <w:shd w:val="clear" w:color="auto" w:fill="auto"/>
            <w:noWrap/>
            <w:hideMark/>
          </w:tcPr>
          <w:p w14:paraId="78C0981F" w14:textId="77777777" w:rsidR="00455FFD" w:rsidRPr="002A36EE" w:rsidRDefault="00455FFD" w:rsidP="00455FFD">
            <w:pPr>
              <w:spacing w:after="0" w:line="240" w:lineRule="auto"/>
              <w:jc w:val="center"/>
              <w:rPr>
                <w:rFonts w:cs="Times New Roman"/>
                <w:sz w:val="20"/>
                <w:szCs w:val="20"/>
              </w:rPr>
            </w:pPr>
          </w:p>
        </w:tc>
        <w:tc>
          <w:tcPr>
            <w:tcW w:w="450" w:type="dxa"/>
            <w:tcBorders>
              <w:top w:val="nil"/>
              <w:left w:val="nil"/>
              <w:bottom w:val="nil"/>
              <w:right w:val="nil"/>
            </w:tcBorders>
            <w:shd w:val="clear" w:color="auto" w:fill="auto"/>
            <w:noWrap/>
            <w:hideMark/>
          </w:tcPr>
          <w:p w14:paraId="0F98D4B3" w14:textId="77777777" w:rsidR="00455FFD" w:rsidRPr="002A36EE" w:rsidRDefault="00455FFD" w:rsidP="00455FFD">
            <w:pPr>
              <w:spacing w:after="0" w:line="240" w:lineRule="auto"/>
              <w:jc w:val="center"/>
              <w:rPr>
                <w:rFonts w:cs="Times New Roman"/>
                <w:sz w:val="20"/>
                <w:szCs w:val="20"/>
              </w:rPr>
            </w:pPr>
          </w:p>
        </w:tc>
        <w:tc>
          <w:tcPr>
            <w:tcW w:w="1846" w:type="dxa"/>
            <w:tcBorders>
              <w:top w:val="nil"/>
              <w:left w:val="nil"/>
              <w:bottom w:val="nil"/>
              <w:right w:val="nil"/>
            </w:tcBorders>
            <w:shd w:val="clear" w:color="auto" w:fill="auto"/>
            <w:noWrap/>
            <w:hideMark/>
          </w:tcPr>
          <w:p w14:paraId="75249F2E" w14:textId="77777777" w:rsidR="00455FFD" w:rsidRPr="002A36EE" w:rsidRDefault="00455FFD" w:rsidP="00455FFD">
            <w:pPr>
              <w:spacing w:after="0" w:line="240" w:lineRule="auto"/>
              <w:jc w:val="center"/>
              <w:rPr>
                <w:rFonts w:cs="Times New Roman"/>
                <w:sz w:val="20"/>
                <w:szCs w:val="20"/>
              </w:rPr>
            </w:pPr>
          </w:p>
        </w:tc>
        <w:tc>
          <w:tcPr>
            <w:tcW w:w="563" w:type="dxa"/>
            <w:tcBorders>
              <w:top w:val="nil"/>
              <w:left w:val="nil"/>
              <w:bottom w:val="nil"/>
              <w:right w:val="nil"/>
            </w:tcBorders>
            <w:shd w:val="clear" w:color="auto" w:fill="auto"/>
            <w:noWrap/>
            <w:hideMark/>
          </w:tcPr>
          <w:p w14:paraId="18FBA4D8" w14:textId="77777777" w:rsidR="00455FFD" w:rsidRPr="002A36EE" w:rsidRDefault="00455FFD" w:rsidP="00455FFD">
            <w:pPr>
              <w:spacing w:after="0" w:line="240" w:lineRule="auto"/>
              <w:jc w:val="center"/>
              <w:rPr>
                <w:rFonts w:cs="Times New Roman"/>
                <w:sz w:val="20"/>
                <w:szCs w:val="20"/>
              </w:rPr>
            </w:pPr>
          </w:p>
        </w:tc>
        <w:tc>
          <w:tcPr>
            <w:tcW w:w="741" w:type="dxa"/>
            <w:tcBorders>
              <w:top w:val="nil"/>
              <w:left w:val="nil"/>
              <w:bottom w:val="nil"/>
              <w:right w:val="nil"/>
            </w:tcBorders>
            <w:shd w:val="clear" w:color="auto" w:fill="auto"/>
            <w:noWrap/>
            <w:hideMark/>
          </w:tcPr>
          <w:p w14:paraId="08EFB323" w14:textId="77777777" w:rsidR="00455FFD" w:rsidRPr="002A36EE" w:rsidRDefault="00455FFD" w:rsidP="00455FFD">
            <w:pPr>
              <w:spacing w:after="0" w:line="240" w:lineRule="auto"/>
              <w:jc w:val="center"/>
              <w:rPr>
                <w:rFonts w:cs="Times New Roman"/>
                <w:sz w:val="20"/>
                <w:szCs w:val="20"/>
              </w:rPr>
            </w:pPr>
          </w:p>
        </w:tc>
        <w:tc>
          <w:tcPr>
            <w:tcW w:w="450" w:type="dxa"/>
            <w:gridSpan w:val="2"/>
            <w:tcBorders>
              <w:top w:val="nil"/>
              <w:left w:val="nil"/>
              <w:bottom w:val="nil"/>
              <w:right w:val="nil"/>
            </w:tcBorders>
            <w:shd w:val="clear" w:color="auto" w:fill="auto"/>
            <w:noWrap/>
            <w:hideMark/>
          </w:tcPr>
          <w:p w14:paraId="6EB7EFD2" w14:textId="77777777" w:rsidR="00455FFD" w:rsidRPr="002A36EE" w:rsidRDefault="00455FFD" w:rsidP="00455FFD">
            <w:pPr>
              <w:spacing w:after="0" w:line="240" w:lineRule="auto"/>
              <w:jc w:val="center"/>
              <w:rPr>
                <w:rFonts w:cs="Times New Roman"/>
                <w:sz w:val="20"/>
                <w:szCs w:val="20"/>
              </w:rPr>
            </w:pPr>
          </w:p>
        </w:tc>
        <w:tc>
          <w:tcPr>
            <w:tcW w:w="949" w:type="dxa"/>
            <w:gridSpan w:val="3"/>
            <w:tcBorders>
              <w:top w:val="nil"/>
              <w:left w:val="nil"/>
              <w:bottom w:val="nil"/>
              <w:right w:val="nil"/>
            </w:tcBorders>
            <w:shd w:val="clear" w:color="auto" w:fill="auto"/>
            <w:noWrap/>
            <w:hideMark/>
          </w:tcPr>
          <w:p w14:paraId="21784EA4" w14:textId="77777777" w:rsidR="00455FFD" w:rsidRPr="002A36EE" w:rsidRDefault="00455FFD" w:rsidP="00455FFD">
            <w:pPr>
              <w:spacing w:after="0" w:line="240" w:lineRule="auto"/>
              <w:jc w:val="center"/>
              <w:rPr>
                <w:rFonts w:cs="Times New Roman"/>
                <w:sz w:val="20"/>
                <w:szCs w:val="20"/>
              </w:rPr>
            </w:pPr>
          </w:p>
        </w:tc>
        <w:tc>
          <w:tcPr>
            <w:tcW w:w="941" w:type="dxa"/>
            <w:gridSpan w:val="2"/>
            <w:tcBorders>
              <w:top w:val="nil"/>
              <w:left w:val="nil"/>
              <w:bottom w:val="nil"/>
              <w:right w:val="nil"/>
            </w:tcBorders>
            <w:shd w:val="clear" w:color="auto" w:fill="auto"/>
            <w:noWrap/>
            <w:hideMark/>
          </w:tcPr>
          <w:p w14:paraId="1F6DAD17" w14:textId="77777777" w:rsidR="00455FFD" w:rsidRPr="002A36EE" w:rsidRDefault="00455FFD" w:rsidP="00455FFD">
            <w:pPr>
              <w:spacing w:after="0" w:line="240" w:lineRule="auto"/>
              <w:jc w:val="center"/>
              <w:rPr>
                <w:rFonts w:cs="Times New Roman"/>
                <w:sz w:val="20"/>
                <w:szCs w:val="20"/>
              </w:rPr>
            </w:pPr>
          </w:p>
        </w:tc>
        <w:tc>
          <w:tcPr>
            <w:tcW w:w="305" w:type="dxa"/>
            <w:gridSpan w:val="2"/>
            <w:tcBorders>
              <w:top w:val="nil"/>
              <w:left w:val="nil"/>
              <w:bottom w:val="nil"/>
              <w:right w:val="nil"/>
            </w:tcBorders>
            <w:shd w:val="clear" w:color="auto" w:fill="auto"/>
            <w:noWrap/>
            <w:hideMark/>
          </w:tcPr>
          <w:p w14:paraId="4D961815" w14:textId="77777777" w:rsidR="00455FFD" w:rsidRPr="002A36EE" w:rsidRDefault="00455FFD" w:rsidP="00455FFD">
            <w:pPr>
              <w:spacing w:after="0" w:line="240" w:lineRule="auto"/>
              <w:jc w:val="center"/>
              <w:rPr>
                <w:rFonts w:cs="Times New Roman"/>
                <w:sz w:val="20"/>
                <w:szCs w:val="20"/>
              </w:rPr>
            </w:pPr>
          </w:p>
        </w:tc>
        <w:tc>
          <w:tcPr>
            <w:tcW w:w="434" w:type="dxa"/>
            <w:gridSpan w:val="2"/>
            <w:tcBorders>
              <w:top w:val="nil"/>
              <w:left w:val="nil"/>
              <w:bottom w:val="nil"/>
              <w:right w:val="nil"/>
            </w:tcBorders>
            <w:shd w:val="clear" w:color="auto" w:fill="auto"/>
            <w:noWrap/>
            <w:hideMark/>
          </w:tcPr>
          <w:p w14:paraId="1226B779" w14:textId="77777777" w:rsidR="00455FFD" w:rsidRPr="002A36EE" w:rsidRDefault="00455FFD" w:rsidP="00455FFD">
            <w:pPr>
              <w:spacing w:after="0" w:line="240" w:lineRule="auto"/>
              <w:jc w:val="center"/>
              <w:rPr>
                <w:rFonts w:cs="Times New Roman"/>
                <w:sz w:val="20"/>
                <w:szCs w:val="20"/>
              </w:rPr>
            </w:pPr>
          </w:p>
        </w:tc>
        <w:tc>
          <w:tcPr>
            <w:tcW w:w="1919" w:type="dxa"/>
            <w:gridSpan w:val="2"/>
            <w:tcBorders>
              <w:top w:val="nil"/>
              <w:left w:val="nil"/>
              <w:bottom w:val="nil"/>
              <w:right w:val="nil"/>
            </w:tcBorders>
            <w:shd w:val="clear" w:color="auto" w:fill="auto"/>
            <w:noWrap/>
            <w:hideMark/>
          </w:tcPr>
          <w:p w14:paraId="72594843" w14:textId="77777777" w:rsidR="00455FFD" w:rsidRPr="002A36EE" w:rsidRDefault="00455FFD" w:rsidP="00455FFD">
            <w:pPr>
              <w:spacing w:after="0" w:line="240" w:lineRule="auto"/>
              <w:jc w:val="center"/>
              <w:rPr>
                <w:rFonts w:cs="Times New Roman"/>
                <w:sz w:val="20"/>
                <w:szCs w:val="20"/>
              </w:rPr>
            </w:pPr>
          </w:p>
        </w:tc>
        <w:tc>
          <w:tcPr>
            <w:tcW w:w="459" w:type="dxa"/>
            <w:gridSpan w:val="2"/>
            <w:tcBorders>
              <w:top w:val="nil"/>
              <w:left w:val="nil"/>
              <w:bottom w:val="nil"/>
              <w:right w:val="nil"/>
            </w:tcBorders>
            <w:shd w:val="clear" w:color="auto" w:fill="auto"/>
            <w:noWrap/>
            <w:hideMark/>
          </w:tcPr>
          <w:p w14:paraId="66363217" w14:textId="77777777" w:rsidR="00455FFD" w:rsidRPr="002A36EE" w:rsidRDefault="00455FFD" w:rsidP="00455FFD">
            <w:pPr>
              <w:spacing w:after="0" w:line="240" w:lineRule="auto"/>
              <w:jc w:val="center"/>
              <w:rPr>
                <w:rFonts w:cs="Times New Roman"/>
                <w:sz w:val="20"/>
                <w:szCs w:val="20"/>
              </w:rPr>
            </w:pPr>
          </w:p>
        </w:tc>
        <w:tc>
          <w:tcPr>
            <w:tcW w:w="238" w:type="dxa"/>
            <w:tcBorders>
              <w:top w:val="nil"/>
              <w:left w:val="nil"/>
              <w:bottom w:val="nil"/>
              <w:right w:val="nil"/>
            </w:tcBorders>
            <w:shd w:val="clear" w:color="auto" w:fill="auto"/>
            <w:noWrap/>
            <w:hideMark/>
          </w:tcPr>
          <w:p w14:paraId="482C9105" w14:textId="77777777" w:rsidR="00455FFD" w:rsidRPr="002A36EE" w:rsidRDefault="00455FFD" w:rsidP="00455FFD">
            <w:pPr>
              <w:spacing w:after="0" w:line="240" w:lineRule="auto"/>
              <w:jc w:val="center"/>
              <w:rPr>
                <w:rFonts w:cs="Times New Roman"/>
                <w:sz w:val="20"/>
                <w:szCs w:val="20"/>
              </w:rPr>
            </w:pPr>
          </w:p>
        </w:tc>
      </w:tr>
      <w:tr w:rsidR="00455FFD" w:rsidRPr="002A36EE" w14:paraId="04449BF6" w14:textId="77777777" w:rsidTr="00C5133C">
        <w:trPr>
          <w:gridAfter w:val="1"/>
          <w:wAfter w:w="608" w:type="dxa"/>
          <w:trHeight w:val="218"/>
        </w:trPr>
        <w:tc>
          <w:tcPr>
            <w:tcW w:w="648" w:type="dxa"/>
            <w:tcBorders>
              <w:top w:val="nil"/>
              <w:left w:val="nil"/>
              <w:bottom w:val="nil"/>
              <w:right w:val="nil"/>
            </w:tcBorders>
            <w:shd w:val="clear" w:color="auto" w:fill="auto"/>
            <w:noWrap/>
            <w:hideMark/>
          </w:tcPr>
          <w:p w14:paraId="33C658FD" w14:textId="77777777" w:rsidR="00455FFD" w:rsidRPr="002A36EE" w:rsidRDefault="00455FFD" w:rsidP="00455FFD">
            <w:pPr>
              <w:spacing w:after="0" w:line="240" w:lineRule="auto"/>
              <w:jc w:val="center"/>
              <w:rPr>
                <w:rFonts w:cs="Times New Roman"/>
                <w:sz w:val="20"/>
                <w:szCs w:val="20"/>
              </w:rPr>
            </w:pPr>
          </w:p>
        </w:tc>
        <w:tc>
          <w:tcPr>
            <w:tcW w:w="450" w:type="dxa"/>
            <w:tcBorders>
              <w:top w:val="single" w:sz="4" w:space="0" w:color="auto"/>
              <w:left w:val="single" w:sz="4" w:space="0" w:color="auto"/>
              <w:bottom w:val="nil"/>
              <w:right w:val="nil"/>
            </w:tcBorders>
            <w:shd w:val="clear" w:color="auto" w:fill="auto"/>
            <w:noWrap/>
            <w:hideMark/>
          </w:tcPr>
          <w:p w14:paraId="5B50C33E" w14:textId="77777777" w:rsidR="00455FFD" w:rsidRPr="002A36EE" w:rsidRDefault="00455FFD" w:rsidP="00455FFD">
            <w:pPr>
              <w:spacing w:after="0" w:line="240" w:lineRule="auto"/>
              <w:jc w:val="center"/>
              <w:rPr>
                <w:rFonts w:cs="Times New Roman"/>
                <w:b/>
                <w:bCs/>
                <w:color w:val="FF0000"/>
              </w:rPr>
            </w:pPr>
            <w:r w:rsidRPr="002A36EE">
              <w:rPr>
                <w:rFonts w:cs="Times New Roman"/>
                <w:b/>
                <w:bCs/>
                <w:color w:val="FF0000"/>
              </w:rPr>
              <w:t>●</w:t>
            </w:r>
          </w:p>
        </w:tc>
        <w:tc>
          <w:tcPr>
            <w:tcW w:w="2409" w:type="dxa"/>
            <w:gridSpan w:val="2"/>
            <w:tcBorders>
              <w:top w:val="single" w:sz="4" w:space="0" w:color="auto"/>
              <w:left w:val="nil"/>
              <w:bottom w:val="nil"/>
              <w:right w:val="nil"/>
            </w:tcBorders>
            <w:shd w:val="clear" w:color="auto" w:fill="auto"/>
            <w:noWrap/>
            <w:hideMark/>
          </w:tcPr>
          <w:p w14:paraId="445EF97D"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Live animals; animal products</w:t>
            </w:r>
          </w:p>
        </w:tc>
        <w:tc>
          <w:tcPr>
            <w:tcW w:w="741" w:type="dxa"/>
            <w:tcBorders>
              <w:top w:val="single" w:sz="4" w:space="0" w:color="auto"/>
              <w:left w:val="nil"/>
              <w:bottom w:val="nil"/>
              <w:right w:val="nil"/>
            </w:tcBorders>
            <w:shd w:val="clear" w:color="auto" w:fill="auto"/>
            <w:noWrap/>
            <w:hideMark/>
          </w:tcPr>
          <w:p w14:paraId="0A9613B2" w14:textId="77777777" w:rsidR="00455FFD" w:rsidRPr="002A36EE" w:rsidRDefault="00455FFD" w:rsidP="00455FFD">
            <w:pPr>
              <w:spacing w:after="0" w:line="240" w:lineRule="auto"/>
              <w:jc w:val="center"/>
              <w:rPr>
                <w:rFonts w:cs="Times New Roman"/>
                <w:color w:val="000000"/>
              </w:rPr>
            </w:pPr>
          </w:p>
        </w:tc>
        <w:tc>
          <w:tcPr>
            <w:tcW w:w="450" w:type="dxa"/>
            <w:gridSpan w:val="2"/>
            <w:tcBorders>
              <w:top w:val="single" w:sz="4" w:space="0" w:color="auto"/>
              <w:left w:val="nil"/>
              <w:bottom w:val="nil"/>
              <w:right w:val="nil"/>
            </w:tcBorders>
            <w:shd w:val="clear" w:color="auto" w:fill="auto"/>
            <w:noWrap/>
            <w:hideMark/>
          </w:tcPr>
          <w:p w14:paraId="3A7E3AA1" w14:textId="77777777" w:rsidR="00455FFD" w:rsidRPr="002A36EE" w:rsidRDefault="00455FFD" w:rsidP="00455FFD">
            <w:pPr>
              <w:spacing w:after="0" w:line="240" w:lineRule="auto"/>
              <w:jc w:val="center"/>
              <w:rPr>
                <w:rFonts w:cs="Times New Roman"/>
                <w:b/>
                <w:bCs/>
                <w:color w:val="008000"/>
              </w:rPr>
            </w:pPr>
            <w:r w:rsidRPr="002A36EE">
              <w:rPr>
                <w:rFonts w:cs="Times New Roman"/>
                <w:b/>
                <w:bCs/>
                <w:color w:val="008000"/>
              </w:rPr>
              <w:t>▲</w:t>
            </w:r>
          </w:p>
        </w:tc>
        <w:tc>
          <w:tcPr>
            <w:tcW w:w="1890" w:type="dxa"/>
            <w:gridSpan w:val="5"/>
            <w:tcBorders>
              <w:top w:val="single" w:sz="4" w:space="0" w:color="auto"/>
              <w:left w:val="nil"/>
              <w:bottom w:val="nil"/>
              <w:right w:val="nil"/>
            </w:tcBorders>
            <w:shd w:val="clear" w:color="auto" w:fill="auto"/>
            <w:noWrap/>
            <w:hideMark/>
          </w:tcPr>
          <w:p w14:paraId="179BF75A"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Vegetable products</w:t>
            </w:r>
          </w:p>
        </w:tc>
        <w:tc>
          <w:tcPr>
            <w:tcW w:w="305" w:type="dxa"/>
            <w:gridSpan w:val="2"/>
            <w:tcBorders>
              <w:top w:val="single" w:sz="4" w:space="0" w:color="auto"/>
              <w:left w:val="nil"/>
              <w:bottom w:val="nil"/>
              <w:right w:val="nil"/>
            </w:tcBorders>
            <w:shd w:val="clear" w:color="auto" w:fill="auto"/>
            <w:noWrap/>
            <w:hideMark/>
          </w:tcPr>
          <w:p w14:paraId="556CE866" w14:textId="77777777" w:rsidR="00455FFD" w:rsidRPr="002A36EE" w:rsidRDefault="00455FFD" w:rsidP="00455FFD">
            <w:pPr>
              <w:spacing w:after="0" w:line="240" w:lineRule="auto"/>
              <w:jc w:val="center"/>
              <w:rPr>
                <w:rFonts w:cs="Times New Roman"/>
                <w:color w:val="000000"/>
              </w:rPr>
            </w:pPr>
          </w:p>
        </w:tc>
        <w:tc>
          <w:tcPr>
            <w:tcW w:w="434" w:type="dxa"/>
            <w:gridSpan w:val="2"/>
            <w:tcBorders>
              <w:top w:val="single" w:sz="4" w:space="0" w:color="auto"/>
              <w:left w:val="nil"/>
              <w:bottom w:val="nil"/>
              <w:right w:val="nil"/>
            </w:tcBorders>
            <w:shd w:val="clear" w:color="auto" w:fill="auto"/>
            <w:noWrap/>
            <w:hideMark/>
          </w:tcPr>
          <w:p w14:paraId="4E1C6D71" w14:textId="77777777" w:rsidR="00455FFD" w:rsidRPr="002A36EE" w:rsidRDefault="00455FFD" w:rsidP="00455FFD">
            <w:pPr>
              <w:spacing w:after="0" w:line="240" w:lineRule="auto"/>
              <w:jc w:val="center"/>
              <w:rPr>
                <w:rFonts w:cs="Times New Roman"/>
                <w:b/>
                <w:bCs/>
                <w:color w:val="0000FF"/>
              </w:rPr>
            </w:pPr>
            <w:r w:rsidRPr="002A36EE">
              <w:rPr>
                <w:rFonts w:cs="Times New Roman"/>
                <w:b/>
                <w:bCs/>
                <w:color w:val="0000FF"/>
              </w:rPr>
              <w:t>■</w:t>
            </w:r>
          </w:p>
        </w:tc>
        <w:tc>
          <w:tcPr>
            <w:tcW w:w="2616" w:type="dxa"/>
            <w:gridSpan w:val="5"/>
            <w:tcBorders>
              <w:top w:val="single" w:sz="4" w:space="0" w:color="auto"/>
              <w:left w:val="nil"/>
              <w:bottom w:val="nil"/>
              <w:right w:val="single" w:sz="4" w:space="0" w:color="000000"/>
            </w:tcBorders>
            <w:shd w:val="clear" w:color="auto" w:fill="auto"/>
            <w:noWrap/>
            <w:hideMark/>
          </w:tcPr>
          <w:p w14:paraId="339F6078"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Prepared foodstuffs; beverages; tobacco</w:t>
            </w:r>
          </w:p>
        </w:tc>
      </w:tr>
      <w:tr w:rsidR="00455FFD" w:rsidRPr="002A36EE" w14:paraId="20261F2F" w14:textId="77777777" w:rsidTr="00C5133C">
        <w:trPr>
          <w:gridAfter w:val="1"/>
          <w:wAfter w:w="608" w:type="dxa"/>
          <w:trHeight w:val="218"/>
        </w:trPr>
        <w:tc>
          <w:tcPr>
            <w:tcW w:w="648" w:type="dxa"/>
            <w:tcBorders>
              <w:top w:val="nil"/>
              <w:left w:val="nil"/>
              <w:bottom w:val="nil"/>
              <w:right w:val="nil"/>
            </w:tcBorders>
            <w:shd w:val="clear" w:color="auto" w:fill="auto"/>
            <w:noWrap/>
            <w:hideMark/>
          </w:tcPr>
          <w:p w14:paraId="571FE0F7" w14:textId="77777777" w:rsidR="00455FFD" w:rsidRPr="002A36EE" w:rsidRDefault="00455FFD" w:rsidP="00455FFD">
            <w:pPr>
              <w:spacing w:after="0" w:line="240" w:lineRule="auto"/>
              <w:jc w:val="center"/>
              <w:rPr>
                <w:rFonts w:cs="Times New Roman"/>
                <w:color w:val="000000"/>
                <w:sz w:val="20"/>
                <w:szCs w:val="20"/>
              </w:rPr>
            </w:pPr>
          </w:p>
        </w:tc>
        <w:tc>
          <w:tcPr>
            <w:tcW w:w="450" w:type="dxa"/>
            <w:tcBorders>
              <w:top w:val="nil"/>
              <w:left w:val="single" w:sz="4" w:space="0" w:color="auto"/>
              <w:bottom w:val="nil"/>
              <w:right w:val="nil"/>
            </w:tcBorders>
            <w:shd w:val="clear" w:color="auto" w:fill="auto"/>
            <w:noWrap/>
            <w:hideMark/>
          </w:tcPr>
          <w:p w14:paraId="7D065133" w14:textId="77777777" w:rsidR="00455FFD" w:rsidRPr="002A36EE" w:rsidRDefault="00455FFD" w:rsidP="00455FFD">
            <w:pPr>
              <w:spacing w:after="0" w:line="240" w:lineRule="auto"/>
              <w:jc w:val="center"/>
              <w:rPr>
                <w:rFonts w:cs="Times New Roman"/>
                <w:b/>
                <w:bCs/>
                <w:color w:val="000000"/>
              </w:rPr>
            </w:pPr>
            <w:r w:rsidRPr="002A36EE">
              <w:rPr>
                <w:rFonts w:ascii="Cambria Math" w:hAnsi="Cambria Math" w:cs="Cambria Math"/>
                <w:b/>
                <w:bCs/>
                <w:color w:val="000000"/>
              </w:rPr>
              <w:t>◆</w:t>
            </w:r>
          </w:p>
        </w:tc>
        <w:tc>
          <w:tcPr>
            <w:tcW w:w="3150" w:type="dxa"/>
            <w:gridSpan w:val="3"/>
            <w:tcBorders>
              <w:top w:val="nil"/>
              <w:left w:val="nil"/>
              <w:bottom w:val="nil"/>
              <w:right w:val="nil"/>
            </w:tcBorders>
            <w:shd w:val="clear" w:color="auto" w:fill="auto"/>
            <w:noWrap/>
            <w:hideMark/>
          </w:tcPr>
          <w:p w14:paraId="7665F9D3"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Machinery and electrical equipment</w:t>
            </w:r>
          </w:p>
        </w:tc>
        <w:tc>
          <w:tcPr>
            <w:tcW w:w="450" w:type="dxa"/>
            <w:gridSpan w:val="2"/>
            <w:tcBorders>
              <w:top w:val="nil"/>
              <w:left w:val="nil"/>
              <w:bottom w:val="nil"/>
              <w:right w:val="nil"/>
            </w:tcBorders>
            <w:shd w:val="clear" w:color="auto" w:fill="auto"/>
            <w:noWrap/>
            <w:hideMark/>
          </w:tcPr>
          <w:p w14:paraId="412E0DDC" w14:textId="77777777" w:rsidR="00455FFD" w:rsidRPr="002A36EE" w:rsidRDefault="00455FFD" w:rsidP="00455FFD">
            <w:pPr>
              <w:spacing w:after="0" w:line="240" w:lineRule="auto"/>
              <w:jc w:val="center"/>
              <w:rPr>
                <w:rFonts w:cs="Times New Roman"/>
                <w:b/>
                <w:bCs/>
                <w:color w:val="0000FF"/>
              </w:rPr>
            </w:pPr>
            <w:r w:rsidRPr="002A36EE">
              <w:rPr>
                <w:rFonts w:cs="Times New Roman"/>
                <w:b/>
                <w:bCs/>
                <w:color w:val="0000FF"/>
              </w:rPr>
              <w:t>●</w:t>
            </w:r>
          </w:p>
        </w:tc>
        <w:tc>
          <w:tcPr>
            <w:tcW w:w="1890" w:type="dxa"/>
            <w:gridSpan w:val="5"/>
            <w:tcBorders>
              <w:top w:val="nil"/>
              <w:left w:val="nil"/>
              <w:bottom w:val="nil"/>
              <w:right w:val="nil"/>
            </w:tcBorders>
            <w:shd w:val="clear" w:color="auto" w:fill="auto"/>
            <w:noWrap/>
            <w:hideMark/>
          </w:tcPr>
          <w:p w14:paraId="1ED694A7"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Plastics and rubber</w:t>
            </w:r>
          </w:p>
        </w:tc>
        <w:tc>
          <w:tcPr>
            <w:tcW w:w="305" w:type="dxa"/>
            <w:gridSpan w:val="2"/>
            <w:tcBorders>
              <w:top w:val="nil"/>
              <w:left w:val="nil"/>
              <w:bottom w:val="nil"/>
              <w:right w:val="nil"/>
            </w:tcBorders>
            <w:shd w:val="clear" w:color="auto" w:fill="auto"/>
            <w:noWrap/>
            <w:hideMark/>
          </w:tcPr>
          <w:p w14:paraId="29119B71" w14:textId="77777777" w:rsidR="00455FFD" w:rsidRPr="002A36EE" w:rsidRDefault="00455FFD" w:rsidP="00455FFD">
            <w:pPr>
              <w:spacing w:after="0" w:line="240" w:lineRule="auto"/>
              <w:jc w:val="center"/>
              <w:rPr>
                <w:rFonts w:cs="Times New Roman"/>
                <w:color w:val="000000"/>
                <w:sz w:val="20"/>
                <w:szCs w:val="20"/>
              </w:rPr>
            </w:pPr>
          </w:p>
        </w:tc>
        <w:tc>
          <w:tcPr>
            <w:tcW w:w="434" w:type="dxa"/>
            <w:gridSpan w:val="2"/>
            <w:tcBorders>
              <w:top w:val="nil"/>
              <w:left w:val="nil"/>
              <w:bottom w:val="nil"/>
              <w:right w:val="nil"/>
            </w:tcBorders>
            <w:shd w:val="clear" w:color="auto" w:fill="auto"/>
            <w:noWrap/>
            <w:hideMark/>
          </w:tcPr>
          <w:p w14:paraId="2385108D" w14:textId="77777777" w:rsidR="00455FFD" w:rsidRPr="002A36EE" w:rsidRDefault="00455FFD" w:rsidP="00455FFD">
            <w:pPr>
              <w:spacing w:after="0" w:line="240" w:lineRule="auto"/>
              <w:jc w:val="center"/>
              <w:rPr>
                <w:rFonts w:cs="Times New Roman"/>
                <w:b/>
                <w:bCs/>
                <w:color w:val="FF0000"/>
              </w:rPr>
            </w:pPr>
            <w:r w:rsidRPr="002A36EE">
              <w:rPr>
                <w:rFonts w:cs="Times New Roman"/>
                <w:b/>
                <w:bCs/>
                <w:color w:val="FF0000"/>
              </w:rPr>
              <w:t>▲</w:t>
            </w:r>
          </w:p>
        </w:tc>
        <w:tc>
          <w:tcPr>
            <w:tcW w:w="2378" w:type="dxa"/>
            <w:gridSpan w:val="4"/>
            <w:tcBorders>
              <w:top w:val="nil"/>
              <w:left w:val="nil"/>
              <w:bottom w:val="nil"/>
              <w:right w:val="nil"/>
            </w:tcBorders>
            <w:shd w:val="clear" w:color="auto" w:fill="auto"/>
            <w:noWrap/>
            <w:hideMark/>
          </w:tcPr>
          <w:p w14:paraId="42D8A42D"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Textiles and textile articles</w:t>
            </w:r>
          </w:p>
        </w:tc>
        <w:tc>
          <w:tcPr>
            <w:tcW w:w="238" w:type="dxa"/>
            <w:tcBorders>
              <w:top w:val="nil"/>
              <w:left w:val="nil"/>
              <w:bottom w:val="nil"/>
              <w:right w:val="single" w:sz="4" w:space="0" w:color="auto"/>
            </w:tcBorders>
            <w:shd w:val="clear" w:color="auto" w:fill="auto"/>
            <w:noWrap/>
            <w:hideMark/>
          </w:tcPr>
          <w:p w14:paraId="0C1F199C" w14:textId="77777777" w:rsidR="00455FFD" w:rsidRPr="002A36EE" w:rsidRDefault="00455FFD" w:rsidP="00455FFD">
            <w:pPr>
              <w:spacing w:after="0" w:line="240" w:lineRule="auto"/>
              <w:jc w:val="center"/>
              <w:rPr>
                <w:rFonts w:cs="Times New Roman"/>
                <w:color w:val="000000"/>
              </w:rPr>
            </w:pPr>
          </w:p>
        </w:tc>
      </w:tr>
      <w:tr w:rsidR="00455FFD" w:rsidRPr="002A36EE" w14:paraId="145BDC0B" w14:textId="77777777" w:rsidTr="00C5133C">
        <w:trPr>
          <w:gridAfter w:val="1"/>
          <w:wAfter w:w="608" w:type="dxa"/>
          <w:trHeight w:val="218"/>
        </w:trPr>
        <w:tc>
          <w:tcPr>
            <w:tcW w:w="648" w:type="dxa"/>
            <w:tcBorders>
              <w:top w:val="nil"/>
              <w:left w:val="nil"/>
              <w:bottom w:val="nil"/>
              <w:right w:val="nil"/>
            </w:tcBorders>
            <w:shd w:val="clear" w:color="auto" w:fill="auto"/>
            <w:noWrap/>
            <w:hideMark/>
          </w:tcPr>
          <w:p w14:paraId="718719AD" w14:textId="77777777" w:rsidR="00455FFD" w:rsidRPr="002A36EE" w:rsidRDefault="00455FFD" w:rsidP="00455FFD">
            <w:pPr>
              <w:spacing w:after="0" w:line="240" w:lineRule="auto"/>
              <w:jc w:val="center"/>
              <w:rPr>
                <w:rFonts w:cs="Times New Roman"/>
                <w:color w:val="000000"/>
              </w:rPr>
            </w:pPr>
          </w:p>
        </w:tc>
        <w:tc>
          <w:tcPr>
            <w:tcW w:w="450" w:type="dxa"/>
            <w:tcBorders>
              <w:top w:val="nil"/>
              <w:left w:val="single" w:sz="4" w:space="0" w:color="auto"/>
              <w:bottom w:val="single" w:sz="4" w:space="0" w:color="auto"/>
              <w:right w:val="nil"/>
            </w:tcBorders>
            <w:shd w:val="clear" w:color="auto" w:fill="auto"/>
            <w:noWrap/>
            <w:hideMark/>
          </w:tcPr>
          <w:p w14:paraId="66F0E640" w14:textId="77777777" w:rsidR="00455FFD" w:rsidRPr="002A36EE" w:rsidRDefault="00455FFD" w:rsidP="00455FFD">
            <w:pPr>
              <w:spacing w:after="0" w:line="240" w:lineRule="auto"/>
              <w:jc w:val="center"/>
              <w:rPr>
                <w:rFonts w:cs="Times New Roman"/>
                <w:b/>
                <w:bCs/>
                <w:color w:val="FF8000"/>
              </w:rPr>
            </w:pPr>
            <w:r w:rsidRPr="002A36EE">
              <w:rPr>
                <w:rFonts w:cs="Times New Roman"/>
                <w:b/>
                <w:bCs/>
                <w:color w:val="FF8000"/>
              </w:rPr>
              <w:t>●</w:t>
            </w:r>
          </w:p>
        </w:tc>
        <w:tc>
          <w:tcPr>
            <w:tcW w:w="2409" w:type="dxa"/>
            <w:gridSpan w:val="2"/>
            <w:tcBorders>
              <w:top w:val="nil"/>
              <w:left w:val="nil"/>
              <w:bottom w:val="single" w:sz="4" w:space="0" w:color="auto"/>
              <w:right w:val="nil"/>
            </w:tcBorders>
            <w:shd w:val="clear" w:color="auto" w:fill="auto"/>
            <w:noWrap/>
            <w:hideMark/>
          </w:tcPr>
          <w:p w14:paraId="42BE0E60"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Base metals and articles thereof</w:t>
            </w:r>
          </w:p>
        </w:tc>
        <w:tc>
          <w:tcPr>
            <w:tcW w:w="741" w:type="dxa"/>
            <w:tcBorders>
              <w:top w:val="nil"/>
              <w:left w:val="nil"/>
              <w:bottom w:val="single" w:sz="4" w:space="0" w:color="auto"/>
              <w:right w:val="nil"/>
            </w:tcBorders>
            <w:shd w:val="clear" w:color="auto" w:fill="auto"/>
            <w:noWrap/>
            <w:hideMark/>
          </w:tcPr>
          <w:p w14:paraId="103A4CA6" w14:textId="77777777" w:rsidR="00455FFD" w:rsidRPr="002A36EE" w:rsidRDefault="00455FFD" w:rsidP="00455FFD">
            <w:pPr>
              <w:spacing w:after="0" w:line="240" w:lineRule="auto"/>
              <w:jc w:val="center"/>
              <w:rPr>
                <w:rFonts w:cs="Times New Roman"/>
                <w:color w:val="000000"/>
              </w:rPr>
            </w:pPr>
          </w:p>
        </w:tc>
        <w:tc>
          <w:tcPr>
            <w:tcW w:w="450" w:type="dxa"/>
            <w:gridSpan w:val="2"/>
            <w:tcBorders>
              <w:top w:val="nil"/>
              <w:left w:val="nil"/>
              <w:bottom w:val="single" w:sz="4" w:space="0" w:color="auto"/>
              <w:right w:val="nil"/>
            </w:tcBorders>
            <w:shd w:val="clear" w:color="auto" w:fill="auto"/>
            <w:noWrap/>
            <w:hideMark/>
          </w:tcPr>
          <w:p w14:paraId="279B32A1" w14:textId="77777777" w:rsidR="00455FFD" w:rsidRPr="002A36EE" w:rsidRDefault="00455FFD" w:rsidP="00455FFD">
            <w:pPr>
              <w:spacing w:after="0" w:line="240" w:lineRule="auto"/>
              <w:jc w:val="center"/>
              <w:rPr>
                <w:rFonts w:cs="Times New Roman"/>
                <w:b/>
                <w:bCs/>
                <w:color w:val="008000"/>
              </w:rPr>
            </w:pPr>
            <w:r w:rsidRPr="002A36EE">
              <w:rPr>
                <w:rFonts w:cs="Times New Roman"/>
                <w:b/>
                <w:bCs/>
                <w:color w:val="008000"/>
              </w:rPr>
              <w:t>●</w:t>
            </w:r>
          </w:p>
        </w:tc>
        <w:tc>
          <w:tcPr>
            <w:tcW w:w="1890" w:type="dxa"/>
            <w:gridSpan w:val="5"/>
            <w:tcBorders>
              <w:top w:val="nil"/>
              <w:left w:val="nil"/>
              <w:bottom w:val="single" w:sz="4" w:space="0" w:color="auto"/>
              <w:right w:val="nil"/>
            </w:tcBorders>
            <w:shd w:val="clear" w:color="auto" w:fill="auto"/>
            <w:noWrap/>
            <w:hideMark/>
          </w:tcPr>
          <w:p w14:paraId="07F2186B" w14:textId="77777777" w:rsidR="00455FFD" w:rsidRPr="002A36EE" w:rsidRDefault="00455FFD" w:rsidP="00CB3B95">
            <w:pPr>
              <w:spacing w:after="0" w:line="240" w:lineRule="auto"/>
              <w:jc w:val="center"/>
              <w:rPr>
                <w:rFonts w:cs="Times New Roman"/>
                <w:color w:val="000000"/>
                <w:sz w:val="20"/>
                <w:szCs w:val="20"/>
              </w:rPr>
            </w:pPr>
            <w:r w:rsidRPr="002A36EE">
              <w:rPr>
                <w:rFonts w:cs="Times New Roman"/>
                <w:color w:val="000000"/>
                <w:sz w:val="20"/>
                <w:szCs w:val="20"/>
              </w:rPr>
              <w:t>Transport equipment</w:t>
            </w:r>
          </w:p>
        </w:tc>
        <w:tc>
          <w:tcPr>
            <w:tcW w:w="305" w:type="dxa"/>
            <w:gridSpan w:val="2"/>
            <w:tcBorders>
              <w:top w:val="nil"/>
              <w:left w:val="nil"/>
              <w:bottom w:val="single" w:sz="4" w:space="0" w:color="auto"/>
              <w:right w:val="nil"/>
            </w:tcBorders>
            <w:shd w:val="clear" w:color="auto" w:fill="auto"/>
            <w:noWrap/>
            <w:hideMark/>
          </w:tcPr>
          <w:p w14:paraId="6D9F70BF" w14:textId="77777777" w:rsidR="00455FFD" w:rsidRPr="002A36EE" w:rsidRDefault="00455FFD" w:rsidP="00455FFD">
            <w:pPr>
              <w:spacing w:after="0" w:line="240" w:lineRule="auto"/>
              <w:jc w:val="center"/>
              <w:rPr>
                <w:rFonts w:cs="Times New Roman"/>
                <w:color w:val="000000"/>
              </w:rPr>
            </w:pPr>
          </w:p>
        </w:tc>
        <w:tc>
          <w:tcPr>
            <w:tcW w:w="434" w:type="dxa"/>
            <w:gridSpan w:val="2"/>
            <w:tcBorders>
              <w:top w:val="nil"/>
              <w:left w:val="nil"/>
              <w:bottom w:val="single" w:sz="4" w:space="0" w:color="auto"/>
              <w:right w:val="nil"/>
            </w:tcBorders>
            <w:shd w:val="clear" w:color="auto" w:fill="auto"/>
            <w:noWrap/>
            <w:hideMark/>
          </w:tcPr>
          <w:p w14:paraId="18B55237" w14:textId="77777777" w:rsidR="00455FFD" w:rsidRPr="002A36EE" w:rsidRDefault="00455FFD" w:rsidP="00455FFD">
            <w:pPr>
              <w:spacing w:after="0" w:line="240" w:lineRule="auto"/>
              <w:jc w:val="center"/>
              <w:rPr>
                <w:rFonts w:cs="Times New Roman"/>
                <w:color w:val="000000"/>
              </w:rPr>
            </w:pPr>
          </w:p>
        </w:tc>
        <w:tc>
          <w:tcPr>
            <w:tcW w:w="1919" w:type="dxa"/>
            <w:gridSpan w:val="2"/>
            <w:tcBorders>
              <w:top w:val="nil"/>
              <w:left w:val="nil"/>
              <w:bottom w:val="single" w:sz="4" w:space="0" w:color="auto"/>
              <w:right w:val="nil"/>
            </w:tcBorders>
            <w:shd w:val="clear" w:color="auto" w:fill="auto"/>
            <w:noWrap/>
            <w:hideMark/>
          </w:tcPr>
          <w:p w14:paraId="7F1FC126" w14:textId="77777777" w:rsidR="00455FFD" w:rsidRPr="002A36EE" w:rsidRDefault="00455FFD" w:rsidP="00455FFD">
            <w:pPr>
              <w:spacing w:after="0" w:line="240" w:lineRule="auto"/>
              <w:jc w:val="center"/>
              <w:rPr>
                <w:rFonts w:cs="Times New Roman"/>
                <w:color w:val="000000"/>
              </w:rPr>
            </w:pPr>
          </w:p>
        </w:tc>
        <w:tc>
          <w:tcPr>
            <w:tcW w:w="459" w:type="dxa"/>
            <w:gridSpan w:val="2"/>
            <w:tcBorders>
              <w:top w:val="nil"/>
              <w:left w:val="nil"/>
              <w:bottom w:val="single" w:sz="4" w:space="0" w:color="auto"/>
              <w:right w:val="nil"/>
            </w:tcBorders>
            <w:shd w:val="clear" w:color="auto" w:fill="auto"/>
            <w:noWrap/>
            <w:hideMark/>
          </w:tcPr>
          <w:p w14:paraId="0041BF5A" w14:textId="77777777" w:rsidR="00455FFD" w:rsidRPr="002A36EE" w:rsidRDefault="00455FFD" w:rsidP="00455FFD">
            <w:pPr>
              <w:spacing w:after="0" w:line="240" w:lineRule="auto"/>
              <w:jc w:val="center"/>
              <w:rPr>
                <w:rFonts w:cs="Times New Roman"/>
                <w:color w:val="000000"/>
              </w:rPr>
            </w:pPr>
          </w:p>
        </w:tc>
        <w:tc>
          <w:tcPr>
            <w:tcW w:w="238" w:type="dxa"/>
            <w:tcBorders>
              <w:top w:val="nil"/>
              <w:left w:val="nil"/>
              <w:bottom w:val="single" w:sz="4" w:space="0" w:color="auto"/>
              <w:right w:val="single" w:sz="4" w:space="0" w:color="auto"/>
            </w:tcBorders>
            <w:shd w:val="clear" w:color="auto" w:fill="auto"/>
            <w:noWrap/>
            <w:hideMark/>
          </w:tcPr>
          <w:p w14:paraId="75568C93" w14:textId="77777777" w:rsidR="00455FFD" w:rsidRPr="002A36EE" w:rsidRDefault="00455FFD" w:rsidP="00455FFD">
            <w:pPr>
              <w:spacing w:after="0" w:line="240" w:lineRule="auto"/>
              <w:jc w:val="center"/>
              <w:rPr>
                <w:rFonts w:cs="Times New Roman"/>
                <w:color w:val="000000"/>
              </w:rPr>
            </w:pPr>
          </w:p>
        </w:tc>
      </w:tr>
    </w:tbl>
    <w:p w14:paraId="103E7537" w14:textId="3C5600FA" w:rsidR="00680430" w:rsidRPr="002A36EE" w:rsidRDefault="00D02348" w:rsidP="006B6B5B">
      <w:pPr>
        <w:pStyle w:val="Caption"/>
        <w:jc w:val="both"/>
        <w:rPr>
          <w:rFonts w:cs="Times New Roman"/>
          <w:b w:val="0"/>
          <w:bCs w:val="0"/>
        </w:rPr>
      </w:pPr>
      <w:r w:rsidRPr="002A36EE">
        <w:rPr>
          <w:rFonts w:cs="Times New Roman"/>
          <w:b w:val="0"/>
          <w:bCs w:val="0"/>
          <w:i/>
        </w:rPr>
        <w:t xml:space="preserve">Note: </w:t>
      </w:r>
      <w:r w:rsidRPr="002A36EE">
        <w:rPr>
          <w:rFonts w:cs="Times New Roman"/>
          <w:b w:val="0"/>
          <w:bCs w:val="0"/>
        </w:rPr>
        <w:t>T</w:t>
      </w:r>
      <w:r w:rsidR="006B6B5B" w:rsidRPr="002A36EE">
        <w:rPr>
          <w:rFonts w:cs="Times New Roman"/>
          <w:b w:val="0"/>
          <w:bCs w:val="0"/>
        </w:rPr>
        <w:t xml:space="preserve">he figure reports monthly average tariff rates for Ecuador’s imports from the European Union and for Ecuadorian exports to the European market, classified into broad Harmonized System sections. The averages are calculated from the tariff rates associated with the products represented in the observed bilateral customs records within each month and product section; they therefore do not represent simple averages over the complete universe of tariff lines. For exports, the pre-agreement base tariff is compared with the </w:t>
      </w:r>
      <w:r w:rsidR="00001BE2" w:rsidRPr="002A36EE">
        <w:rPr>
          <w:rFonts w:cs="Times New Roman"/>
          <w:b w:val="0"/>
          <w:bCs w:val="0"/>
        </w:rPr>
        <w:t>zero-rate</w:t>
      </w:r>
      <w:r w:rsidR="006B6B5B" w:rsidRPr="002A36EE">
        <w:rPr>
          <w:rFonts w:cs="Times New Roman"/>
          <w:b w:val="0"/>
          <w:bCs w:val="0"/>
        </w:rPr>
        <w:t xml:space="preserve"> applied to the covered products after the agreement entered into force in January 2017. For imports, the series follows the product-specific tariff rates resulting from Ecuador’s negotiated phase-out schedules. Data for 2022 are omitted because the underlying customs records for that year are incomplete. </w:t>
      </w:r>
      <w:r w:rsidR="006B6B5B" w:rsidRPr="002A36EE">
        <w:rPr>
          <w:rFonts w:cs="Times New Roman"/>
          <w:b w:val="0"/>
          <w:bCs w:val="0"/>
          <w:i/>
          <w:iCs/>
        </w:rPr>
        <w:t>Source</w:t>
      </w:r>
      <w:r w:rsidR="006B6B5B" w:rsidRPr="002A36EE">
        <w:rPr>
          <w:rFonts w:cs="Times New Roman"/>
          <w:b w:val="0"/>
          <w:bCs w:val="0"/>
        </w:rPr>
        <w:t>: Authors’ calculations based on customs transaction records from the Central Bank of Ecuador and the tariff schedules of the EU–Ecuador Trade Agreement.</w:t>
      </w:r>
    </w:p>
    <w:p w14:paraId="4723856A" w14:textId="23460A91" w:rsidR="00680430" w:rsidRPr="002A36EE" w:rsidRDefault="00D02348">
      <w:pPr>
        <w:spacing w:after="120"/>
        <w:jc w:val="both"/>
        <w:rPr>
          <w:rFonts w:cs="Times New Roman"/>
        </w:rPr>
      </w:pPr>
      <w:r w:rsidRPr="002A36EE">
        <w:rPr>
          <w:rFonts w:cs="Times New Roman"/>
        </w:rPr>
        <w:t>This design reflects the EU–Andean framework's standard approach to tariff liberalization with developing countries: phased reductions over periods of up to 17 years, with variation across product categories. More generally, the agreement was a negotiated opening that tried to deepen ties with Europe while still leaving space to manage domestic concerns (Milner, 1997; Mansfield &amp; Milner, 1999). Products that already carried low tariffs before the agreement—such as machinery and electrical equipment, where Ecuador's Most-Favored-Nation (MFN) rates were around 5%—experienced little additional change. The largest reductions occurred in categories that started with higher protection: textiles, transport equipment, vegetable products, and prepared foodstuffs. These categories include both final consumer goods and intermediate inputs, so the tariff schedule did not map neatly onto a distinction between competition-sensitive products and productive inputs. What the schedule did produce was cross-product variation in the magnitude and timing of tariff reductions—variation that provides the identifying leverage for the empirical analysis below.</w:t>
      </w:r>
    </w:p>
    <w:p w14:paraId="38C20375"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t>How Trade Liberalization Affects Firms</w:t>
      </w:r>
    </w:p>
    <w:p w14:paraId="00242330" w14:textId="0B8D6BAD" w:rsidR="00680430" w:rsidRPr="002A36EE" w:rsidRDefault="007479E8">
      <w:pPr>
        <w:spacing w:after="120"/>
        <w:jc w:val="both"/>
        <w:rPr>
          <w:rFonts w:cs="Times New Roman"/>
        </w:rPr>
      </w:pPr>
      <w:r w:rsidRPr="002A36EE">
        <w:rPr>
          <w:rFonts w:cs="Times New Roman"/>
        </w:rPr>
        <w:t xml:space="preserve">Trade liberalization can affect firms through two broad channels. The first is competition: when trade barriers fall, domestic producers face stronger pressure from foreign firms selling similar goods, which can reduce markups, induce reorganization, and intensify selection across firms (Goldberg &amp; </w:t>
      </w:r>
      <w:proofErr w:type="spellStart"/>
      <w:r w:rsidRPr="002A36EE">
        <w:rPr>
          <w:rFonts w:cs="Times New Roman"/>
        </w:rPr>
        <w:t>Pavcnik</w:t>
      </w:r>
      <w:proofErr w:type="spellEnd"/>
      <w:r w:rsidRPr="002A36EE">
        <w:rPr>
          <w:rFonts w:cs="Times New Roman"/>
        </w:rPr>
        <w:t xml:space="preserve">, 2016; Melitz &amp; Redding, 2014; Newman et al., 2023). The second is access to imported inputs: lower </w:t>
      </w:r>
      <w:r w:rsidRPr="002A36EE">
        <w:rPr>
          <w:rFonts w:cs="Times New Roman"/>
        </w:rPr>
        <w:lastRenderedPageBreak/>
        <w:t>barriers can allow firms to obtain intermediate and capital goods at lower cost, in greater variety, or with higher quality, thereby changing their production possibilities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w:t>
      </w:r>
      <w:proofErr w:type="spellStart"/>
      <w:r w:rsidRPr="002A36EE">
        <w:rPr>
          <w:rFonts w:cs="Times New Roman"/>
        </w:rPr>
        <w:t>Topalova</w:t>
      </w:r>
      <w:proofErr w:type="spellEnd"/>
      <w:r w:rsidRPr="002A36EE">
        <w:rPr>
          <w:rFonts w:cs="Times New Roman"/>
        </w:rPr>
        <w:t xml:space="preserve"> &amp; Khandelwal, 2011; Halpern et al., 2015; Pane &amp; </w:t>
      </w:r>
      <w:proofErr w:type="spellStart"/>
      <w:r w:rsidRPr="002A36EE">
        <w:rPr>
          <w:rFonts w:cs="Times New Roman"/>
        </w:rPr>
        <w:t>Patunru</w:t>
      </w:r>
      <w:proofErr w:type="spellEnd"/>
      <w:r w:rsidRPr="002A36EE">
        <w:rPr>
          <w:rFonts w:cs="Times New Roman"/>
        </w:rPr>
        <w:t>, 2023). These channels also have a political economy dimension. Trade policy debates tend to be shaped by actors with concentrated interests—including import-competing producers, importers, exporters, and firms that use imported inputs—whereas consumers are generally more diffuse and less directly involved (Milner, 1997; Grijalva et al., 2022)</w:t>
      </w:r>
      <w:r w:rsidR="00D02348" w:rsidRPr="002A36EE">
        <w:rPr>
          <w:rFonts w:cs="Times New Roman"/>
        </w:rPr>
        <w:t>.</w:t>
      </w:r>
    </w:p>
    <w:p w14:paraId="0566AB94"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Input Cost Channel</w:t>
      </w:r>
    </w:p>
    <w:p w14:paraId="484FEEC6" w14:textId="58B15CA8" w:rsidR="00680430" w:rsidRPr="002A36EE" w:rsidRDefault="007970CC" w:rsidP="007970CC">
      <w:pPr>
        <w:spacing w:after="120"/>
        <w:jc w:val="both"/>
        <w:rPr>
          <w:rFonts w:cs="Times New Roman"/>
        </w:rPr>
      </w:pPr>
      <w:r w:rsidRPr="002A36EE">
        <w:rPr>
          <w:rFonts w:cs="Times New Roman"/>
        </w:rPr>
        <w:t>Lower tariffs on imported inputs can affect firms through both prices and access. Firms may obtain materials, components, and capital goods more cheaply, but they may also gain access to specialized varieties, technologies, and quality levels that are not available domestically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w:t>
      </w:r>
      <w:proofErr w:type="spellStart"/>
      <w:r w:rsidRPr="002A36EE">
        <w:rPr>
          <w:rFonts w:cs="Times New Roman"/>
        </w:rPr>
        <w:t>Topalova</w:t>
      </w:r>
      <w:proofErr w:type="spellEnd"/>
      <w:r w:rsidRPr="002A36EE">
        <w:rPr>
          <w:rFonts w:cs="Times New Roman"/>
        </w:rPr>
        <w:t xml:space="preserve"> &amp; Khandelwal, 2011; Halpern et al., 2015; Pane &amp; </w:t>
      </w:r>
      <w:proofErr w:type="spellStart"/>
      <w:r w:rsidRPr="002A36EE">
        <w:rPr>
          <w:rFonts w:cs="Times New Roman"/>
        </w:rPr>
        <w:t>Patunru</w:t>
      </w:r>
      <w:proofErr w:type="spellEnd"/>
      <w:r w:rsidRPr="002A36EE">
        <w:rPr>
          <w:rFonts w:cs="Times New Roman"/>
        </w:rPr>
        <w:t xml:space="preserve">, 2023). This can allow firms to select input combinations that better match their technologies, upgrade their products, and expand production or exports. The input-access channel therefore differs from the conventional emphasis on import competition: rather than focusing only on the pressure exerted by foreign producers, it highlights how liberalization can improve domestic production by widening firms’ access to foreign goods (De </w:t>
      </w:r>
      <w:proofErr w:type="spellStart"/>
      <w:r w:rsidRPr="002A36EE">
        <w:rPr>
          <w:rFonts w:cs="Times New Roman"/>
        </w:rPr>
        <w:t>Loecker</w:t>
      </w:r>
      <w:proofErr w:type="spellEnd"/>
      <w:r w:rsidRPr="002A36EE">
        <w:rPr>
          <w:rFonts w:cs="Times New Roman"/>
        </w:rPr>
        <w:t xml:space="preserve"> &amp; Goldberg, 2014; Goldberg &amp; </w:t>
      </w:r>
      <w:proofErr w:type="spellStart"/>
      <w:r w:rsidRPr="002A36EE">
        <w:rPr>
          <w:rFonts w:cs="Times New Roman"/>
        </w:rPr>
        <w:t>Pavcnik</w:t>
      </w:r>
      <w:proofErr w:type="spellEnd"/>
      <w:r w:rsidRPr="002A36EE">
        <w:rPr>
          <w:rFonts w:cs="Times New Roman"/>
        </w:rPr>
        <w:t>, 2016).</w:t>
      </w:r>
      <w:r w:rsidR="007479E8" w:rsidRPr="002A36EE">
        <w:rPr>
          <w:rFonts w:cs="Times New Roman"/>
        </w:rPr>
        <w:t xml:space="preserve"> </w:t>
      </w:r>
    </w:p>
    <w:p w14:paraId="3D880BF4"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Supply Chain Reorganization</w:t>
      </w:r>
    </w:p>
    <w:p w14:paraId="7D7AD53B" w14:textId="28AC4B66" w:rsidR="00680430" w:rsidRPr="002A36EE" w:rsidRDefault="007970CC">
      <w:pPr>
        <w:spacing w:after="120"/>
        <w:jc w:val="both"/>
        <w:rPr>
          <w:rFonts w:cs="Times New Roman"/>
        </w:rPr>
      </w:pPr>
      <w:r w:rsidRPr="002A36EE">
        <w:rPr>
          <w:rFonts w:cs="Times New Roman"/>
        </w:rPr>
        <w:t xml:space="preserve">Trade liberalization may also change how firms organize their supply chains. Firms can respond by changing suppliers, shifting between domestic and foreign sourcing, concentrating purchases on more specialized inputs, or developing more stable cross-border relationships (Pane &amp; </w:t>
      </w:r>
      <w:proofErr w:type="spellStart"/>
      <w:r w:rsidRPr="002A36EE">
        <w:rPr>
          <w:rFonts w:cs="Times New Roman"/>
        </w:rPr>
        <w:t>Patunru</w:t>
      </w:r>
      <w:proofErr w:type="spellEnd"/>
      <w:r w:rsidRPr="002A36EE">
        <w:rPr>
          <w:rFonts w:cs="Times New Roman"/>
        </w:rPr>
        <w:t>, 2023). These effects need not be limited to direct importers. Firms that do not import themselves may still be affected through domestic suppliers whose costs, technologies, or access to foreign inputs have changed. In this way, trade-policy shocks can spread through domestic input-output linkages rather than stopping at the border (</w:t>
      </w:r>
      <w:proofErr w:type="spellStart"/>
      <w:r w:rsidRPr="002A36EE">
        <w:rPr>
          <w:rFonts w:cs="Times New Roman"/>
        </w:rPr>
        <w:t>Barattieri</w:t>
      </w:r>
      <w:proofErr w:type="spellEnd"/>
      <w:r w:rsidRPr="002A36EE">
        <w:rPr>
          <w:rFonts w:cs="Times New Roman"/>
        </w:rPr>
        <w:t xml:space="preserve"> &amp; Cacciatore, 2023; Newman et al., 2023). Evidence from Vietnam, for example, shows that productivity gains can reach downstream firms both directly, when they import intermediates, and indirectly, when they purchase inputs from more import-intensive domestic sectors (Newman et al., 2023). The relevant beneficiaries of liberalization may therefore include not only firms observed in customs records, but also firms connected to sectors that become more integrated with foreign suppliers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2007; Halpern et al., 2015)</w:t>
      </w:r>
      <w:r w:rsidR="00D02348" w:rsidRPr="002A36EE">
        <w:rPr>
          <w:rFonts w:cs="Times New Roman"/>
        </w:rPr>
        <w:t>.</w:t>
      </w:r>
    </w:p>
    <w:p w14:paraId="6C532A2C"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Adjustment Dynamics</w:t>
      </w:r>
    </w:p>
    <w:p w14:paraId="55E34919" w14:textId="36CC45F2" w:rsidR="007970CC" w:rsidRPr="002A36EE" w:rsidRDefault="007970CC" w:rsidP="007970CC">
      <w:pPr>
        <w:spacing w:after="120"/>
        <w:jc w:val="both"/>
        <w:rPr>
          <w:rFonts w:cs="Times New Roman"/>
        </w:rPr>
      </w:pPr>
      <w:r w:rsidRPr="002A36EE">
        <w:rPr>
          <w:rFonts w:cs="Times New Roman"/>
        </w:rPr>
        <w:t xml:space="preserve">These responses generally take time. Firms must search for suppliers, evaluate quality, renegotiate contracts, adapt production processes, and learn how to use new inputs effectively (Head &amp; Ries, 1999; Bas &amp; </w:t>
      </w:r>
      <w:proofErr w:type="spellStart"/>
      <w:r w:rsidRPr="002A36EE">
        <w:rPr>
          <w:rFonts w:cs="Times New Roman"/>
        </w:rPr>
        <w:t>Ledezma</w:t>
      </w:r>
      <w:proofErr w:type="spellEnd"/>
      <w:r w:rsidRPr="002A36EE">
        <w:rPr>
          <w:rFonts w:cs="Times New Roman"/>
        </w:rPr>
        <w:t>, 2020). Consequently, liberalization may first affect sourcing decisions, input use, and product variety before producing measurable changes in value added, productivity, or exports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Pane &amp; </w:t>
      </w:r>
      <w:proofErr w:type="spellStart"/>
      <w:r w:rsidRPr="002A36EE">
        <w:rPr>
          <w:rFonts w:cs="Times New Roman"/>
        </w:rPr>
        <w:t>Patunru</w:t>
      </w:r>
      <w:proofErr w:type="spellEnd"/>
      <w:r w:rsidRPr="002A36EE">
        <w:rPr>
          <w:rFonts w:cs="Times New Roman"/>
        </w:rPr>
        <w:t xml:space="preserve">, 2023). Competition may also induce firms to reduce inefficiencies or reorganize production before broader productivity gains become visible (Chen &amp; </w:t>
      </w:r>
      <w:proofErr w:type="spellStart"/>
      <w:r w:rsidRPr="002A36EE">
        <w:rPr>
          <w:rFonts w:cs="Times New Roman"/>
        </w:rPr>
        <w:t>Steinwender</w:t>
      </w:r>
      <w:proofErr w:type="spellEnd"/>
      <w:r w:rsidRPr="002A36EE">
        <w:rPr>
          <w:rFonts w:cs="Times New Roman"/>
        </w:rPr>
        <w:t xml:space="preserve">, 2021; De </w:t>
      </w:r>
      <w:proofErr w:type="spellStart"/>
      <w:r w:rsidRPr="002A36EE">
        <w:rPr>
          <w:rFonts w:cs="Times New Roman"/>
        </w:rPr>
        <w:t>Loecker</w:t>
      </w:r>
      <w:proofErr w:type="spellEnd"/>
      <w:r w:rsidRPr="002A36EE">
        <w:rPr>
          <w:rFonts w:cs="Times New Roman"/>
        </w:rPr>
        <w:t xml:space="preserve"> et al., 2016).</w:t>
      </w:r>
    </w:p>
    <w:p w14:paraId="2A6CEB4E" w14:textId="1CEC7835" w:rsidR="00680430" w:rsidRPr="002A36EE" w:rsidRDefault="007970CC" w:rsidP="007970CC">
      <w:pPr>
        <w:spacing w:after="120"/>
        <w:jc w:val="both"/>
        <w:rPr>
          <w:rFonts w:cs="Times New Roman"/>
        </w:rPr>
      </w:pPr>
      <w:r w:rsidRPr="002A36EE">
        <w:rPr>
          <w:rFonts w:cs="Times New Roman"/>
        </w:rPr>
        <w:t xml:space="preserve">This gradual pattern is particularly relevant when tariff reductions are phased in over several years. Under a staggered schedule, firms face incentives that accumulate as tariffs decline, so adjustment is unlikely to occur at a single moment and may differ substantially across firms (Melitz &amp; Redding, 2014; Bas &amp; </w:t>
      </w:r>
      <w:proofErr w:type="spellStart"/>
      <w:r w:rsidRPr="002A36EE">
        <w:rPr>
          <w:rFonts w:cs="Times New Roman"/>
        </w:rPr>
        <w:t>Ledezma</w:t>
      </w:r>
      <w:proofErr w:type="spellEnd"/>
      <w:r w:rsidRPr="002A36EE">
        <w:rPr>
          <w:rFonts w:cs="Times New Roman"/>
        </w:rPr>
        <w:t>, 2020). The empirical question is therefore not only whether firms respond to liberalization, but also which margins adjust first. The following sections examine this sequence by documenting the evolution of Ecuador’s trade links with Europe and then estimating the causal effects of tariff reductions on firm behavior</w:t>
      </w:r>
      <w:r w:rsidR="00D02348" w:rsidRPr="002A36EE">
        <w:rPr>
          <w:rFonts w:cs="Times New Roman"/>
        </w:rPr>
        <w:t>.</w:t>
      </w:r>
    </w:p>
    <w:p w14:paraId="2F8BCCDA"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lastRenderedPageBreak/>
        <w:t>Patterns of Adjustment: Descriptive Evidence</w:t>
      </w:r>
    </w:p>
    <w:p w14:paraId="213EA5E8" w14:textId="2B3C3982" w:rsidR="00680430" w:rsidRPr="002A36EE" w:rsidRDefault="007970CC">
      <w:pPr>
        <w:spacing w:after="120"/>
        <w:jc w:val="both"/>
        <w:rPr>
          <w:rFonts w:cs="Times New Roman"/>
        </w:rPr>
      </w:pPr>
      <w:r w:rsidRPr="002A36EE">
        <w:rPr>
          <w:rFonts w:cs="Times New Roman"/>
        </w:rPr>
        <w:t>This section documents the main margins along which Ecuador’s trade relationship with the European Union changed after the agreement entered into force. If liberalization operated primarily through access to European goods, the earliest changes should be visible in firm participation, product variety, partner countries, and firms’ sourcing patterns</w:t>
      </w:r>
      <w:r w:rsidR="00D02348" w:rsidRPr="002A36EE">
        <w:rPr>
          <w:rFonts w:cs="Times New Roman"/>
        </w:rPr>
        <w:t>.</w:t>
      </w:r>
    </w:p>
    <w:p w14:paraId="7B6F7F88"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Expansion of Import Participation</w:t>
      </w:r>
    </w:p>
    <w:p w14:paraId="46BC6830" w14:textId="4DD1A4F3" w:rsidR="00C03F80" w:rsidRPr="002A36EE" w:rsidRDefault="007970CC" w:rsidP="00251B74">
      <w:pPr>
        <w:spacing w:after="120"/>
        <w:jc w:val="both"/>
        <w:rPr>
          <w:rFonts w:cs="Times New Roman"/>
        </w:rPr>
      </w:pPr>
      <w:r w:rsidRPr="002A36EE">
        <w:rPr>
          <w:rFonts w:cs="Times New Roman"/>
        </w:rPr>
        <w:t>Figure 3 shows that the number of Ecuadorian firms importing from the European Union increased over the period, with a particularly visible rise after the COVID-19 pandemic. The number of exporters serving the European market also grew, but more gradually. Relative participation presents a different picture: the share of EU-linked firms among all Ecuadorian importers or exporters remained broadly stable and was somewhat lower in the later years. Europe therefore became connected to more Ecuadorian firms without gaining a comparable share of the country’s overall population of trading firms, consistent with the faster expansion of Ecuador’s trade with other partners, particularly China</w:t>
      </w:r>
      <w:r w:rsidR="00D02348" w:rsidRPr="002A36EE">
        <w:rPr>
          <w:rFonts w:cs="Times New Roman"/>
        </w:rPr>
        <w:t>.</w:t>
      </w:r>
    </w:p>
    <w:p w14:paraId="652E0F7F" w14:textId="77777777" w:rsidR="0091750C" w:rsidRPr="002A36EE" w:rsidRDefault="0091750C" w:rsidP="00724B50">
      <w:pPr>
        <w:spacing w:after="120"/>
        <w:jc w:val="center"/>
        <w:rPr>
          <w:rFonts w:cs="Times New Roman"/>
        </w:rPr>
      </w:pPr>
    </w:p>
    <w:p w14:paraId="715725A1" w14:textId="7AAAA57B" w:rsidR="00535298" w:rsidRPr="002A36EE" w:rsidRDefault="00535298" w:rsidP="00724B50">
      <w:pPr>
        <w:jc w:val="center"/>
        <w:rPr>
          <w:rFonts w:cs="Times New Roman"/>
        </w:rPr>
      </w:pPr>
      <w:r w:rsidRPr="002A36EE">
        <w:rPr>
          <w:rFonts w:cs="Times New Roman"/>
          <w:b/>
          <w:bCs/>
        </w:rPr>
        <w:t>Figure 3.</w:t>
      </w:r>
      <w:r w:rsidRPr="002A36EE">
        <w:rPr>
          <w:rFonts w:cs="Times New Roman"/>
        </w:rPr>
        <w:t xml:space="preserve"> Number and share of firms trading with the European Union, 2013–2023</w:t>
      </w:r>
    </w:p>
    <w:p w14:paraId="2D9CE851" w14:textId="6104F79F" w:rsidR="00C03F80" w:rsidRPr="002A36EE" w:rsidRDefault="00C03F80">
      <w:pPr>
        <w:pStyle w:val="Caption"/>
        <w:jc w:val="both"/>
        <w:rPr>
          <w:rFonts w:cs="Times New Roman"/>
        </w:rPr>
      </w:pPr>
      <w:r w:rsidRPr="002A36EE">
        <w:rPr>
          <w:rFonts w:cs="Times New Roman"/>
          <w:noProof/>
        </w:rPr>
        <w:drawing>
          <wp:inline distT="0" distB="0" distL="0" distR="0" wp14:anchorId="2F2F7EAE" wp14:editId="58924AD3">
            <wp:extent cx="2844800" cy="2560320"/>
            <wp:effectExtent l="0" t="0" r="0" b="0"/>
            <wp:docPr id="6" name="Chart 6">
              <a:extLst xmlns:a="http://schemas.openxmlformats.org/drawingml/2006/main">
                <a:ext uri="{FF2B5EF4-FFF2-40B4-BE49-F238E27FC236}">
                  <a16:creationId xmlns:a16="http://schemas.microsoft.com/office/drawing/2014/main" id="{7CCE61B2-9D73-4A24-A638-7AD3AD0CE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2A36EE">
        <w:rPr>
          <w:rFonts w:cs="Times New Roman"/>
          <w:noProof/>
        </w:rPr>
        <w:drawing>
          <wp:inline distT="0" distB="0" distL="0" distR="0" wp14:anchorId="5DB0CB65" wp14:editId="58052961">
            <wp:extent cx="2885440" cy="2560320"/>
            <wp:effectExtent l="0" t="0" r="0" b="0"/>
            <wp:docPr id="2" name="Chart 2">
              <a:extLst xmlns:a="http://schemas.openxmlformats.org/drawingml/2006/main">
                <a:ext uri="{FF2B5EF4-FFF2-40B4-BE49-F238E27FC236}">
                  <a16:creationId xmlns:a16="http://schemas.microsoft.com/office/drawing/2014/main" id="{4D838188-797E-4FB7-BCDD-03D5DF7DEC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898E676" w14:textId="056048A4" w:rsidR="00680430" w:rsidRPr="002A36EE" w:rsidRDefault="00D02348" w:rsidP="006A398B">
      <w:pPr>
        <w:pStyle w:val="Caption"/>
        <w:jc w:val="both"/>
        <w:rPr>
          <w:rFonts w:cs="Times New Roman"/>
        </w:rPr>
      </w:pPr>
      <w:r w:rsidRPr="002A36EE">
        <w:rPr>
          <w:rFonts w:cs="Times New Roman"/>
          <w:b w:val="0"/>
          <w:bCs w:val="0"/>
          <w:i/>
        </w:rPr>
        <w:t xml:space="preserve">Note: </w:t>
      </w:r>
      <w:r w:rsidRPr="002A36EE">
        <w:rPr>
          <w:rFonts w:cs="Times New Roman"/>
          <w:b w:val="0"/>
          <w:bCs w:val="0"/>
        </w:rPr>
        <w:t xml:space="preserve">The figure reports </w:t>
      </w:r>
      <w:r w:rsidR="00BF33E2" w:rsidRPr="002A36EE">
        <w:rPr>
          <w:rFonts w:cs="Times New Roman"/>
          <w:b w:val="0"/>
          <w:bCs w:val="0"/>
        </w:rPr>
        <w:t>t</w:t>
      </w:r>
      <w:r w:rsidR="006A398B" w:rsidRPr="002A36EE">
        <w:rPr>
          <w:rFonts w:cs="Times New Roman"/>
          <w:b w:val="0"/>
          <w:bCs w:val="0"/>
        </w:rPr>
        <w:t>he monthly number of Ecuadorian firms importing from or exporting to the European Union and their share of all Ecuadorian importing or exporting firms in the corresponding month. Each firm is counted once per month in the relevant trade direction. The left panel presents importers and the right panel exporters. The firm-count series are seasonally adjusted. Data for 2022 are omitted because the underlying customs records for that year are incomplete.</w:t>
      </w:r>
      <w:r w:rsidR="001B7C2F" w:rsidRPr="002A36EE">
        <w:rPr>
          <w:rFonts w:cs="Times New Roman"/>
          <w:b w:val="0"/>
          <w:bCs w:val="0"/>
        </w:rPr>
        <w:t xml:space="preserve"> The vertical line at January 2017 indicates the entry into force of the EU–Ecuador Trade Agreement.</w:t>
      </w:r>
      <w:r w:rsidR="006A398B" w:rsidRPr="002A36EE">
        <w:rPr>
          <w:rFonts w:cs="Times New Roman"/>
          <w:b w:val="0"/>
          <w:bCs w:val="0"/>
        </w:rPr>
        <w:t xml:space="preserve"> </w:t>
      </w:r>
      <w:r w:rsidR="006A398B" w:rsidRPr="002A36EE">
        <w:rPr>
          <w:rFonts w:cs="Times New Roman"/>
          <w:b w:val="0"/>
          <w:bCs w:val="0"/>
          <w:i/>
          <w:iCs/>
        </w:rPr>
        <w:t>Source</w:t>
      </w:r>
      <w:r w:rsidR="006A398B" w:rsidRPr="002A36EE">
        <w:rPr>
          <w:rFonts w:cs="Times New Roman"/>
          <w:b w:val="0"/>
          <w:bCs w:val="0"/>
        </w:rPr>
        <w:t>: Authors’ calculations based on customs transaction records from the Central Bank of Ecuador.</w:t>
      </w:r>
    </w:p>
    <w:p w14:paraId="7CCE1115" w14:textId="22C95440" w:rsidR="00680430" w:rsidRPr="002A36EE" w:rsidRDefault="007970CC">
      <w:pPr>
        <w:spacing w:after="120"/>
        <w:jc w:val="both"/>
        <w:rPr>
          <w:rFonts w:cs="Times New Roman"/>
        </w:rPr>
      </w:pPr>
      <w:r w:rsidRPr="002A36EE">
        <w:rPr>
          <w:rFonts w:cs="Times New Roman"/>
        </w:rPr>
        <w:t>This pattern does not by itself establish a causal effect of the agreement, but it indicates that the broadening of Ecuador’s commercial links with Europe was more visible among importers than among exporters</w:t>
      </w:r>
      <w:r w:rsidR="00D02348" w:rsidRPr="002A36EE">
        <w:rPr>
          <w:rFonts w:cs="Times New Roman"/>
        </w:rPr>
        <w:t>.</w:t>
      </w:r>
    </w:p>
    <w:p w14:paraId="08725921"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Product and Partner Diversification</w:t>
      </w:r>
    </w:p>
    <w:p w14:paraId="0141A952" w14:textId="23A0213F" w:rsidR="007970CC" w:rsidRPr="002A36EE" w:rsidRDefault="007970CC" w:rsidP="007970CC">
      <w:pPr>
        <w:spacing w:after="120"/>
        <w:jc w:val="both"/>
        <w:rPr>
          <w:rFonts w:cs="Times New Roman"/>
        </w:rPr>
      </w:pPr>
      <w:r w:rsidRPr="002A36EE">
        <w:rPr>
          <w:rFonts w:cs="Times New Roman"/>
        </w:rPr>
        <w:t>Figure 4, Panel (a), shows that the number of product varieties imported from the European Union declined during 2014–2016 and recovered after the agreement entered into force. This reversal followed a period affected by Ecuador’s import controls and the safeguard tariffs applied between 2015 and 2017 (Grijalva et al., 2022; Uribe-</w:t>
      </w:r>
      <w:proofErr w:type="spellStart"/>
      <w:r w:rsidRPr="002A36EE">
        <w:rPr>
          <w:rFonts w:cs="Times New Roman"/>
        </w:rPr>
        <w:t>Terán</w:t>
      </w:r>
      <w:proofErr w:type="spellEnd"/>
      <w:r w:rsidRPr="002A36EE">
        <w:rPr>
          <w:rFonts w:cs="Times New Roman"/>
        </w:rPr>
        <w:t xml:space="preserve"> et al., 2025). The pattern therefore reflects recovery and stabilization </w:t>
      </w:r>
      <w:r w:rsidRPr="002A36EE">
        <w:rPr>
          <w:rFonts w:cs="Times New Roman"/>
        </w:rPr>
        <w:lastRenderedPageBreak/>
        <w:t>rather than a dramatic expansion in import variety. Export varieties, by contrast, remained comparatively stable.</w:t>
      </w:r>
    </w:p>
    <w:p w14:paraId="15FEFCB0" w14:textId="35734EBB" w:rsidR="00680430" w:rsidRPr="002A36EE" w:rsidRDefault="007970CC" w:rsidP="007970CC">
      <w:pPr>
        <w:spacing w:after="120"/>
        <w:jc w:val="both"/>
        <w:rPr>
          <w:rFonts w:cs="Times New Roman"/>
        </w:rPr>
      </w:pPr>
      <w:r w:rsidRPr="002A36EE">
        <w:rPr>
          <w:rFonts w:cs="Times New Roman"/>
        </w:rPr>
        <w:t>Panel (b) shows a modest increase in the average number of European partner countries connected to Ecuadorian importers. On the export side, the number of European destinations fluctuated without displaying an equally clear upward pattern. The evidence thus points to a gradual broadening of import-side connections rather than a comparable expansion of Ecuador’s export reach within Europe</w:t>
      </w:r>
      <w:r w:rsidR="00D02348" w:rsidRPr="002A36EE">
        <w:rPr>
          <w:rFonts w:cs="Times New Roman"/>
        </w:rPr>
        <w:t>.</w:t>
      </w:r>
    </w:p>
    <w:p w14:paraId="48C2BAA9" w14:textId="1E3965D6" w:rsidR="008A0DCF" w:rsidRPr="002A36EE" w:rsidRDefault="008A0DCF" w:rsidP="00724B50">
      <w:pPr>
        <w:spacing w:after="120"/>
        <w:jc w:val="center"/>
        <w:rPr>
          <w:rFonts w:cs="Times New Roman"/>
        </w:rPr>
      </w:pPr>
      <w:r w:rsidRPr="002A36EE">
        <w:rPr>
          <w:rFonts w:cs="Times New Roman"/>
          <w:b/>
          <w:bCs/>
        </w:rPr>
        <w:t>Figure 4.</w:t>
      </w:r>
      <w:r w:rsidRPr="002A36EE">
        <w:rPr>
          <w:rFonts w:cs="Times New Roman"/>
        </w:rPr>
        <w:t xml:space="preserve"> Product and partner diversification in EU trade</w:t>
      </w:r>
      <w:r w:rsidR="00602BDF" w:rsidRPr="002A36EE">
        <w:rPr>
          <w:rFonts w:cs="Times New Roman"/>
        </w:rPr>
        <w:t>, 2013–2023</w:t>
      </w:r>
      <w:r w:rsidRPr="002A36EE">
        <w:rPr>
          <w:rFonts w:cs="Times New Roman"/>
        </w:rPr>
        <w:t xml:space="preserve"> </w:t>
      </w:r>
    </w:p>
    <w:p w14:paraId="63F4B217" w14:textId="3AE51478" w:rsidR="00251B74" w:rsidRPr="002A36EE" w:rsidRDefault="00251B74" w:rsidP="00251B74">
      <w:pPr>
        <w:pStyle w:val="Caption"/>
        <w:jc w:val="center"/>
        <w:rPr>
          <w:rFonts w:cs="Times New Roman"/>
        </w:rPr>
      </w:pPr>
      <w:r w:rsidRPr="002A36EE">
        <w:rPr>
          <w:rFonts w:cs="Times New Roman"/>
          <w:noProof/>
        </w:rPr>
        <w:drawing>
          <wp:inline distT="0" distB="0" distL="0" distR="0" wp14:anchorId="37BE6AFD" wp14:editId="56CEFCDF">
            <wp:extent cx="2377440" cy="2560320"/>
            <wp:effectExtent l="0" t="0" r="3810" b="0"/>
            <wp:docPr id="7" name="Chart 7">
              <a:extLst xmlns:a="http://schemas.openxmlformats.org/drawingml/2006/main">
                <a:ext uri="{FF2B5EF4-FFF2-40B4-BE49-F238E27FC236}">
                  <a16:creationId xmlns:a16="http://schemas.microsoft.com/office/drawing/2014/main" id="{2E77D41F-6DB3-4A76-9891-EA38852EA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2A36EE">
        <w:rPr>
          <w:rFonts w:cs="Times New Roman"/>
          <w:noProof/>
        </w:rPr>
        <w:drawing>
          <wp:inline distT="0" distB="0" distL="0" distR="0" wp14:anchorId="7501E067" wp14:editId="57225BAA">
            <wp:extent cx="2377440" cy="2560320"/>
            <wp:effectExtent l="0" t="0" r="3810" b="0"/>
            <wp:docPr id="8" name="Chart 8">
              <a:extLst xmlns:a="http://schemas.openxmlformats.org/drawingml/2006/main">
                <a:ext uri="{FF2B5EF4-FFF2-40B4-BE49-F238E27FC236}">
                  <a16:creationId xmlns:a16="http://schemas.microsoft.com/office/drawing/2014/main" id="{C7DFB1D8-1EE3-49C2-BAA7-C300672D86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2A967D5" w14:textId="6016046D" w:rsidR="00251B74" w:rsidRPr="002A36EE" w:rsidRDefault="00251B74" w:rsidP="00251B74">
      <w:pPr>
        <w:jc w:val="center"/>
        <w:rPr>
          <w:rFonts w:cs="Times New Roman"/>
          <w:b/>
          <w:bCs/>
          <w:sz w:val="14"/>
          <w:szCs w:val="14"/>
        </w:rPr>
      </w:pPr>
      <w:r w:rsidRPr="002A36EE">
        <w:rPr>
          <w:rFonts w:cs="Times New Roman"/>
          <w:b/>
          <w:bCs/>
          <w:sz w:val="14"/>
          <w:szCs w:val="14"/>
        </w:rPr>
        <w:t>Panel (a)</w:t>
      </w:r>
    </w:p>
    <w:p w14:paraId="4C58C7C2" w14:textId="0288427A" w:rsidR="00251B74" w:rsidRPr="002A36EE" w:rsidRDefault="00251B74" w:rsidP="00251B74">
      <w:pPr>
        <w:pStyle w:val="Caption"/>
        <w:jc w:val="center"/>
        <w:rPr>
          <w:rFonts w:cs="Times New Roman"/>
        </w:rPr>
      </w:pPr>
      <w:r w:rsidRPr="002A36EE">
        <w:rPr>
          <w:rFonts w:cs="Times New Roman"/>
          <w:noProof/>
        </w:rPr>
        <w:drawing>
          <wp:inline distT="0" distB="0" distL="0" distR="0" wp14:anchorId="406AFF9D" wp14:editId="5E83288A">
            <wp:extent cx="2377440" cy="2743200"/>
            <wp:effectExtent l="0" t="0" r="3810" b="0"/>
            <wp:docPr id="9" name="Chart 9">
              <a:extLst xmlns:a="http://schemas.openxmlformats.org/drawingml/2006/main">
                <a:ext uri="{FF2B5EF4-FFF2-40B4-BE49-F238E27FC236}">
                  <a16:creationId xmlns:a16="http://schemas.microsoft.com/office/drawing/2014/main" id="{934BC32F-1BFE-40A1-93A7-84A6DF8CF4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2A36EE">
        <w:rPr>
          <w:rFonts w:cs="Times New Roman"/>
          <w:noProof/>
        </w:rPr>
        <w:drawing>
          <wp:inline distT="0" distB="0" distL="0" distR="0" wp14:anchorId="2E836CBA" wp14:editId="1F9CD424">
            <wp:extent cx="2377440" cy="2743200"/>
            <wp:effectExtent l="0" t="0" r="3810" b="0"/>
            <wp:docPr id="10" name="Chart 10">
              <a:extLst xmlns:a="http://schemas.openxmlformats.org/drawingml/2006/main">
                <a:ext uri="{FF2B5EF4-FFF2-40B4-BE49-F238E27FC236}">
                  <a16:creationId xmlns:a16="http://schemas.microsoft.com/office/drawing/2014/main" id="{8B69520F-B8F6-430C-9F7F-E95352597F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D58C5C" w14:textId="375F8F5F" w:rsidR="00251B74" w:rsidRPr="002A36EE" w:rsidRDefault="00251B74" w:rsidP="00251B74">
      <w:pPr>
        <w:jc w:val="center"/>
        <w:rPr>
          <w:rFonts w:cs="Times New Roman"/>
        </w:rPr>
      </w:pPr>
      <w:r w:rsidRPr="002A36EE">
        <w:rPr>
          <w:rFonts w:cs="Times New Roman"/>
          <w:b/>
          <w:bCs/>
          <w:sz w:val="14"/>
          <w:szCs w:val="14"/>
        </w:rPr>
        <w:t>Panel (b)</w:t>
      </w:r>
    </w:p>
    <w:p w14:paraId="52287F00" w14:textId="0401537D" w:rsidR="00680430" w:rsidRPr="002A36EE" w:rsidRDefault="00D02348" w:rsidP="0072405D">
      <w:pPr>
        <w:pStyle w:val="Caption"/>
        <w:jc w:val="both"/>
        <w:rPr>
          <w:rFonts w:cs="Times New Roman"/>
        </w:rPr>
      </w:pPr>
      <w:r w:rsidRPr="002A36EE">
        <w:rPr>
          <w:rFonts w:cs="Times New Roman"/>
          <w:b w:val="0"/>
          <w:bCs w:val="0"/>
          <w:i/>
        </w:rPr>
        <w:t>Note</w:t>
      </w:r>
      <w:r w:rsidRPr="002A36EE">
        <w:rPr>
          <w:rFonts w:cs="Times New Roman"/>
          <w:b w:val="0"/>
          <w:bCs w:val="0"/>
          <w:iCs/>
        </w:rPr>
        <w:t>:</w:t>
      </w:r>
      <w:r w:rsidR="0072405D" w:rsidRPr="002A36EE">
        <w:rPr>
          <w:rFonts w:cs="Times New Roman"/>
        </w:rPr>
        <w:t xml:space="preserve"> </w:t>
      </w:r>
      <w:r w:rsidR="0072405D" w:rsidRPr="002A36EE">
        <w:rPr>
          <w:rFonts w:cs="Times New Roman"/>
          <w:b w:val="0"/>
          <w:bCs w:val="0"/>
          <w:iCs/>
        </w:rPr>
        <w:t xml:space="preserve">Panel (a) reports the monthly number of distinct ten-digit NANDINA product varieties imported from or exported to the European Union and their share of all product varieties traded by Ecuador in the corresponding trade direction. Panel (b) reports the average monthly number of distinct European partner countries linked to each Ecuadorian firm and its share relative to the firm’s total number of partner countries. In both panels, the left side presents imports and the right side presents exports. The monthly series are seasonally adjusted. The vertical line at January 2017 marks the entry into force of the EU–Ecuador Trade Agreement. Data for 2022 are omitted because the underlying customs records for that year are incomplete. </w:t>
      </w:r>
      <w:r w:rsidR="0072405D" w:rsidRPr="002A36EE">
        <w:rPr>
          <w:rFonts w:cs="Times New Roman"/>
          <w:b w:val="0"/>
          <w:bCs w:val="0"/>
          <w:i/>
        </w:rPr>
        <w:t>Source</w:t>
      </w:r>
      <w:r w:rsidR="0072405D" w:rsidRPr="002A36EE">
        <w:rPr>
          <w:rFonts w:cs="Times New Roman"/>
          <w:b w:val="0"/>
          <w:bCs w:val="0"/>
          <w:iCs/>
        </w:rPr>
        <w:t>: Authors’ calculations based on customs transaction records from the Central Bank of Ecuador.</w:t>
      </w:r>
    </w:p>
    <w:p w14:paraId="769D1171"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lastRenderedPageBreak/>
        <w:t>Specialization Patterns</w:t>
      </w:r>
    </w:p>
    <w:p w14:paraId="621F0B36" w14:textId="4DD17E42" w:rsidR="003419F9" w:rsidRPr="002A36EE" w:rsidRDefault="007970CC" w:rsidP="003419F9">
      <w:pPr>
        <w:spacing w:after="120"/>
        <w:jc w:val="both"/>
        <w:rPr>
          <w:rFonts w:cs="Times New Roman"/>
        </w:rPr>
      </w:pPr>
      <w:r w:rsidRPr="002A36EE">
        <w:rPr>
          <w:rFonts w:cs="Times New Roman"/>
        </w:rPr>
        <w:t>The increase in firm participation and partner-country connections did not imply broader product portfolios within each importing firm. Figure 5 shows that the average number of distinct products imported from the European Union per firm declined over time. The corresponding measure for exporters was lower and considerably more stable</w:t>
      </w:r>
      <w:r w:rsidR="00D02348" w:rsidRPr="002A36EE">
        <w:rPr>
          <w:rFonts w:cs="Times New Roman"/>
        </w:rPr>
        <w:t>.</w:t>
      </w:r>
    </w:p>
    <w:p w14:paraId="2C4B236C" w14:textId="09250DF3" w:rsidR="009D203D" w:rsidRPr="002A36EE" w:rsidRDefault="009D203D" w:rsidP="00724B50">
      <w:pPr>
        <w:spacing w:after="120"/>
        <w:jc w:val="center"/>
        <w:rPr>
          <w:rFonts w:cs="Times New Roman"/>
        </w:rPr>
      </w:pPr>
      <w:r w:rsidRPr="002A36EE">
        <w:rPr>
          <w:rFonts w:cs="Times New Roman"/>
          <w:b/>
          <w:bCs/>
        </w:rPr>
        <w:t>Figure 5.</w:t>
      </w:r>
      <w:r w:rsidRPr="002A36EE">
        <w:rPr>
          <w:rFonts w:cs="Times New Roman"/>
        </w:rPr>
        <w:t xml:space="preserve"> Average number of products per firm in EU trade</w:t>
      </w:r>
      <w:r w:rsidR="00602BDF" w:rsidRPr="002A36EE">
        <w:rPr>
          <w:rFonts w:cs="Times New Roman"/>
        </w:rPr>
        <w:t>, 2013–2023</w:t>
      </w:r>
    </w:p>
    <w:p w14:paraId="683DE3AF" w14:textId="6C10427D" w:rsidR="003419F9" w:rsidRPr="002A36EE" w:rsidRDefault="003419F9" w:rsidP="003419F9">
      <w:pPr>
        <w:pStyle w:val="Caption"/>
        <w:jc w:val="center"/>
        <w:rPr>
          <w:rFonts w:cs="Times New Roman"/>
        </w:rPr>
      </w:pPr>
      <w:r w:rsidRPr="002A36EE">
        <w:rPr>
          <w:rFonts w:cs="Times New Roman"/>
          <w:noProof/>
        </w:rPr>
        <w:drawing>
          <wp:inline distT="0" distB="0" distL="0" distR="0" wp14:anchorId="20F2A911" wp14:editId="24E1683B">
            <wp:extent cx="2377440" cy="2743200"/>
            <wp:effectExtent l="0" t="0" r="3810" b="0"/>
            <wp:docPr id="11" name="Chart 11">
              <a:extLst xmlns:a="http://schemas.openxmlformats.org/drawingml/2006/main">
                <a:ext uri="{FF2B5EF4-FFF2-40B4-BE49-F238E27FC236}">
                  <a16:creationId xmlns:a16="http://schemas.microsoft.com/office/drawing/2014/main" id="{3D863375-7000-4569-A888-3E7B7BBDA8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2A36EE">
        <w:rPr>
          <w:rFonts w:cs="Times New Roman"/>
          <w:noProof/>
        </w:rPr>
        <w:drawing>
          <wp:inline distT="0" distB="0" distL="0" distR="0" wp14:anchorId="51FBCDD1" wp14:editId="76686FFA">
            <wp:extent cx="2377440" cy="2743200"/>
            <wp:effectExtent l="0" t="0" r="3810" b="0"/>
            <wp:docPr id="12" name="Chart 12">
              <a:extLst xmlns:a="http://schemas.openxmlformats.org/drawingml/2006/main">
                <a:ext uri="{FF2B5EF4-FFF2-40B4-BE49-F238E27FC236}">
                  <a16:creationId xmlns:a16="http://schemas.microsoft.com/office/drawing/2014/main" id="{C3011D6A-FDFC-43E0-A062-D0790BD8F5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BA71697" w14:textId="2CEA0CBE" w:rsidR="00680430" w:rsidRPr="002A36EE" w:rsidRDefault="00D02348" w:rsidP="00FC267F">
      <w:pPr>
        <w:pStyle w:val="Caption"/>
        <w:jc w:val="both"/>
        <w:rPr>
          <w:rFonts w:cs="Times New Roman"/>
          <w:b w:val="0"/>
          <w:bCs w:val="0"/>
        </w:rPr>
      </w:pPr>
      <w:r w:rsidRPr="002A36EE">
        <w:rPr>
          <w:rFonts w:cs="Times New Roman"/>
          <w:b w:val="0"/>
          <w:bCs w:val="0"/>
          <w:i/>
        </w:rPr>
        <w:t>Note</w:t>
      </w:r>
      <w:r w:rsidRPr="002A36EE">
        <w:rPr>
          <w:rFonts w:cs="Times New Roman"/>
          <w:b w:val="0"/>
          <w:bCs w:val="0"/>
          <w:iCs/>
        </w:rPr>
        <w:t>:</w:t>
      </w:r>
      <w:r w:rsidR="00FC267F" w:rsidRPr="002A36EE">
        <w:rPr>
          <w:rFonts w:cs="Times New Roman"/>
        </w:rPr>
        <w:t xml:space="preserve"> </w:t>
      </w:r>
      <w:r w:rsidR="00FC267F" w:rsidRPr="002A36EE">
        <w:rPr>
          <w:rFonts w:cs="Times New Roman"/>
          <w:b w:val="0"/>
          <w:bCs w:val="0"/>
          <w:iCs/>
        </w:rPr>
        <w:t xml:space="preserve">The figure reports the monthly average number of distinct ten-digit NANDINA product varieties traded with the European Union per Ecuadorian firm. The left panel refers to firms importing from the European Union, while the right panel refers to firms exporting to the European market. The series are seasonally adjusted. The vertical line at January 2017 marks the entry into force of the EU–Ecuador Trade Agreement. Data for 2022 are omitted because the underlying customs records for that year are incomplete. </w:t>
      </w:r>
      <w:r w:rsidR="00FC267F" w:rsidRPr="002A36EE">
        <w:rPr>
          <w:rFonts w:cs="Times New Roman"/>
          <w:b w:val="0"/>
          <w:bCs w:val="0"/>
          <w:i/>
        </w:rPr>
        <w:t>Source</w:t>
      </w:r>
      <w:r w:rsidR="00FC267F" w:rsidRPr="002A36EE">
        <w:rPr>
          <w:rFonts w:cs="Times New Roman"/>
          <w:b w:val="0"/>
          <w:bCs w:val="0"/>
          <w:iCs/>
        </w:rPr>
        <w:t>: Authors’ calculations based on customs transaction records from the Central Bank of Ecuador</w:t>
      </w:r>
      <w:r w:rsidRPr="002A36EE">
        <w:rPr>
          <w:rFonts w:cs="Times New Roman"/>
          <w:b w:val="0"/>
          <w:bCs w:val="0"/>
          <w:iCs/>
        </w:rPr>
        <w:t>.</w:t>
      </w:r>
    </w:p>
    <w:p w14:paraId="171B1C88" w14:textId="59CF6277" w:rsidR="007970CC" w:rsidRPr="002A36EE" w:rsidRDefault="00BF33E2" w:rsidP="007970CC">
      <w:pPr>
        <w:spacing w:after="120"/>
        <w:jc w:val="both"/>
        <w:rPr>
          <w:rFonts w:cs="Times New Roman"/>
        </w:rPr>
      </w:pPr>
      <w:r w:rsidRPr="002A36EE">
        <w:rPr>
          <w:rFonts w:cs="Times New Roman"/>
        </w:rPr>
        <w:t>T</w:t>
      </w:r>
      <w:r w:rsidR="007970CC" w:rsidRPr="002A36EE">
        <w:rPr>
          <w:rFonts w:cs="Times New Roman"/>
        </w:rPr>
        <w:t>aken together, the figures reveal a specific form of import-side adjustment: more Ecuadorian firms became connected to Europe and importers traded with a somewhat broader set of European countries, while the typical importing firm concentrated its transactions in fewer products. This pattern is consistent with greater specialization in firms’ European sourcing rather than with generalized product diversification.</w:t>
      </w:r>
    </w:p>
    <w:p w14:paraId="7AA5A784" w14:textId="6B568D50" w:rsidR="00680430" w:rsidRPr="002A36EE" w:rsidRDefault="007970CC" w:rsidP="007970CC">
      <w:pPr>
        <w:spacing w:after="120"/>
        <w:jc w:val="both"/>
        <w:rPr>
          <w:rFonts w:cs="Times New Roman"/>
        </w:rPr>
      </w:pPr>
      <w:r w:rsidRPr="002A36EE">
        <w:rPr>
          <w:rFonts w:cs="Times New Roman"/>
        </w:rPr>
        <w:t>Overall, the descriptive evidence points to an asymmetric process of integration. Ecuador’s links with the European Union broadened primarily through import participation and sourcing connections, while export-side changes were more limited. These patterns are not themselves causal estimates, but they motivate the empirical analysis that follows, which examines whether differential exposure to tariff reductions affected firms’ imports, input use, and production outcomes</w:t>
      </w:r>
      <w:r w:rsidR="00D02348" w:rsidRPr="002A36EE">
        <w:rPr>
          <w:rFonts w:cs="Times New Roman"/>
        </w:rPr>
        <w:t>.</w:t>
      </w:r>
    </w:p>
    <w:p w14:paraId="4018770D"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t>Empirical Approach: Isolating the Effects of Tariff Reductions</w:t>
      </w:r>
    </w:p>
    <w:p w14:paraId="09ECE7EB" w14:textId="494D4E47" w:rsidR="007970CC" w:rsidRPr="002A36EE" w:rsidRDefault="007970CC" w:rsidP="007970CC">
      <w:pPr>
        <w:spacing w:after="120"/>
        <w:jc w:val="both"/>
        <w:rPr>
          <w:rFonts w:cs="Times New Roman"/>
        </w:rPr>
      </w:pPr>
      <w:r w:rsidRPr="002A36EE">
        <w:rPr>
          <w:rFonts w:cs="Times New Roman"/>
        </w:rPr>
        <w:t>Simple before-and-after comparisons are insufficient to identify the agreement’s effects. Firms that increased their imports from Europe after 2017 may have differed from other firms for reasons unrelated to tariff reductions: they may have been larger, more productive, better managed, or already planning to reorganize their sourcing strategies. Comparing firms according to their realized import growth would therefore risk confusing the effect of the agreement with changes in their own business conditions.</w:t>
      </w:r>
    </w:p>
    <w:p w14:paraId="254D7B71" w14:textId="41432E20" w:rsidR="007970CC" w:rsidRPr="002A36EE" w:rsidRDefault="007970CC" w:rsidP="007970CC">
      <w:pPr>
        <w:spacing w:after="120"/>
        <w:jc w:val="both"/>
        <w:rPr>
          <w:rFonts w:cs="Times New Roman"/>
        </w:rPr>
      </w:pPr>
      <w:r w:rsidRPr="002A36EE">
        <w:rPr>
          <w:rFonts w:cs="Times New Roman"/>
        </w:rPr>
        <w:lastRenderedPageBreak/>
        <w:t>Our strategy instead isolates the component of import growth generated by the tariff schedule. This focus is particularly appropriate in the Ecuadorian case. The agreement largely preserved the preferential access that Ecuadorian exporters already had under the GSP+ regime, whereas the main new policy change was Ecuador’s gradual reduction of tariffs on European goods. We therefore concentrate on importing firms in Manufacturing and Wholesale &amp; Retail, where changes in input costs and sourcing possibilities are most relevant.</w:t>
      </w:r>
    </w:p>
    <w:p w14:paraId="217AECD7" w14:textId="03F0A052" w:rsidR="007970CC" w:rsidRPr="002A36EE" w:rsidRDefault="007970CC" w:rsidP="007970CC">
      <w:pPr>
        <w:spacing w:after="120"/>
        <w:jc w:val="both"/>
        <w:rPr>
          <w:rFonts w:cs="Times New Roman"/>
        </w:rPr>
      </w:pPr>
      <w:r w:rsidRPr="002A36EE">
        <w:rPr>
          <w:rFonts w:cs="Times New Roman"/>
        </w:rPr>
        <w:t>The empirical design uses two sources of variation. First, tariff reductions differed across products in both magnitude and timing. Some goods were liberalized immediately, while others followed longer phase-out schedules. Second, firms entered the agreement with different import baskets. A firm that had previously concentrated its European imports in products subject to large tariff reductions was more exposed to the agreement than a firm importing products whose tariffs changed little.</w:t>
      </w:r>
    </w:p>
    <w:p w14:paraId="472F0199" w14:textId="64469C8C" w:rsidR="007970CC" w:rsidRPr="002A36EE" w:rsidRDefault="007970CC" w:rsidP="007970CC">
      <w:pPr>
        <w:spacing w:after="120"/>
        <w:jc w:val="both"/>
        <w:rPr>
          <w:rFonts w:cs="Times New Roman"/>
        </w:rPr>
      </w:pPr>
      <w:r w:rsidRPr="002A36EE">
        <w:rPr>
          <w:rFonts w:cs="Times New Roman"/>
        </w:rPr>
        <w:t>We measure this exposure by combining each firm’s 2014 composition of imports from Europe with the statutory changes in product-level tariffs relative to 2016. The year 2014 is used to measure firms’ import shares because it precedes the safeguard surcharges introduced in March 2015, which altered relative import costs and firms’ sourcing decisions (Uribe-</w:t>
      </w:r>
      <w:proofErr w:type="spellStart"/>
      <w:r w:rsidRPr="002A36EE">
        <w:rPr>
          <w:rFonts w:cs="Times New Roman"/>
        </w:rPr>
        <w:t>Terán</w:t>
      </w:r>
      <w:proofErr w:type="spellEnd"/>
      <w:r w:rsidRPr="002A36EE">
        <w:rPr>
          <w:rFonts w:cs="Times New Roman"/>
        </w:rPr>
        <w:t xml:space="preserve"> et al., 2025). The year 2016 provides the tariff baseline because it is the last year before the agreement entered into force. The resulting measure captures how strongly each firm should have been affected by the agreement, given what it imported before the policy began to change its incentives.</w:t>
      </w:r>
    </w:p>
    <w:p w14:paraId="1C064386" w14:textId="317157EB" w:rsidR="007970CC" w:rsidRPr="002A36EE" w:rsidRDefault="007970CC" w:rsidP="007970CC">
      <w:pPr>
        <w:spacing w:after="120"/>
        <w:jc w:val="both"/>
        <w:rPr>
          <w:rFonts w:cs="Times New Roman"/>
        </w:rPr>
      </w:pPr>
      <w:r w:rsidRPr="002A36EE">
        <w:rPr>
          <w:rFonts w:cs="Times New Roman"/>
        </w:rPr>
        <w:t>This measure is used as a shift-share instrument, following the logic developed in the recent methodological literature (</w:t>
      </w:r>
      <w:proofErr w:type="spellStart"/>
      <w:r w:rsidRPr="002A36EE">
        <w:rPr>
          <w:rFonts w:cs="Times New Roman"/>
        </w:rPr>
        <w:t>Borusyak</w:t>
      </w:r>
      <w:proofErr w:type="spellEnd"/>
      <w:r w:rsidRPr="002A36EE">
        <w:rPr>
          <w:rFonts w:cs="Times New Roman"/>
        </w:rPr>
        <w:t xml:space="preserve"> et al., 2025; Goldsmith-Pinkham et al., 2020). Intuitively, the instrument predicts a larger shock for firms whose pre-existing import baskets were concentrated in products with larger scheduled tariff reductions. It predicts a smaller shock for firms concentrated in products whose tariffs were reduced more slowly or by less.</w:t>
      </w:r>
    </w:p>
    <w:p w14:paraId="71CACAAA" w14:textId="3E35CFCA" w:rsidR="007970CC" w:rsidRPr="002A36EE" w:rsidRDefault="007970CC" w:rsidP="007970CC">
      <w:pPr>
        <w:spacing w:after="120"/>
        <w:jc w:val="both"/>
        <w:rPr>
          <w:rFonts w:cs="Times New Roman"/>
        </w:rPr>
      </w:pPr>
      <w:r w:rsidRPr="002A36EE">
        <w:rPr>
          <w:rFonts w:cs="Times New Roman"/>
        </w:rPr>
        <w:t>The design supports a causal interpretation because both components of the predicted exposure are determined before the outcomes being studied. Firms’ import shares are measured using their 2014 baskets, before the agreement could alter sourcing decisions, while the subsequent tariff changes follow the statutory phase-out established by the treaty. The identifying comparison is therefore not between firms that later chose to import more or less. It is between firms that were differently exposed to the same policy because of their pre-agreement import structure.</w:t>
      </w:r>
    </w:p>
    <w:p w14:paraId="72E6C4D6" w14:textId="5C60B0E6" w:rsidR="007970CC" w:rsidRPr="002A36EE" w:rsidRDefault="007970CC" w:rsidP="007970CC">
      <w:pPr>
        <w:spacing w:after="120"/>
        <w:jc w:val="both"/>
        <w:rPr>
          <w:rFonts w:cs="Times New Roman"/>
        </w:rPr>
      </w:pPr>
      <w:r w:rsidRPr="002A36EE">
        <w:rPr>
          <w:rFonts w:cs="Times New Roman"/>
        </w:rPr>
        <w:t xml:space="preserve">The analysis proceeds in two steps. First, we test whether firms facing larger predicted tariff reductions increased their imports from Europe. This first-stage relationship establishes whether the tariff schedule generated meaningful variation in firms’ sourcing behavior. </w:t>
      </w:r>
      <w:r w:rsidR="00BA3515" w:rsidRPr="002A36EE">
        <w:rPr>
          <w:rFonts w:cs="Times New Roman"/>
        </w:rPr>
        <w:t xml:space="preserve">The online appendix </w:t>
      </w:r>
      <w:r w:rsidRPr="002A36EE">
        <w:rPr>
          <w:rFonts w:cs="Times New Roman"/>
        </w:rPr>
        <w:t>reports the complete yearly estimates and the standard diagnostic tests, which show that the instrument has substantial explanatory power.</w:t>
      </w:r>
    </w:p>
    <w:p w14:paraId="7B92D6E6" w14:textId="3340FE4B" w:rsidR="007970CC" w:rsidRPr="002A36EE" w:rsidRDefault="007970CC" w:rsidP="007970CC">
      <w:pPr>
        <w:spacing w:after="120"/>
        <w:jc w:val="both"/>
        <w:rPr>
          <w:rFonts w:cs="Times New Roman"/>
        </w:rPr>
      </w:pPr>
      <w:r w:rsidRPr="002A36EE">
        <w:rPr>
          <w:rFonts w:cs="Times New Roman"/>
        </w:rPr>
        <w:t>Second, we use the policy-induced component of import growth to estimate effects on material costs, sales, employment, wages, capital, total factor productivity (TFP), and value added. In other words, we do not ask whether firms that imported more performed differently; we ask whether firms whose imports increased because of their exposure to the agreement performed differently.</w:t>
      </w:r>
    </w:p>
    <w:p w14:paraId="6037B4F7" w14:textId="47D4D42D" w:rsidR="00680430" w:rsidRPr="002A36EE" w:rsidRDefault="007970CC" w:rsidP="007970CC">
      <w:pPr>
        <w:spacing w:after="120"/>
        <w:jc w:val="both"/>
        <w:rPr>
          <w:rFonts w:cs="Times New Roman"/>
        </w:rPr>
      </w:pPr>
      <w:r w:rsidRPr="002A36EE">
        <w:rPr>
          <w:rFonts w:cs="Times New Roman"/>
        </w:rPr>
        <w:t xml:space="preserve">The regressions compare changes relative to the pre-agreement period and include baseline controls and fixed effects that account for systematic differences across sectors and locations. For transparency, we also report ordinary least squares estimates as descriptive benchmarks. The results emphasized in the chapter, however, are the instrumental-variables estimates, because they are designed to recover the component of firm adjustment associated with the tariff reductions. The separate online appendix presents the formal specification, annual estimation sample sizes, alternative instrumental-variables </w:t>
      </w:r>
      <w:r w:rsidRPr="002A36EE">
        <w:rPr>
          <w:rFonts w:cs="Times New Roman"/>
        </w:rPr>
        <w:lastRenderedPageBreak/>
        <w:t>estimators, first-stage results, the discussion of the exclusion restriction, and the corresponding diagnostic tests.</w:t>
      </w:r>
    </w:p>
    <w:p w14:paraId="23AED23B" w14:textId="77777777" w:rsidR="00680430" w:rsidRPr="002A36EE" w:rsidRDefault="00D02348">
      <w:pPr>
        <w:pStyle w:val="Heading1"/>
        <w:rPr>
          <w:rFonts w:ascii="Times New Roman" w:hAnsi="Times New Roman" w:cs="Times New Roman"/>
        </w:rPr>
      </w:pPr>
      <w:r w:rsidRPr="002A36EE">
        <w:rPr>
          <w:rFonts w:ascii="Times New Roman" w:eastAsia="Times New Roman" w:hAnsi="Times New Roman" w:cs="Times New Roman"/>
        </w:rPr>
        <w:t>Causal Effects on Firms</w:t>
      </w:r>
    </w:p>
    <w:p w14:paraId="6F24DBD3" w14:textId="4108FA0B" w:rsidR="006474AD" w:rsidRPr="002A36EE" w:rsidRDefault="00D02348">
      <w:pPr>
        <w:spacing w:after="120"/>
        <w:jc w:val="both"/>
        <w:rPr>
          <w:rFonts w:cs="Times New Roman"/>
        </w:rPr>
      </w:pPr>
      <w:r w:rsidRPr="002A36EE">
        <w:rPr>
          <w:rFonts w:cs="Times New Roman"/>
        </w:rPr>
        <w:t xml:space="preserve">To keep the discussion readable, the main text reports only a compact summary of the results. The full econometric evidence, including yearly estimates, alternative instrumental-variables estimators, and first-stage diagnostics, is presented in </w:t>
      </w:r>
      <w:r w:rsidR="000732CA" w:rsidRPr="002A36EE">
        <w:rPr>
          <w:rFonts w:cs="Times New Roman"/>
        </w:rPr>
        <w:t>the online appendix</w:t>
      </w:r>
      <w:r w:rsidRPr="002A36EE">
        <w:rPr>
          <w:rFonts w:cs="Times New Roman"/>
        </w:rPr>
        <w:t>. Here we focus on two moments in time only: 2017, the first year after the agreement entered into force, and 2023, the last year in our sample. This is enough to show both the initial response and the broader direction of adjustment over time. Table 1 is organized in two steps. It first shows whether tariff reductions actually changed firms' imports from Europe, and then shows how that treaty-induced import growth affected firm outcomes.</w:t>
      </w:r>
    </w:p>
    <w:p w14:paraId="10B80EBE" w14:textId="5F12F210" w:rsidR="008C1E63" w:rsidRPr="002A36EE" w:rsidRDefault="008C1E63" w:rsidP="0025138E">
      <w:pPr>
        <w:spacing w:after="120"/>
        <w:jc w:val="center"/>
        <w:rPr>
          <w:rFonts w:cs="Times New Roman"/>
          <w:i/>
          <w:iCs/>
        </w:rPr>
      </w:pPr>
      <w:r w:rsidRPr="002A36EE">
        <w:rPr>
          <w:rFonts w:cs="Times New Roman"/>
          <w:b/>
          <w:bCs/>
          <w:color w:val="000000"/>
          <w:sz w:val="20"/>
          <w:szCs w:val="20"/>
        </w:rPr>
        <w:t xml:space="preserve">Table 1. </w:t>
      </w:r>
      <w:r w:rsidRPr="002A36EE">
        <w:rPr>
          <w:rFonts w:cs="Times New Roman"/>
          <w:color w:val="000000"/>
          <w:sz w:val="20"/>
          <w:szCs w:val="20"/>
        </w:rPr>
        <w:t>Summary of the main firm-level results</w:t>
      </w:r>
    </w:p>
    <w:tbl>
      <w:tblPr>
        <w:tblW w:w="9447" w:type="dxa"/>
        <w:tblInd w:w="108" w:type="dxa"/>
        <w:tblCellMar>
          <w:top w:w="15" w:type="dxa"/>
        </w:tblCellMar>
        <w:tblLook w:val="04A0" w:firstRow="1" w:lastRow="0" w:firstColumn="1" w:lastColumn="0" w:noHBand="0" w:noVBand="1"/>
      </w:tblPr>
      <w:tblGrid>
        <w:gridCol w:w="3195"/>
        <w:gridCol w:w="984"/>
        <w:gridCol w:w="984"/>
        <w:gridCol w:w="3951"/>
        <w:gridCol w:w="333"/>
      </w:tblGrid>
      <w:tr w:rsidR="00F40728" w:rsidRPr="002A36EE" w14:paraId="1C6A0369" w14:textId="77777777" w:rsidTr="00F40728">
        <w:trPr>
          <w:gridAfter w:val="1"/>
          <w:wAfter w:w="335" w:type="dxa"/>
          <w:trHeight w:val="286"/>
        </w:trPr>
        <w:tc>
          <w:tcPr>
            <w:tcW w:w="3195" w:type="dxa"/>
            <w:tcBorders>
              <w:top w:val="single" w:sz="4" w:space="0" w:color="auto"/>
              <w:left w:val="nil"/>
              <w:bottom w:val="single" w:sz="4" w:space="0" w:color="auto"/>
              <w:right w:val="nil"/>
            </w:tcBorders>
            <w:shd w:val="clear" w:color="000000" w:fill="FFFFFF"/>
            <w:noWrap/>
            <w:vAlign w:val="bottom"/>
            <w:hideMark/>
          </w:tcPr>
          <w:p w14:paraId="59465C55" w14:textId="77777777" w:rsidR="00F40728" w:rsidRPr="002A36EE" w:rsidRDefault="00F40728" w:rsidP="00455FFD">
            <w:pPr>
              <w:spacing w:after="0" w:line="240" w:lineRule="auto"/>
              <w:jc w:val="center"/>
              <w:rPr>
                <w:rFonts w:cs="Times New Roman"/>
                <w:b/>
                <w:bCs/>
                <w:color w:val="000000"/>
                <w:sz w:val="20"/>
                <w:szCs w:val="20"/>
              </w:rPr>
            </w:pPr>
            <w:r w:rsidRPr="002A36EE">
              <w:rPr>
                <w:rFonts w:cs="Times New Roman"/>
                <w:b/>
                <w:bCs/>
                <w:color w:val="000000"/>
                <w:sz w:val="20"/>
                <w:szCs w:val="20"/>
              </w:rPr>
              <w:t>Outcome</w:t>
            </w:r>
          </w:p>
        </w:tc>
        <w:tc>
          <w:tcPr>
            <w:tcW w:w="984" w:type="dxa"/>
            <w:tcBorders>
              <w:top w:val="single" w:sz="4" w:space="0" w:color="auto"/>
              <w:left w:val="nil"/>
              <w:bottom w:val="single" w:sz="4" w:space="0" w:color="auto"/>
              <w:right w:val="nil"/>
            </w:tcBorders>
            <w:shd w:val="clear" w:color="000000" w:fill="FFFFFF"/>
            <w:noWrap/>
            <w:vAlign w:val="bottom"/>
            <w:hideMark/>
          </w:tcPr>
          <w:p w14:paraId="7B51184B" w14:textId="77777777" w:rsidR="00F40728" w:rsidRPr="002A36EE" w:rsidRDefault="00F40728" w:rsidP="00455FFD">
            <w:pPr>
              <w:spacing w:after="0" w:line="240" w:lineRule="auto"/>
              <w:jc w:val="center"/>
              <w:rPr>
                <w:rFonts w:cs="Times New Roman"/>
                <w:b/>
                <w:bCs/>
                <w:color w:val="000000"/>
                <w:sz w:val="20"/>
                <w:szCs w:val="20"/>
              </w:rPr>
            </w:pPr>
            <w:r w:rsidRPr="002A36EE">
              <w:rPr>
                <w:rFonts w:cs="Times New Roman"/>
                <w:b/>
                <w:bCs/>
                <w:color w:val="000000"/>
                <w:sz w:val="20"/>
                <w:szCs w:val="20"/>
              </w:rPr>
              <w:t>2017</w:t>
            </w:r>
          </w:p>
        </w:tc>
        <w:tc>
          <w:tcPr>
            <w:tcW w:w="984" w:type="dxa"/>
            <w:tcBorders>
              <w:top w:val="single" w:sz="4" w:space="0" w:color="auto"/>
              <w:left w:val="nil"/>
              <w:bottom w:val="single" w:sz="4" w:space="0" w:color="auto"/>
              <w:right w:val="nil"/>
            </w:tcBorders>
            <w:shd w:val="clear" w:color="000000" w:fill="FFFFFF"/>
            <w:noWrap/>
            <w:vAlign w:val="bottom"/>
            <w:hideMark/>
          </w:tcPr>
          <w:p w14:paraId="711DF944" w14:textId="77777777" w:rsidR="00F40728" w:rsidRPr="002A36EE" w:rsidRDefault="00F40728" w:rsidP="00455FFD">
            <w:pPr>
              <w:spacing w:after="0" w:line="240" w:lineRule="auto"/>
              <w:jc w:val="center"/>
              <w:rPr>
                <w:rFonts w:cs="Times New Roman"/>
                <w:b/>
                <w:bCs/>
                <w:color w:val="000000"/>
                <w:sz w:val="20"/>
                <w:szCs w:val="20"/>
              </w:rPr>
            </w:pPr>
            <w:r w:rsidRPr="002A36EE">
              <w:rPr>
                <w:rFonts w:cs="Times New Roman"/>
                <w:b/>
                <w:bCs/>
                <w:color w:val="000000"/>
                <w:sz w:val="20"/>
                <w:szCs w:val="20"/>
              </w:rPr>
              <w:t>2023</w:t>
            </w:r>
          </w:p>
        </w:tc>
        <w:tc>
          <w:tcPr>
            <w:tcW w:w="3949" w:type="dxa"/>
            <w:tcBorders>
              <w:top w:val="single" w:sz="4" w:space="0" w:color="auto"/>
              <w:left w:val="nil"/>
              <w:bottom w:val="single" w:sz="4" w:space="0" w:color="auto"/>
              <w:right w:val="nil"/>
            </w:tcBorders>
            <w:shd w:val="clear" w:color="000000" w:fill="FFFFFF"/>
            <w:noWrap/>
            <w:vAlign w:val="bottom"/>
            <w:hideMark/>
          </w:tcPr>
          <w:p w14:paraId="25F0A801" w14:textId="77777777" w:rsidR="00F40728" w:rsidRPr="002A36EE" w:rsidRDefault="00F40728" w:rsidP="00455FFD">
            <w:pPr>
              <w:spacing w:after="0" w:line="240" w:lineRule="auto"/>
              <w:jc w:val="center"/>
              <w:rPr>
                <w:rFonts w:cs="Times New Roman"/>
                <w:b/>
                <w:bCs/>
                <w:color w:val="000000"/>
                <w:sz w:val="20"/>
                <w:szCs w:val="20"/>
              </w:rPr>
            </w:pPr>
            <w:r w:rsidRPr="002A36EE">
              <w:rPr>
                <w:rFonts w:cs="Times New Roman"/>
                <w:b/>
                <w:bCs/>
                <w:color w:val="000000"/>
                <w:sz w:val="20"/>
                <w:szCs w:val="20"/>
              </w:rPr>
              <w:t>How to read it</w:t>
            </w:r>
          </w:p>
        </w:tc>
      </w:tr>
      <w:tr w:rsidR="00F40728" w:rsidRPr="002A36EE" w14:paraId="7E54E8B2" w14:textId="77777777" w:rsidTr="00F40728">
        <w:trPr>
          <w:gridAfter w:val="1"/>
          <w:wAfter w:w="333" w:type="dxa"/>
          <w:trHeight w:val="286"/>
        </w:trPr>
        <w:tc>
          <w:tcPr>
            <w:tcW w:w="9114" w:type="dxa"/>
            <w:gridSpan w:val="4"/>
            <w:tcBorders>
              <w:top w:val="nil"/>
              <w:left w:val="nil"/>
              <w:bottom w:val="nil"/>
              <w:right w:val="nil"/>
            </w:tcBorders>
            <w:shd w:val="clear" w:color="000000" w:fill="FFFFFF"/>
            <w:noWrap/>
            <w:vAlign w:val="bottom"/>
            <w:hideMark/>
          </w:tcPr>
          <w:p w14:paraId="2A118CD7" w14:textId="77777777" w:rsidR="00F40728" w:rsidRPr="002A36EE" w:rsidRDefault="00F40728" w:rsidP="00F40728">
            <w:pPr>
              <w:spacing w:after="0" w:line="240" w:lineRule="auto"/>
              <w:rPr>
                <w:rFonts w:cs="Times New Roman"/>
                <w:i/>
                <w:iCs/>
                <w:color w:val="000000"/>
                <w:sz w:val="20"/>
                <w:szCs w:val="20"/>
              </w:rPr>
            </w:pPr>
            <w:r w:rsidRPr="002A36EE">
              <w:rPr>
                <w:rFonts w:cs="Times New Roman"/>
                <w:i/>
                <w:iCs/>
                <w:color w:val="000000"/>
                <w:sz w:val="20"/>
                <w:szCs w:val="20"/>
              </w:rPr>
              <w:t>Panel A. Did tariff reductions change firms' imports from Europe?</w:t>
            </w:r>
          </w:p>
        </w:tc>
      </w:tr>
      <w:tr w:rsidR="00F40728" w:rsidRPr="002A36EE" w14:paraId="113FAA99" w14:textId="77777777" w:rsidTr="00F40728">
        <w:trPr>
          <w:gridAfter w:val="1"/>
          <w:wAfter w:w="335" w:type="dxa"/>
          <w:trHeight w:val="2029"/>
        </w:trPr>
        <w:tc>
          <w:tcPr>
            <w:tcW w:w="3195" w:type="dxa"/>
            <w:tcBorders>
              <w:top w:val="nil"/>
              <w:left w:val="nil"/>
              <w:bottom w:val="nil"/>
              <w:right w:val="nil"/>
            </w:tcBorders>
            <w:shd w:val="clear" w:color="000000" w:fill="FFFFFF"/>
            <w:noWrap/>
            <w:hideMark/>
          </w:tcPr>
          <w:p w14:paraId="1A6FF7A4"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Import response</w:t>
            </w:r>
          </w:p>
        </w:tc>
        <w:tc>
          <w:tcPr>
            <w:tcW w:w="984" w:type="dxa"/>
            <w:tcBorders>
              <w:top w:val="nil"/>
              <w:left w:val="nil"/>
              <w:bottom w:val="nil"/>
              <w:right w:val="nil"/>
            </w:tcBorders>
            <w:shd w:val="clear" w:color="000000" w:fill="FFFFFF"/>
            <w:noWrap/>
            <w:hideMark/>
          </w:tcPr>
          <w:p w14:paraId="547C1589"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-4.261***</w:t>
            </w:r>
          </w:p>
        </w:tc>
        <w:tc>
          <w:tcPr>
            <w:tcW w:w="984" w:type="dxa"/>
            <w:tcBorders>
              <w:top w:val="nil"/>
              <w:left w:val="nil"/>
              <w:bottom w:val="nil"/>
              <w:right w:val="nil"/>
            </w:tcBorders>
            <w:shd w:val="clear" w:color="000000" w:fill="FFFFFF"/>
            <w:noWrap/>
            <w:hideMark/>
          </w:tcPr>
          <w:p w14:paraId="37530322"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-8.426***</w:t>
            </w:r>
          </w:p>
        </w:tc>
        <w:tc>
          <w:tcPr>
            <w:tcW w:w="3949" w:type="dxa"/>
            <w:tcBorders>
              <w:top w:val="nil"/>
              <w:left w:val="nil"/>
              <w:bottom w:val="nil"/>
              <w:right w:val="nil"/>
            </w:tcBorders>
            <w:shd w:val="clear" w:color="000000" w:fill="FFFFFF"/>
            <w:hideMark/>
          </w:tcPr>
          <w:p w14:paraId="06AC0B71"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These coefficients come from the first stage. They show how imports from Europe respond to changes in tariff-inclusive prices. The negative sign means that when tariff-inclusive prices fall, imports rise. The more negative coefficient in 2023 indicates that the sourcing response became stronger over time.</w:t>
            </w:r>
          </w:p>
        </w:tc>
      </w:tr>
      <w:tr w:rsidR="00F40728" w:rsidRPr="002A36EE" w14:paraId="210C17A4" w14:textId="77777777" w:rsidTr="00F40728">
        <w:trPr>
          <w:gridAfter w:val="1"/>
          <w:wAfter w:w="333" w:type="dxa"/>
          <w:trHeight w:val="286"/>
        </w:trPr>
        <w:tc>
          <w:tcPr>
            <w:tcW w:w="9114" w:type="dxa"/>
            <w:gridSpan w:val="4"/>
            <w:tcBorders>
              <w:top w:val="nil"/>
              <w:left w:val="nil"/>
              <w:bottom w:val="nil"/>
              <w:right w:val="nil"/>
            </w:tcBorders>
            <w:shd w:val="clear" w:color="000000" w:fill="FFFFFF"/>
            <w:noWrap/>
            <w:vAlign w:val="bottom"/>
            <w:hideMark/>
          </w:tcPr>
          <w:p w14:paraId="52805A11" w14:textId="77777777" w:rsidR="00F40728" w:rsidRPr="002A36EE" w:rsidRDefault="00F40728" w:rsidP="00F40728">
            <w:pPr>
              <w:spacing w:after="0" w:line="240" w:lineRule="auto"/>
              <w:rPr>
                <w:rFonts w:cs="Times New Roman"/>
                <w:i/>
                <w:iCs/>
                <w:color w:val="000000"/>
                <w:sz w:val="20"/>
                <w:szCs w:val="20"/>
              </w:rPr>
            </w:pPr>
            <w:r w:rsidRPr="002A36EE">
              <w:rPr>
                <w:rFonts w:cs="Times New Roman"/>
                <w:i/>
                <w:iCs/>
                <w:color w:val="000000"/>
                <w:sz w:val="20"/>
                <w:szCs w:val="20"/>
              </w:rPr>
              <w:t>Panel B. How did treaty-induced import growth affect firms?</w:t>
            </w:r>
          </w:p>
        </w:tc>
      </w:tr>
      <w:tr w:rsidR="00F40728" w:rsidRPr="002A36EE" w14:paraId="43E9D22D" w14:textId="77777777" w:rsidTr="00F40728">
        <w:trPr>
          <w:gridAfter w:val="1"/>
          <w:wAfter w:w="335" w:type="dxa"/>
          <w:trHeight w:val="867"/>
        </w:trPr>
        <w:tc>
          <w:tcPr>
            <w:tcW w:w="3195" w:type="dxa"/>
            <w:tcBorders>
              <w:top w:val="nil"/>
              <w:left w:val="nil"/>
              <w:bottom w:val="nil"/>
              <w:right w:val="nil"/>
            </w:tcBorders>
            <w:shd w:val="clear" w:color="000000" w:fill="FFFFFF"/>
            <w:noWrap/>
            <w:hideMark/>
          </w:tcPr>
          <w:p w14:paraId="67F3C3C5"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Material costs</w:t>
            </w:r>
          </w:p>
        </w:tc>
        <w:tc>
          <w:tcPr>
            <w:tcW w:w="984" w:type="dxa"/>
            <w:tcBorders>
              <w:top w:val="nil"/>
              <w:left w:val="nil"/>
              <w:bottom w:val="nil"/>
              <w:right w:val="nil"/>
            </w:tcBorders>
            <w:shd w:val="clear" w:color="000000" w:fill="FFFFFF"/>
            <w:noWrap/>
            <w:hideMark/>
          </w:tcPr>
          <w:p w14:paraId="0DAA4A91"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0.03</w:t>
            </w:r>
          </w:p>
        </w:tc>
        <w:tc>
          <w:tcPr>
            <w:tcW w:w="984" w:type="dxa"/>
            <w:tcBorders>
              <w:top w:val="nil"/>
              <w:left w:val="nil"/>
              <w:bottom w:val="nil"/>
              <w:right w:val="nil"/>
            </w:tcBorders>
            <w:shd w:val="clear" w:color="000000" w:fill="FFFFFF"/>
            <w:noWrap/>
            <w:hideMark/>
          </w:tcPr>
          <w:p w14:paraId="58FB42AA"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0.193***</w:t>
            </w:r>
          </w:p>
        </w:tc>
        <w:tc>
          <w:tcPr>
            <w:tcW w:w="3949" w:type="dxa"/>
            <w:tcBorders>
              <w:top w:val="nil"/>
              <w:left w:val="nil"/>
              <w:bottom w:val="nil"/>
              <w:right w:val="nil"/>
            </w:tcBorders>
            <w:shd w:val="clear" w:color="000000" w:fill="FFFFFF"/>
            <w:hideMark/>
          </w:tcPr>
          <w:p w14:paraId="3A39511F"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By 2023, a 10% treaty-induced increase in imports from Europe is associated with about a 1.9% increase in real material costs.</w:t>
            </w:r>
          </w:p>
        </w:tc>
      </w:tr>
      <w:tr w:rsidR="00F40728" w:rsidRPr="002A36EE" w14:paraId="2E0D7D36" w14:textId="77777777" w:rsidTr="00F40728">
        <w:trPr>
          <w:gridAfter w:val="1"/>
          <w:wAfter w:w="335" w:type="dxa"/>
          <w:trHeight w:val="576"/>
        </w:trPr>
        <w:tc>
          <w:tcPr>
            <w:tcW w:w="3195" w:type="dxa"/>
            <w:tcBorders>
              <w:top w:val="nil"/>
              <w:left w:val="nil"/>
              <w:bottom w:val="nil"/>
              <w:right w:val="nil"/>
            </w:tcBorders>
            <w:shd w:val="clear" w:color="000000" w:fill="FFFFFF"/>
            <w:noWrap/>
            <w:hideMark/>
          </w:tcPr>
          <w:p w14:paraId="7C30DFDC"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Sales</w:t>
            </w:r>
          </w:p>
        </w:tc>
        <w:tc>
          <w:tcPr>
            <w:tcW w:w="984" w:type="dxa"/>
            <w:tcBorders>
              <w:top w:val="nil"/>
              <w:left w:val="nil"/>
              <w:bottom w:val="nil"/>
              <w:right w:val="nil"/>
            </w:tcBorders>
            <w:shd w:val="clear" w:color="000000" w:fill="FFFFFF"/>
            <w:noWrap/>
            <w:hideMark/>
          </w:tcPr>
          <w:p w14:paraId="7A09011D"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0.031</w:t>
            </w:r>
          </w:p>
        </w:tc>
        <w:tc>
          <w:tcPr>
            <w:tcW w:w="984" w:type="dxa"/>
            <w:tcBorders>
              <w:top w:val="nil"/>
              <w:left w:val="nil"/>
              <w:bottom w:val="nil"/>
              <w:right w:val="nil"/>
            </w:tcBorders>
            <w:shd w:val="clear" w:color="000000" w:fill="FFFFFF"/>
            <w:noWrap/>
            <w:hideMark/>
          </w:tcPr>
          <w:p w14:paraId="467CC207"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0.134**</w:t>
            </w:r>
          </w:p>
        </w:tc>
        <w:tc>
          <w:tcPr>
            <w:tcW w:w="3949" w:type="dxa"/>
            <w:tcBorders>
              <w:top w:val="nil"/>
              <w:left w:val="nil"/>
              <w:bottom w:val="nil"/>
              <w:right w:val="nil"/>
            </w:tcBorders>
            <w:shd w:val="clear" w:color="000000" w:fill="FFFFFF"/>
            <w:hideMark/>
          </w:tcPr>
          <w:p w14:paraId="3B2C5033"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By 2023, the same increase in imports is associated with about a 1.3% increase in sales.</w:t>
            </w:r>
          </w:p>
        </w:tc>
      </w:tr>
      <w:tr w:rsidR="00F40728" w:rsidRPr="002A36EE" w14:paraId="52DFF074" w14:textId="77777777" w:rsidTr="00F40728">
        <w:trPr>
          <w:gridAfter w:val="1"/>
          <w:wAfter w:w="335" w:type="dxa"/>
          <w:trHeight w:val="1157"/>
        </w:trPr>
        <w:tc>
          <w:tcPr>
            <w:tcW w:w="3195" w:type="dxa"/>
            <w:tcBorders>
              <w:top w:val="nil"/>
              <w:left w:val="nil"/>
              <w:bottom w:val="nil"/>
              <w:right w:val="nil"/>
            </w:tcBorders>
            <w:shd w:val="clear" w:color="000000" w:fill="FFFFFF"/>
            <w:noWrap/>
            <w:hideMark/>
          </w:tcPr>
          <w:p w14:paraId="56893B6F"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Employment</w:t>
            </w:r>
          </w:p>
        </w:tc>
        <w:tc>
          <w:tcPr>
            <w:tcW w:w="984" w:type="dxa"/>
            <w:tcBorders>
              <w:top w:val="nil"/>
              <w:left w:val="nil"/>
              <w:bottom w:val="nil"/>
              <w:right w:val="nil"/>
            </w:tcBorders>
            <w:shd w:val="clear" w:color="000000" w:fill="FFFFFF"/>
            <w:noWrap/>
            <w:hideMark/>
          </w:tcPr>
          <w:p w14:paraId="69BA01B7"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0.003</w:t>
            </w:r>
          </w:p>
        </w:tc>
        <w:tc>
          <w:tcPr>
            <w:tcW w:w="984" w:type="dxa"/>
            <w:tcBorders>
              <w:top w:val="nil"/>
              <w:left w:val="nil"/>
              <w:bottom w:val="nil"/>
              <w:right w:val="nil"/>
            </w:tcBorders>
            <w:shd w:val="clear" w:color="000000" w:fill="FFFFFF"/>
            <w:noWrap/>
            <w:hideMark/>
          </w:tcPr>
          <w:p w14:paraId="1FE0B501"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0.211***</w:t>
            </w:r>
          </w:p>
        </w:tc>
        <w:tc>
          <w:tcPr>
            <w:tcW w:w="3949" w:type="dxa"/>
            <w:tcBorders>
              <w:top w:val="nil"/>
              <w:left w:val="nil"/>
              <w:bottom w:val="nil"/>
              <w:right w:val="nil"/>
            </w:tcBorders>
            <w:shd w:val="clear" w:color="000000" w:fill="FFFFFF"/>
            <w:hideMark/>
          </w:tcPr>
          <w:p w14:paraId="0A8CB3F2"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Employment shows little change at first, but by 2023 a 10% treaty-induced increase in imports is associated with about a 2.1% increase in employment.</w:t>
            </w:r>
          </w:p>
        </w:tc>
      </w:tr>
      <w:tr w:rsidR="00F40728" w:rsidRPr="002A36EE" w14:paraId="357DB4E0" w14:textId="77777777" w:rsidTr="00F40728">
        <w:trPr>
          <w:gridAfter w:val="1"/>
          <w:wAfter w:w="335" w:type="dxa"/>
          <w:trHeight w:val="286"/>
        </w:trPr>
        <w:tc>
          <w:tcPr>
            <w:tcW w:w="3195" w:type="dxa"/>
            <w:tcBorders>
              <w:top w:val="nil"/>
              <w:left w:val="nil"/>
              <w:bottom w:val="nil"/>
              <w:right w:val="nil"/>
            </w:tcBorders>
            <w:shd w:val="clear" w:color="000000" w:fill="FFFFFF"/>
            <w:noWrap/>
            <w:hideMark/>
          </w:tcPr>
          <w:p w14:paraId="74186C0D"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Wages</w:t>
            </w:r>
          </w:p>
        </w:tc>
        <w:tc>
          <w:tcPr>
            <w:tcW w:w="984" w:type="dxa"/>
            <w:tcBorders>
              <w:top w:val="nil"/>
              <w:left w:val="nil"/>
              <w:bottom w:val="nil"/>
              <w:right w:val="nil"/>
            </w:tcBorders>
            <w:shd w:val="clear" w:color="000000" w:fill="FFFFFF"/>
            <w:noWrap/>
            <w:hideMark/>
          </w:tcPr>
          <w:p w14:paraId="67F62DB9"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0.181*</w:t>
            </w:r>
          </w:p>
        </w:tc>
        <w:tc>
          <w:tcPr>
            <w:tcW w:w="984" w:type="dxa"/>
            <w:tcBorders>
              <w:top w:val="nil"/>
              <w:left w:val="nil"/>
              <w:bottom w:val="nil"/>
              <w:right w:val="nil"/>
            </w:tcBorders>
            <w:shd w:val="clear" w:color="000000" w:fill="FFFFFF"/>
            <w:noWrap/>
            <w:hideMark/>
          </w:tcPr>
          <w:p w14:paraId="6A450DE9"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0.061</w:t>
            </w:r>
          </w:p>
        </w:tc>
        <w:tc>
          <w:tcPr>
            <w:tcW w:w="3949" w:type="dxa"/>
            <w:tcBorders>
              <w:top w:val="nil"/>
              <w:left w:val="nil"/>
              <w:bottom w:val="nil"/>
              <w:right w:val="nil"/>
            </w:tcBorders>
            <w:shd w:val="clear" w:color="000000" w:fill="FFFFFF"/>
            <w:hideMark/>
          </w:tcPr>
          <w:p w14:paraId="76339F93"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Wages do not show a stable pattern over time.</w:t>
            </w:r>
          </w:p>
        </w:tc>
      </w:tr>
      <w:tr w:rsidR="00F40728" w:rsidRPr="002A36EE" w14:paraId="56C046DF" w14:textId="77777777" w:rsidTr="00F40728">
        <w:trPr>
          <w:gridAfter w:val="1"/>
          <w:wAfter w:w="335" w:type="dxa"/>
          <w:trHeight w:val="576"/>
        </w:trPr>
        <w:tc>
          <w:tcPr>
            <w:tcW w:w="3195" w:type="dxa"/>
            <w:tcBorders>
              <w:top w:val="nil"/>
              <w:left w:val="nil"/>
              <w:bottom w:val="nil"/>
              <w:right w:val="nil"/>
            </w:tcBorders>
            <w:shd w:val="clear" w:color="000000" w:fill="FFFFFF"/>
            <w:noWrap/>
            <w:hideMark/>
          </w:tcPr>
          <w:p w14:paraId="3290D390"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Capital</w:t>
            </w:r>
          </w:p>
        </w:tc>
        <w:tc>
          <w:tcPr>
            <w:tcW w:w="984" w:type="dxa"/>
            <w:tcBorders>
              <w:top w:val="nil"/>
              <w:left w:val="nil"/>
              <w:bottom w:val="nil"/>
              <w:right w:val="nil"/>
            </w:tcBorders>
            <w:shd w:val="clear" w:color="000000" w:fill="FFFFFF"/>
            <w:noWrap/>
            <w:hideMark/>
          </w:tcPr>
          <w:p w14:paraId="7910FB26"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0.018</w:t>
            </w:r>
          </w:p>
        </w:tc>
        <w:tc>
          <w:tcPr>
            <w:tcW w:w="984" w:type="dxa"/>
            <w:tcBorders>
              <w:top w:val="nil"/>
              <w:left w:val="nil"/>
              <w:bottom w:val="nil"/>
              <w:right w:val="nil"/>
            </w:tcBorders>
            <w:shd w:val="clear" w:color="000000" w:fill="FFFFFF"/>
            <w:noWrap/>
            <w:hideMark/>
          </w:tcPr>
          <w:p w14:paraId="1B7FD7B8"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0.001</w:t>
            </w:r>
          </w:p>
        </w:tc>
        <w:tc>
          <w:tcPr>
            <w:tcW w:w="3949" w:type="dxa"/>
            <w:tcBorders>
              <w:top w:val="nil"/>
              <w:left w:val="nil"/>
              <w:bottom w:val="nil"/>
              <w:right w:val="nil"/>
            </w:tcBorders>
            <w:shd w:val="clear" w:color="000000" w:fill="FFFFFF"/>
            <w:hideMark/>
          </w:tcPr>
          <w:p w14:paraId="12836B83"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There is no clear effect on capital within the sample window.</w:t>
            </w:r>
          </w:p>
        </w:tc>
      </w:tr>
      <w:tr w:rsidR="00F40728" w:rsidRPr="002A36EE" w14:paraId="045A3E43" w14:textId="77777777" w:rsidTr="00F40728">
        <w:trPr>
          <w:gridAfter w:val="1"/>
          <w:wAfter w:w="335" w:type="dxa"/>
          <w:trHeight w:val="576"/>
        </w:trPr>
        <w:tc>
          <w:tcPr>
            <w:tcW w:w="3195" w:type="dxa"/>
            <w:tcBorders>
              <w:top w:val="nil"/>
              <w:left w:val="nil"/>
              <w:bottom w:val="nil"/>
              <w:right w:val="nil"/>
            </w:tcBorders>
            <w:shd w:val="clear" w:color="000000" w:fill="FFFFFF"/>
            <w:noWrap/>
            <w:hideMark/>
          </w:tcPr>
          <w:p w14:paraId="296BC163"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TFP</w:t>
            </w:r>
          </w:p>
        </w:tc>
        <w:tc>
          <w:tcPr>
            <w:tcW w:w="984" w:type="dxa"/>
            <w:tcBorders>
              <w:top w:val="nil"/>
              <w:left w:val="nil"/>
              <w:bottom w:val="nil"/>
              <w:right w:val="nil"/>
            </w:tcBorders>
            <w:shd w:val="clear" w:color="000000" w:fill="FFFFFF"/>
            <w:noWrap/>
            <w:hideMark/>
          </w:tcPr>
          <w:p w14:paraId="25E6CDC8"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-0.018</w:t>
            </w:r>
          </w:p>
        </w:tc>
        <w:tc>
          <w:tcPr>
            <w:tcW w:w="984" w:type="dxa"/>
            <w:tcBorders>
              <w:top w:val="nil"/>
              <w:left w:val="nil"/>
              <w:bottom w:val="nil"/>
              <w:right w:val="nil"/>
            </w:tcBorders>
            <w:shd w:val="clear" w:color="000000" w:fill="FFFFFF"/>
            <w:noWrap/>
            <w:hideMark/>
          </w:tcPr>
          <w:p w14:paraId="22712AD4"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0.025</w:t>
            </w:r>
          </w:p>
        </w:tc>
        <w:tc>
          <w:tcPr>
            <w:tcW w:w="3949" w:type="dxa"/>
            <w:tcBorders>
              <w:top w:val="nil"/>
              <w:left w:val="nil"/>
              <w:bottom w:val="nil"/>
              <w:right w:val="nil"/>
            </w:tcBorders>
            <w:shd w:val="clear" w:color="000000" w:fill="FFFFFF"/>
            <w:hideMark/>
          </w:tcPr>
          <w:p w14:paraId="6A84D131"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There is no robust short-run effect on measured productivity.</w:t>
            </w:r>
          </w:p>
        </w:tc>
      </w:tr>
      <w:tr w:rsidR="00F40728" w:rsidRPr="002A36EE" w14:paraId="63550D59" w14:textId="77777777" w:rsidTr="00F40728">
        <w:trPr>
          <w:gridAfter w:val="1"/>
          <w:wAfter w:w="335" w:type="dxa"/>
          <w:trHeight w:val="867"/>
        </w:trPr>
        <w:tc>
          <w:tcPr>
            <w:tcW w:w="3195" w:type="dxa"/>
            <w:tcBorders>
              <w:top w:val="nil"/>
              <w:left w:val="nil"/>
              <w:bottom w:val="single" w:sz="4" w:space="0" w:color="auto"/>
              <w:right w:val="nil"/>
            </w:tcBorders>
            <w:shd w:val="clear" w:color="000000" w:fill="FFFFFF"/>
            <w:noWrap/>
            <w:hideMark/>
          </w:tcPr>
          <w:p w14:paraId="151354AD" w14:textId="77777777" w:rsidR="00F40728" w:rsidRPr="002A36EE" w:rsidRDefault="00F40728" w:rsidP="00F40728">
            <w:pPr>
              <w:spacing w:after="0" w:line="240" w:lineRule="auto"/>
              <w:rPr>
                <w:rFonts w:cs="Times New Roman"/>
                <w:color w:val="000000"/>
                <w:sz w:val="20"/>
                <w:szCs w:val="20"/>
              </w:rPr>
            </w:pPr>
            <w:r w:rsidRPr="002A36EE">
              <w:rPr>
                <w:rFonts w:cs="Times New Roman"/>
                <w:color w:val="000000"/>
                <w:sz w:val="20"/>
                <w:szCs w:val="20"/>
              </w:rPr>
              <w:t>Value added</w:t>
            </w:r>
          </w:p>
        </w:tc>
        <w:tc>
          <w:tcPr>
            <w:tcW w:w="984" w:type="dxa"/>
            <w:tcBorders>
              <w:top w:val="nil"/>
              <w:left w:val="nil"/>
              <w:bottom w:val="single" w:sz="4" w:space="0" w:color="auto"/>
              <w:right w:val="nil"/>
            </w:tcBorders>
            <w:shd w:val="clear" w:color="000000" w:fill="FFFFFF"/>
            <w:noWrap/>
            <w:hideMark/>
          </w:tcPr>
          <w:p w14:paraId="21A43D80"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0.094</w:t>
            </w:r>
          </w:p>
        </w:tc>
        <w:tc>
          <w:tcPr>
            <w:tcW w:w="984" w:type="dxa"/>
            <w:tcBorders>
              <w:top w:val="nil"/>
              <w:left w:val="nil"/>
              <w:bottom w:val="single" w:sz="4" w:space="0" w:color="auto"/>
              <w:right w:val="nil"/>
            </w:tcBorders>
            <w:shd w:val="clear" w:color="000000" w:fill="FFFFFF"/>
            <w:noWrap/>
            <w:hideMark/>
          </w:tcPr>
          <w:p w14:paraId="34D82A5F" w14:textId="77777777" w:rsidR="00F40728" w:rsidRPr="002A36EE" w:rsidRDefault="00F40728" w:rsidP="00F40728">
            <w:pPr>
              <w:spacing w:after="0" w:line="240" w:lineRule="auto"/>
              <w:jc w:val="right"/>
              <w:rPr>
                <w:rFonts w:cs="Times New Roman"/>
                <w:color w:val="000000"/>
                <w:sz w:val="20"/>
                <w:szCs w:val="20"/>
              </w:rPr>
            </w:pPr>
            <w:r w:rsidRPr="002A36EE">
              <w:rPr>
                <w:rFonts w:cs="Times New Roman"/>
                <w:color w:val="000000"/>
                <w:sz w:val="20"/>
                <w:szCs w:val="20"/>
              </w:rPr>
              <w:t>0.084</w:t>
            </w:r>
          </w:p>
        </w:tc>
        <w:tc>
          <w:tcPr>
            <w:tcW w:w="3949" w:type="dxa"/>
            <w:tcBorders>
              <w:top w:val="nil"/>
              <w:left w:val="nil"/>
              <w:bottom w:val="single" w:sz="4" w:space="0" w:color="auto"/>
              <w:right w:val="nil"/>
            </w:tcBorders>
            <w:shd w:val="clear" w:color="000000" w:fill="FFFFFF"/>
            <w:hideMark/>
          </w:tcPr>
          <w:p w14:paraId="63DE544E" w14:textId="77777777" w:rsidR="00F40728" w:rsidRPr="002A36EE" w:rsidRDefault="00F40728" w:rsidP="00455FFD">
            <w:pPr>
              <w:spacing w:after="0" w:line="240" w:lineRule="auto"/>
              <w:jc w:val="both"/>
              <w:rPr>
                <w:rFonts w:cs="Times New Roman"/>
                <w:color w:val="000000"/>
                <w:sz w:val="20"/>
                <w:szCs w:val="20"/>
              </w:rPr>
            </w:pPr>
            <w:r w:rsidRPr="002A36EE">
              <w:rPr>
                <w:rFonts w:cs="Times New Roman"/>
                <w:color w:val="000000"/>
                <w:sz w:val="20"/>
                <w:szCs w:val="20"/>
              </w:rPr>
              <w:t>Point estimates are positive, but the effects are not estimated precisely within the sample window.</w:t>
            </w:r>
          </w:p>
        </w:tc>
      </w:tr>
      <w:tr w:rsidR="00F40728" w:rsidRPr="002A36EE" w14:paraId="56A05A68" w14:textId="77777777" w:rsidTr="00F40728">
        <w:trPr>
          <w:gridAfter w:val="1"/>
          <w:wAfter w:w="333" w:type="dxa"/>
          <w:trHeight w:val="491"/>
        </w:trPr>
        <w:tc>
          <w:tcPr>
            <w:tcW w:w="9114" w:type="dxa"/>
            <w:gridSpan w:val="4"/>
            <w:vMerge w:val="restart"/>
            <w:tcBorders>
              <w:top w:val="single" w:sz="4" w:space="0" w:color="auto"/>
              <w:left w:val="nil"/>
              <w:bottom w:val="nil"/>
              <w:right w:val="nil"/>
            </w:tcBorders>
            <w:shd w:val="clear" w:color="auto" w:fill="auto"/>
            <w:hideMark/>
          </w:tcPr>
          <w:p w14:paraId="50EE0771" w14:textId="4E4227B6" w:rsidR="00F40728" w:rsidRPr="002A36EE" w:rsidRDefault="00F40728" w:rsidP="00455FFD">
            <w:pPr>
              <w:spacing w:after="0" w:line="240" w:lineRule="auto"/>
              <w:jc w:val="both"/>
              <w:rPr>
                <w:rFonts w:cs="Times New Roman"/>
                <w:b/>
                <w:bCs/>
                <w:color w:val="000000"/>
                <w:sz w:val="20"/>
                <w:szCs w:val="20"/>
              </w:rPr>
            </w:pPr>
            <w:r w:rsidRPr="002A36EE">
              <w:rPr>
                <w:rFonts w:cs="Times New Roman"/>
                <w:i/>
                <w:iCs/>
                <w:color w:val="000000"/>
                <w:sz w:val="20"/>
                <w:szCs w:val="20"/>
              </w:rPr>
              <w:t xml:space="preserve">Note: </w:t>
            </w:r>
            <w:r w:rsidRPr="002A36EE">
              <w:rPr>
                <w:rFonts w:cs="Times New Roman"/>
                <w:color w:val="000000"/>
                <w:sz w:val="20"/>
                <w:szCs w:val="20"/>
              </w:rPr>
              <w:t xml:space="preserve">Panel A reports the first-stage relationship between tariff reductions and imports from Europe. Panel B reports the Fuller(1) instrumental-variables estimates for firm-level outcomes. To keep the presentation readable, the table reports only two horizons: 2017, the first year after the agreement entered into force, and 2023, the last year in the sample. </w:t>
            </w:r>
            <w:r w:rsidR="000732CA" w:rsidRPr="002A36EE">
              <w:rPr>
                <w:rFonts w:cs="Times New Roman"/>
                <w:color w:val="000000"/>
                <w:sz w:val="20"/>
                <w:szCs w:val="20"/>
              </w:rPr>
              <w:t>T</w:t>
            </w:r>
            <w:r w:rsidR="000732CA" w:rsidRPr="002A36EE">
              <w:rPr>
                <w:rFonts w:cs="Times New Roman"/>
              </w:rPr>
              <w:t>he online appendix</w:t>
            </w:r>
            <w:r w:rsidR="000732CA" w:rsidRPr="002A36EE">
              <w:rPr>
                <w:rFonts w:cs="Times New Roman"/>
                <w:color w:val="000000"/>
                <w:sz w:val="20"/>
                <w:szCs w:val="20"/>
              </w:rPr>
              <w:t xml:space="preserve"> </w:t>
            </w:r>
            <w:r w:rsidRPr="002A36EE">
              <w:rPr>
                <w:rFonts w:cs="Times New Roman"/>
                <w:color w:val="000000"/>
                <w:sz w:val="20"/>
                <w:szCs w:val="20"/>
              </w:rPr>
              <w:t>presents the full sequence of yearly estimates, together with the corresponding 2SLS and LIML estimates and the technical diagnostics. Significance levels are denoted by * p&lt;0.10, ** p&lt;0.05, and *** p&lt;0.01.</w:t>
            </w:r>
          </w:p>
        </w:tc>
      </w:tr>
      <w:tr w:rsidR="00F40728" w:rsidRPr="002A36EE" w14:paraId="3CB440B2" w14:textId="77777777" w:rsidTr="00F40728">
        <w:trPr>
          <w:trHeight w:val="286"/>
        </w:trPr>
        <w:tc>
          <w:tcPr>
            <w:tcW w:w="9114" w:type="dxa"/>
            <w:gridSpan w:val="4"/>
            <w:vMerge/>
            <w:tcBorders>
              <w:top w:val="single" w:sz="4" w:space="0" w:color="auto"/>
              <w:left w:val="nil"/>
              <w:bottom w:val="nil"/>
              <w:right w:val="nil"/>
            </w:tcBorders>
            <w:vAlign w:val="center"/>
            <w:hideMark/>
          </w:tcPr>
          <w:p w14:paraId="60B9383F" w14:textId="77777777" w:rsidR="00F40728" w:rsidRPr="002A36EE" w:rsidRDefault="00F40728" w:rsidP="00F40728">
            <w:pPr>
              <w:spacing w:after="0" w:line="240" w:lineRule="auto"/>
              <w:rPr>
                <w:rFonts w:cs="Times New Roman"/>
                <w:b/>
                <w:bCs/>
                <w:color w:val="000000"/>
                <w:sz w:val="20"/>
                <w:szCs w:val="20"/>
              </w:rPr>
            </w:pPr>
          </w:p>
        </w:tc>
        <w:tc>
          <w:tcPr>
            <w:tcW w:w="333" w:type="dxa"/>
            <w:tcBorders>
              <w:top w:val="nil"/>
              <w:left w:val="nil"/>
              <w:bottom w:val="nil"/>
              <w:right w:val="nil"/>
            </w:tcBorders>
            <w:shd w:val="clear" w:color="auto" w:fill="auto"/>
            <w:noWrap/>
            <w:vAlign w:val="bottom"/>
            <w:hideMark/>
          </w:tcPr>
          <w:p w14:paraId="3CAFBB61" w14:textId="77777777" w:rsidR="00F40728" w:rsidRPr="002A36EE" w:rsidRDefault="00F40728" w:rsidP="00F40728">
            <w:pPr>
              <w:spacing w:after="0" w:line="240" w:lineRule="auto"/>
              <w:rPr>
                <w:rFonts w:cs="Times New Roman"/>
                <w:b/>
                <w:bCs/>
                <w:color w:val="000000"/>
                <w:sz w:val="20"/>
                <w:szCs w:val="20"/>
              </w:rPr>
            </w:pPr>
          </w:p>
        </w:tc>
      </w:tr>
      <w:tr w:rsidR="00F40728" w:rsidRPr="002A36EE" w14:paraId="7F25C6F2" w14:textId="77777777" w:rsidTr="00F40728">
        <w:trPr>
          <w:trHeight w:val="286"/>
        </w:trPr>
        <w:tc>
          <w:tcPr>
            <w:tcW w:w="9114" w:type="dxa"/>
            <w:gridSpan w:val="4"/>
            <w:vMerge/>
            <w:tcBorders>
              <w:top w:val="single" w:sz="4" w:space="0" w:color="auto"/>
              <w:left w:val="nil"/>
              <w:bottom w:val="nil"/>
              <w:right w:val="nil"/>
            </w:tcBorders>
            <w:vAlign w:val="center"/>
            <w:hideMark/>
          </w:tcPr>
          <w:p w14:paraId="6A22B8F0" w14:textId="77777777" w:rsidR="00F40728" w:rsidRPr="002A36EE" w:rsidRDefault="00F40728" w:rsidP="00F40728">
            <w:pPr>
              <w:spacing w:after="0" w:line="240" w:lineRule="auto"/>
              <w:rPr>
                <w:rFonts w:cs="Times New Roman"/>
                <w:b/>
                <w:bCs/>
                <w:color w:val="000000"/>
                <w:sz w:val="20"/>
                <w:szCs w:val="20"/>
              </w:rPr>
            </w:pPr>
          </w:p>
        </w:tc>
        <w:tc>
          <w:tcPr>
            <w:tcW w:w="333" w:type="dxa"/>
            <w:tcBorders>
              <w:top w:val="nil"/>
              <w:left w:val="nil"/>
              <w:bottom w:val="nil"/>
              <w:right w:val="nil"/>
            </w:tcBorders>
            <w:shd w:val="clear" w:color="auto" w:fill="auto"/>
            <w:noWrap/>
            <w:vAlign w:val="bottom"/>
            <w:hideMark/>
          </w:tcPr>
          <w:p w14:paraId="511DCBF1" w14:textId="77777777" w:rsidR="00F40728" w:rsidRPr="002A36EE" w:rsidRDefault="00F40728" w:rsidP="00F40728">
            <w:pPr>
              <w:spacing w:after="0" w:line="240" w:lineRule="auto"/>
              <w:rPr>
                <w:rFonts w:cs="Times New Roman"/>
                <w:sz w:val="20"/>
                <w:szCs w:val="20"/>
              </w:rPr>
            </w:pPr>
          </w:p>
        </w:tc>
      </w:tr>
      <w:tr w:rsidR="00F40728" w:rsidRPr="002A36EE" w14:paraId="25B8083D" w14:textId="77777777" w:rsidTr="00F40728">
        <w:trPr>
          <w:trHeight w:val="286"/>
        </w:trPr>
        <w:tc>
          <w:tcPr>
            <w:tcW w:w="9114" w:type="dxa"/>
            <w:gridSpan w:val="4"/>
            <w:vMerge/>
            <w:tcBorders>
              <w:top w:val="single" w:sz="4" w:space="0" w:color="auto"/>
              <w:left w:val="nil"/>
              <w:bottom w:val="nil"/>
              <w:right w:val="nil"/>
            </w:tcBorders>
            <w:vAlign w:val="center"/>
            <w:hideMark/>
          </w:tcPr>
          <w:p w14:paraId="674E2F6B" w14:textId="77777777" w:rsidR="00F40728" w:rsidRPr="002A36EE" w:rsidRDefault="00F40728" w:rsidP="00F40728">
            <w:pPr>
              <w:spacing w:after="0" w:line="240" w:lineRule="auto"/>
              <w:rPr>
                <w:rFonts w:cs="Times New Roman"/>
                <w:b/>
                <w:bCs/>
                <w:color w:val="000000"/>
                <w:sz w:val="20"/>
                <w:szCs w:val="20"/>
              </w:rPr>
            </w:pPr>
          </w:p>
        </w:tc>
        <w:tc>
          <w:tcPr>
            <w:tcW w:w="333" w:type="dxa"/>
            <w:tcBorders>
              <w:top w:val="nil"/>
              <w:left w:val="nil"/>
              <w:bottom w:val="nil"/>
              <w:right w:val="nil"/>
            </w:tcBorders>
            <w:shd w:val="clear" w:color="auto" w:fill="auto"/>
            <w:noWrap/>
            <w:vAlign w:val="bottom"/>
            <w:hideMark/>
          </w:tcPr>
          <w:p w14:paraId="3D7DFF4D" w14:textId="77777777" w:rsidR="00F40728" w:rsidRPr="002A36EE" w:rsidRDefault="00F40728" w:rsidP="00F40728">
            <w:pPr>
              <w:spacing w:after="0" w:line="240" w:lineRule="auto"/>
              <w:rPr>
                <w:rFonts w:cs="Times New Roman"/>
                <w:sz w:val="20"/>
                <w:szCs w:val="20"/>
              </w:rPr>
            </w:pPr>
          </w:p>
        </w:tc>
      </w:tr>
      <w:tr w:rsidR="00F40728" w:rsidRPr="002A36EE" w14:paraId="7431D183" w14:textId="77777777" w:rsidTr="00F40728">
        <w:trPr>
          <w:trHeight w:val="286"/>
        </w:trPr>
        <w:tc>
          <w:tcPr>
            <w:tcW w:w="9114" w:type="dxa"/>
            <w:gridSpan w:val="4"/>
            <w:vMerge/>
            <w:tcBorders>
              <w:top w:val="single" w:sz="4" w:space="0" w:color="auto"/>
              <w:left w:val="nil"/>
              <w:bottom w:val="nil"/>
              <w:right w:val="nil"/>
            </w:tcBorders>
            <w:vAlign w:val="center"/>
            <w:hideMark/>
          </w:tcPr>
          <w:p w14:paraId="2020C8C8" w14:textId="77777777" w:rsidR="00F40728" w:rsidRPr="002A36EE" w:rsidRDefault="00F40728" w:rsidP="00F40728">
            <w:pPr>
              <w:spacing w:after="0" w:line="240" w:lineRule="auto"/>
              <w:rPr>
                <w:rFonts w:cs="Times New Roman"/>
                <w:b/>
                <w:bCs/>
                <w:color w:val="000000"/>
                <w:sz w:val="20"/>
                <w:szCs w:val="20"/>
              </w:rPr>
            </w:pPr>
          </w:p>
        </w:tc>
        <w:tc>
          <w:tcPr>
            <w:tcW w:w="333" w:type="dxa"/>
            <w:tcBorders>
              <w:top w:val="nil"/>
              <w:left w:val="nil"/>
              <w:bottom w:val="nil"/>
              <w:right w:val="nil"/>
            </w:tcBorders>
            <w:shd w:val="clear" w:color="auto" w:fill="auto"/>
            <w:noWrap/>
            <w:vAlign w:val="bottom"/>
            <w:hideMark/>
          </w:tcPr>
          <w:p w14:paraId="24C3521C" w14:textId="77777777" w:rsidR="00F40728" w:rsidRPr="002A36EE" w:rsidRDefault="00F40728" w:rsidP="00F40728">
            <w:pPr>
              <w:spacing w:after="0" w:line="240" w:lineRule="auto"/>
              <w:rPr>
                <w:rFonts w:cs="Times New Roman"/>
                <w:sz w:val="20"/>
                <w:szCs w:val="20"/>
              </w:rPr>
            </w:pPr>
          </w:p>
        </w:tc>
      </w:tr>
      <w:tr w:rsidR="00F40728" w:rsidRPr="002A36EE" w14:paraId="4CF4B53C" w14:textId="77777777" w:rsidTr="00F40728">
        <w:trPr>
          <w:trHeight w:val="286"/>
        </w:trPr>
        <w:tc>
          <w:tcPr>
            <w:tcW w:w="9114" w:type="dxa"/>
            <w:gridSpan w:val="4"/>
            <w:vMerge/>
            <w:tcBorders>
              <w:top w:val="single" w:sz="4" w:space="0" w:color="auto"/>
              <w:left w:val="nil"/>
              <w:bottom w:val="nil"/>
              <w:right w:val="nil"/>
            </w:tcBorders>
            <w:vAlign w:val="center"/>
            <w:hideMark/>
          </w:tcPr>
          <w:p w14:paraId="363F8A86" w14:textId="77777777" w:rsidR="00F40728" w:rsidRPr="002A36EE" w:rsidRDefault="00F40728" w:rsidP="00F40728">
            <w:pPr>
              <w:spacing w:after="0" w:line="240" w:lineRule="auto"/>
              <w:rPr>
                <w:rFonts w:cs="Times New Roman"/>
                <w:b/>
                <w:bCs/>
                <w:color w:val="000000"/>
                <w:sz w:val="20"/>
                <w:szCs w:val="20"/>
              </w:rPr>
            </w:pPr>
          </w:p>
        </w:tc>
        <w:tc>
          <w:tcPr>
            <w:tcW w:w="333" w:type="dxa"/>
            <w:tcBorders>
              <w:top w:val="nil"/>
              <w:left w:val="nil"/>
              <w:bottom w:val="nil"/>
              <w:right w:val="nil"/>
            </w:tcBorders>
            <w:shd w:val="clear" w:color="auto" w:fill="auto"/>
            <w:noWrap/>
            <w:vAlign w:val="bottom"/>
            <w:hideMark/>
          </w:tcPr>
          <w:p w14:paraId="3EB1FAF1" w14:textId="77777777" w:rsidR="00F40728" w:rsidRPr="002A36EE" w:rsidRDefault="00F40728" w:rsidP="00F40728">
            <w:pPr>
              <w:spacing w:after="0" w:line="240" w:lineRule="auto"/>
              <w:rPr>
                <w:rFonts w:cs="Times New Roman"/>
                <w:sz w:val="20"/>
                <w:szCs w:val="20"/>
              </w:rPr>
            </w:pPr>
          </w:p>
        </w:tc>
      </w:tr>
    </w:tbl>
    <w:p w14:paraId="4E2493A2" w14:textId="29F0E241" w:rsidR="00680430" w:rsidRPr="002A36EE" w:rsidRDefault="00D02348">
      <w:pPr>
        <w:spacing w:after="120"/>
        <w:jc w:val="both"/>
        <w:rPr>
          <w:rFonts w:cs="Times New Roman"/>
        </w:rPr>
      </w:pPr>
      <w:r w:rsidRPr="002A36EE">
        <w:rPr>
          <w:rFonts w:cs="Times New Roman"/>
        </w:rPr>
        <w:t>The coefficients in Panels</w:t>
      </w:r>
      <w:r w:rsidR="006474AD" w:rsidRPr="002A36EE">
        <w:rPr>
          <w:rFonts w:cs="Times New Roman"/>
        </w:rPr>
        <w:t xml:space="preserve"> </w:t>
      </w:r>
      <w:r w:rsidRPr="002A36EE">
        <w:rPr>
          <w:rFonts w:cs="Times New Roman"/>
        </w:rPr>
        <w:t>A and</w:t>
      </w:r>
      <w:r w:rsidR="006474AD" w:rsidRPr="002A36EE">
        <w:rPr>
          <w:rFonts w:cs="Times New Roman"/>
        </w:rPr>
        <w:t xml:space="preserve"> </w:t>
      </w:r>
      <w:r w:rsidRPr="002A36EE">
        <w:rPr>
          <w:rFonts w:cs="Times New Roman"/>
        </w:rPr>
        <w:t>B are interpreted differently. Panel</w:t>
      </w:r>
      <w:r w:rsidR="006474AD" w:rsidRPr="002A36EE">
        <w:rPr>
          <w:rFonts w:cs="Times New Roman"/>
        </w:rPr>
        <w:t xml:space="preserve"> </w:t>
      </w:r>
      <w:r w:rsidRPr="002A36EE">
        <w:rPr>
          <w:rFonts w:cs="Times New Roman"/>
        </w:rPr>
        <w:t>A reports the first-stage response of imports to changes in tariff-inclusive prices: the negative sign means that lower tariff-inclusive prices lead firms to import more from Europe. Panel</w:t>
      </w:r>
      <w:r w:rsidR="006474AD" w:rsidRPr="002A36EE">
        <w:rPr>
          <w:rFonts w:cs="Times New Roman"/>
        </w:rPr>
        <w:t xml:space="preserve"> </w:t>
      </w:r>
      <w:r w:rsidRPr="002A36EE">
        <w:rPr>
          <w:rFonts w:cs="Times New Roman"/>
        </w:rPr>
        <w:t>B reports the effects of treaty-induced import growth on firm outcomes. There, the coefficients can be interpreted as elasticities: for example, a coefficient of 0.19 means that a 10 percent treaty-induced increase in imports from Europe is associated with about a 1.9 percent increase in the outcome under study.</w:t>
      </w:r>
    </w:p>
    <w:p w14:paraId="6C4097B9"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Import Response</w:t>
      </w:r>
    </w:p>
    <w:p w14:paraId="0509874D" w14:textId="77777777" w:rsidR="00680430" w:rsidRPr="002A36EE" w:rsidRDefault="00D02348">
      <w:pPr>
        <w:spacing w:after="120"/>
        <w:jc w:val="both"/>
        <w:rPr>
          <w:rFonts w:cs="Times New Roman"/>
        </w:rPr>
      </w:pPr>
      <w:r w:rsidRPr="002A36EE">
        <w:rPr>
          <w:rFonts w:cs="Times New Roman"/>
        </w:rPr>
        <w:t xml:space="preserve">The first result is that tariff reductions did change firms' sourcing patterns. The first-stage estimates are negative in every year and become more pronounced over time. In 2017, a 1 percent fall in tariff-inclusive import prices is associated with an increase of about 4.3 percent in imports from Europe. By 2023, the corresponding response is about 8.4 percent. This pattern suggests that firms did not reorganize their sourcing strategies all at once. Instead, the import response strengthened over time as the tariff-cut schedule unfolded and firms progressively adjusted their procurement decisions. This gradual response is consistent with the broader literature, which emphasizes that firms typically need time to search for suppliers, adapt product mix, and reorganize sourcing relationships after trade costs change (Goldberg et al., 2010; Head &amp; Ries, 1999; Bas &amp; </w:t>
      </w:r>
      <w:proofErr w:type="spellStart"/>
      <w:r w:rsidRPr="002A36EE">
        <w:rPr>
          <w:rFonts w:cs="Times New Roman"/>
        </w:rPr>
        <w:t>Ledezma</w:t>
      </w:r>
      <w:proofErr w:type="spellEnd"/>
      <w:r w:rsidRPr="002A36EE">
        <w:rPr>
          <w:rFonts w:cs="Times New Roman"/>
        </w:rPr>
        <w:t>, 2020).</w:t>
      </w:r>
    </w:p>
    <w:p w14:paraId="59984872"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Input Use and Production Structure</w:t>
      </w:r>
    </w:p>
    <w:p w14:paraId="42203573" w14:textId="77777777" w:rsidR="00680430" w:rsidRPr="002A36EE" w:rsidRDefault="00D02348">
      <w:pPr>
        <w:spacing w:after="120"/>
        <w:jc w:val="both"/>
        <w:rPr>
          <w:rFonts w:cs="Times New Roman"/>
        </w:rPr>
      </w:pPr>
      <w:r w:rsidRPr="002A36EE">
        <w:rPr>
          <w:rFonts w:cs="Times New Roman"/>
        </w:rPr>
        <w:t>Among firm-level performance outcomes, material costs provide the clearest evidence of adjustment. In the first year after implementation, the estimated effect is close to zero. By 2023, however, the estimate is positive, economically meaningful, and statistically precise. Our preferred instrumental-variables estimate implies that a 10 percent treaty-induced increase in imports from Europe is associated with a 1.9 percent increase in real material costs.</w:t>
      </w:r>
    </w:p>
    <w:p w14:paraId="68AF562A" w14:textId="77777777" w:rsidR="00680430" w:rsidRPr="002A36EE" w:rsidRDefault="00D02348">
      <w:pPr>
        <w:spacing w:after="120"/>
        <w:jc w:val="both"/>
        <w:rPr>
          <w:rFonts w:cs="Times New Roman"/>
        </w:rPr>
      </w:pPr>
      <w:r w:rsidRPr="002A36EE">
        <w:rPr>
          <w:rFonts w:cs="Times New Roman"/>
        </w:rPr>
        <w:t>This result requires a careful interpretation. It does not mean that imported inputs became more expensive after tariffs fell. Our material-cost variable captures firms' total real spending on materials, not the price paid per unit of input. For that reason, a positive effect is fully consistent with lower input prices if firms respond by expanding production and purchasing more materials. In other words, the agreement may have reduced the cost of importing inputs while still increasing firms' overall materials bills because firms were operating at a larger scale.</w:t>
      </w:r>
    </w:p>
    <w:p w14:paraId="29897DD9" w14:textId="77777777" w:rsidR="00680430" w:rsidRPr="002A36EE" w:rsidRDefault="00D02348">
      <w:pPr>
        <w:spacing w:after="120"/>
        <w:jc w:val="both"/>
        <w:rPr>
          <w:rFonts w:cs="Times New Roman"/>
        </w:rPr>
      </w:pPr>
      <w:r w:rsidRPr="002A36EE">
        <w:rPr>
          <w:rFonts w:cs="Times New Roman"/>
        </w:rPr>
        <w:t>This interpretation is consistent with the broader literature. Head and Ries (1999) show that tariff reductions can affect firms through a scale channel, with output and input demand rising together as firms reorganize production. Likewise, the literature on imported intermediates finds that easier access to foreign inputs can expand firms' use of materials, improve product quality, and support higher sales and production over time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Halpern et al., 2015; Pane &amp; </w:t>
      </w:r>
      <w:proofErr w:type="spellStart"/>
      <w:r w:rsidRPr="002A36EE">
        <w:rPr>
          <w:rFonts w:cs="Times New Roman"/>
        </w:rPr>
        <w:t>Patunru</w:t>
      </w:r>
      <w:proofErr w:type="spellEnd"/>
      <w:r w:rsidRPr="002A36EE">
        <w:rPr>
          <w:rFonts w:cs="Times New Roman"/>
        </w:rPr>
        <w:t>, 2023). Read in that light, the positive effect on material costs is not evidence against gains from trade. It is evidence that the agreement first affected firms through input use and production scale rather than through an immediate fall in total spending on materials.</w:t>
      </w:r>
    </w:p>
    <w:p w14:paraId="1AADB996" w14:textId="11300E48" w:rsidR="00680430" w:rsidRPr="002A36EE" w:rsidRDefault="00D02348">
      <w:pPr>
        <w:spacing w:after="120"/>
        <w:jc w:val="both"/>
        <w:rPr>
          <w:rFonts w:cs="Times New Roman"/>
        </w:rPr>
      </w:pPr>
      <w:r w:rsidRPr="002A36EE">
        <w:rPr>
          <w:rFonts w:cs="Times New Roman"/>
        </w:rPr>
        <w:t>To corroborate this interpretation, we analyze the effect of imports on sales. In general, sales move in the same direction, although more gradually. By 2023, a 10 percent treaty-induced increase in imports from Europe is associated with a 1.3 percent increase in sales. Taken together, the results for materials and sales suggest that the clearest effects of the agreement within the sample window were not on broad efficiency indicators, but on firms' sourcing decisions and production scale. This is consistent with the literature on imported inputs, which emphasizes that trade liberalization often first affects the quantity and composition of inputs used in production before broader efficiency gains become visible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Halpern et al., 2015). It is also consistent with the symmetric </w:t>
      </w:r>
      <w:r w:rsidRPr="002A36EE">
        <w:rPr>
          <w:rFonts w:cs="Times New Roman"/>
        </w:rPr>
        <w:lastRenderedPageBreak/>
        <w:t>results found by Uribe-</w:t>
      </w:r>
      <w:proofErr w:type="spellStart"/>
      <w:r w:rsidRPr="002A36EE">
        <w:rPr>
          <w:rFonts w:cs="Times New Roman"/>
        </w:rPr>
        <w:t>Terán</w:t>
      </w:r>
      <w:proofErr w:type="spellEnd"/>
      <w:r w:rsidRPr="002A36EE">
        <w:rPr>
          <w:rFonts w:cs="Times New Roman"/>
        </w:rPr>
        <w:t xml:space="preserve"> et al. (2025), who identify negative scale effects, </w:t>
      </w:r>
      <w:r w:rsidR="007B3DAB" w:rsidRPr="002A36EE">
        <w:rPr>
          <w:rFonts w:cs="Times New Roman"/>
        </w:rPr>
        <w:t xml:space="preserve">i.e., a reduction </w:t>
      </w:r>
      <w:r w:rsidRPr="002A36EE">
        <w:rPr>
          <w:rFonts w:cs="Times New Roman"/>
        </w:rPr>
        <w:t>in material costs and in sales, following the implementation of safeguard import tariffs in Ecuador between 2</w:t>
      </w:r>
      <w:r w:rsidR="0012485C" w:rsidRPr="002A36EE">
        <w:rPr>
          <w:rFonts w:cs="Times New Roman"/>
        </w:rPr>
        <w:t>015–2017</w:t>
      </w:r>
      <w:r w:rsidRPr="002A36EE">
        <w:rPr>
          <w:rFonts w:cs="Times New Roman"/>
        </w:rPr>
        <w:t>.</w:t>
      </w:r>
    </w:p>
    <w:p w14:paraId="15B57B79"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Employment and Wages</w:t>
      </w:r>
    </w:p>
    <w:p w14:paraId="6E4E8B79" w14:textId="77777777" w:rsidR="00680430" w:rsidRPr="002A36EE" w:rsidRDefault="00D02348">
      <w:pPr>
        <w:spacing w:after="120"/>
        <w:jc w:val="both"/>
        <w:rPr>
          <w:rFonts w:cs="Times New Roman"/>
        </w:rPr>
      </w:pPr>
      <w:r w:rsidRPr="002A36EE">
        <w:rPr>
          <w:rFonts w:cs="Times New Roman"/>
        </w:rPr>
        <w:t>The labor results are more mixed. Wages do not show a stable effect over time. The 2017 estimate is positive but only weakly precise, and by 2023 the effect is small and no longer clearly distinguishable from zero. This makes it difficult to argue that the agreement resulted in higher labor costs during the period covered by the data.</w:t>
      </w:r>
    </w:p>
    <w:p w14:paraId="56499BD7" w14:textId="77777777" w:rsidR="00680430" w:rsidRPr="002A36EE" w:rsidRDefault="00D02348">
      <w:pPr>
        <w:spacing w:after="120"/>
        <w:jc w:val="both"/>
        <w:rPr>
          <w:rFonts w:cs="Times New Roman"/>
        </w:rPr>
      </w:pPr>
      <w:r w:rsidRPr="002A36EE">
        <w:rPr>
          <w:rFonts w:cs="Times New Roman"/>
        </w:rPr>
        <w:t>Employment, by contrast, shows a different pattern. There is essentially no effect in 2017, but by 2023 the estimate becomes positive and statistically precise. The implied magnitude is economically meaningful: a 10 percent treaty-induced increase in imports from Europe is associated with about a 2.1 percent increase in employment. The contrast between wages and employment suggests that the labor response operated more through the quantity of labor than through average labor compensation.</w:t>
      </w:r>
    </w:p>
    <w:p w14:paraId="60EC5CBF" w14:textId="77777777" w:rsidR="00680430" w:rsidRPr="002A36EE" w:rsidRDefault="00D02348">
      <w:pPr>
        <w:spacing w:after="120"/>
        <w:jc w:val="both"/>
        <w:rPr>
          <w:rFonts w:cs="Times New Roman"/>
        </w:rPr>
      </w:pPr>
      <w:r w:rsidRPr="002A36EE">
        <w:rPr>
          <w:rFonts w:cs="Times New Roman"/>
        </w:rPr>
        <w:t xml:space="preserve">This pattern is also consistent with a scale-based interpretation of firm adjustment. If improved access to imported inputs allows firms to expand production, employment may rise even if wages change little in the short run. More generally, the trade literature has long emphasized that the effects of liberalization on labor outcomes are heterogeneous and may work through different margins, including firm expansion, selection, and reorganization (Melitz &amp; Redding, 2014; Goldberg &amp; </w:t>
      </w:r>
      <w:proofErr w:type="spellStart"/>
      <w:r w:rsidRPr="002A36EE">
        <w:rPr>
          <w:rFonts w:cs="Times New Roman"/>
        </w:rPr>
        <w:t>Pavcnik</w:t>
      </w:r>
      <w:proofErr w:type="spellEnd"/>
      <w:r w:rsidRPr="002A36EE">
        <w:rPr>
          <w:rFonts w:cs="Times New Roman"/>
        </w:rPr>
        <w:t>, 2016). In that sense, the employment result fits the broader pattern documented in this section: the agreement appears first to have changed production scale rather than immediately raising average compensation.</w:t>
      </w:r>
    </w:p>
    <w:p w14:paraId="66AEFCD3" w14:textId="77777777" w:rsidR="00680430" w:rsidRPr="002A36EE" w:rsidRDefault="00D02348">
      <w:pPr>
        <w:pStyle w:val="Heading2"/>
        <w:rPr>
          <w:rFonts w:ascii="Times New Roman" w:hAnsi="Times New Roman" w:cs="Times New Roman"/>
        </w:rPr>
      </w:pPr>
      <w:r w:rsidRPr="002A36EE">
        <w:rPr>
          <w:rFonts w:ascii="Times New Roman" w:eastAsia="Times New Roman" w:hAnsi="Times New Roman" w:cs="Times New Roman"/>
        </w:rPr>
        <w:t>Productivity and Value Added</w:t>
      </w:r>
    </w:p>
    <w:p w14:paraId="62262B01" w14:textId="77777777" w:rsidR="00680430" w:rsidRPr="002A36EE" w:rsidRDefault="00D02348">
      <w:pPr>
        <w:spacing w:after="120"/>
        <w:jc w:val="both"/>
        <w:rPr>
          <w:rFonts w:cs="Times New Roman"/>
        </w:rPr>
      </w:pPr>
      <w:r w:rsidRPr="002A36EE">
        <w:rPr>
          <w:rFonts w:cs="Times New Roman"/>
        </w:rPr>
        <w:t>The results for productivity and value added are more ambiguous. Value added is positive in both 2017 and 2023, but the estimates are not precise enough to support a clear conclusion within the sample window. Measured productivity shows no stable pattern either: the point estimate is slightly negative in 2017 and slightly positive in 2023, but neither estimate provides evidence of a robust short-run gain.</w:t>
      </w:r>
    </w:p>
    <w:p w14:paraId="6D4CA4F8" w14:textId="77777777" w:rsidR="00680430" w:rsidRPr="002A36EE" w:rsidRDefault="00D02348">
      <w:pPr>
        <w:spacing w:after="120"/>
        <w:jc w:val="both"/>
        <w:rPr>
          <w:rFonts w:cs="Times New Roman"/>
        </w:rPr>
      </w:pPr>
      <w:r w:rsidRPr="002A36EE">
        <w:rPr>
          <w:rFonts w:cs="Times New Roman"/>
        </w:rPr>
        <w:t>This is an important substantive finding. The agreement does not appear to have generated immediate improvements in measured efficiency, at least not within the period covered by the data. But this pattern is not inconsistent with the literature on trade liberalization and imported intermediates. A central result of that literature is that access to foreign inputs can first affect sourcing, input variety, quality, and production scale, while gains in measured productivity may appear only later as firms learn, adapt, and reorganize their production processes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w:t>
      </w:r>
      <w:proofErr w:type="spellStart"/>
      <w:r w:rsidRPr="002A36EE">
        <w:rPr>
          <w:rFonts w:cs="Times New Roman"/>
        </w:rPr>
        <w:t>Topalova</w:t>
      </w:r>
      <w:proofErr w:type="spellEnd"/>
      <w:r w:rsidRPr="002A36EE">
        <w:rPr>
          <w:rFonts w:cs="Times New Roman"/>
        </w:rPr>
        <w:t xml:space="preserve"> &amp; Khandelwal, 2011; Halpern et al., 2015; De </w:t>
      </w:r>
      <w:proofErr w:type="spellStart"/>
      <w:r w:rsidRPr="002A36EE">
        <w:rPr>
          <w:rFonts w:cs="Times New Roman"/>
        </w:rPr>
        <w:t>Loecker</w:t>
      </w:r>
      <w:proofErr w:type="spellEnd"/>
      <w:r w:rsidRPr="002A36EE">
        <w:rPr>
          <w:rFonts w:cs="Times New Roman"/>
        </w:rPr>
        <w:t xml:space="preserve"> et al., 2016). Our results fit that sequence. The main effects that can be identified more clearly are those linked to firms' imports, material use, sales, and, later on, employment.</w:t>
      </w:r>
    </w:p>
    <w:p w14:paraId="3061B59B" w14:textId="5EC7D66C" w:rsidR="00680430" w:rsidRPr="002A36EE" w:rsidRDefault="00E82058">
      <w:pPr>
        <w:pStyle w:val="Heading1"/>
        <w:rPr>
          <w:rFonts w:ascii="Times New Roman" w:hAnsi="Times New Roman" w:cs="Times New Roman"/>
        </w:rPr>
      </w:pPr>
      <w:r w:rsidRPr="002A36EE">
        <w:rPr>
          <w:rFonts w:ascii="Times New Roman" w:hAnsi="Times New Roman" w:cs="Times New Roman"/>
        </w:rPr>
        <w:t>Conclusions</w:t>
      </w:r>
    </w:p>
    <w:p w14:paraId="338066B3" w14:textId="7B2A6D49" w:rsidR="007970CC" w:rsidRPr="002A36EE" w:rsidRDefault="007970CC" w:rsidP="007970CC">
      <w:pPr>
        <w:spacing w:after="120"/>
        <w:jc w:val="both"/>
        <w:rPr>
          <w:rFonts w:cs="Times New Roman"/>
        </w:rPr>
      </w:pPr>
      <w:r w:rsidRPr="002A36EE">
        <w:rPr>
          <w:rFonts w:cs="Times New Roman"/>
        </w:rPr>
        <w:t>The central finding of this chapter is that the EU–Ecuador Trade Agreement produced meaningful domestic effects, but those effects emerged gradually. The agreement did not generate a sudden and uniform opening. Instead, it introduced a phased reduction of Ecuador’s tariffs on European goods, with substantial variation across products and over time. Firms were therefore not exposed to the full effects of the agreement when it entered into force in 2017; they entered an adjustment process whose consequences accumulated as the tariff schedule was implemented.</w:t>
      </w:r>
    </w:p>
    <w:p w14:paraId="2D6F342A" w14:textId="722471B0" w:rsidR="007970CC" w:rsidRPr="002A36EE" w:rsidRDefault="007970CC" w:rsidP="007970CC">
      <w:pPr>
        <w:spacing w:after="120"/>
        <w:jc w:val="both"/>
        <w:rPr>
          <w:rFonts w:cs="Times New Roman"/>
        </w:rPr>
      </w:pPr>
      <w:r w:rsidRPr="002A36EE">
        <w:rPr>
          <w:rFonts w:cs="Times New Roman"/>
        </w:rPr>
        <w:t xml:space="preserve">The sequence of results is consistent with this gradual process. Firms more exposed to tariff reductions first increased their imports from Europe and subsequently expanded their use of materials, sales, and </w:t>
      </w:r>
      <w:r w:rsidRPr="002A36EE">
        <w:rPr>
          <w:rFonts w:cs="Times New Roman"/>
        </w:rPr>
        <w:lastRenderedPageBreak/>
        <w:t>employment. By contrast, we find no robust evidence of productivity gains within the period studied. These findings suggest that improved access to imported goods initially affected sourcing decisions and production scale rather than immediately transforming measured efficiency. This pattern is consistent with previous research showing that firms require time to identify suppliers, assess input quality, reorganize production, and learn how to use imported inputs effectively (</w:t>
      </w:r>
      <w:proofErr w:type="spellStart"/>
      <w:r w:rsidRPr="002A36EE">
        <w:rPr>
          <w:rFonts w:cs="Times New Roman"/>
        </w:rPr>
        <w:t>Amiti</w:t>
      </w:r>
      <w:proofErr w:type="spellEnd"/>
      <w:r w:rsidRPr="002A36EE">
        <w:rPr>
          <w:rFonts w:cs="Times New Roman"/>
        </w:rPr>
        <w:t xml:space="preserve"> &amp; </w:t>
      </w:r>
      <w:proofErr w:type="spellStart"/>
      <w:r w:rsidRPr="002A36EE">
        <w:rPr>
          <w:rFonts w:cs="Times New Roman"/>
        </w:rPr>
        <w:t>Konings</w:t>
      </w:r>
      <w:proofErr w:type="spellEnd"/>
      <w:r w:rsidRPr="002A36EE">
        <w:rPr>
          <w:rFonts w:cs="Times New Roman"/>
        </w:rPr>
        <w:t xml:space="preserve">, 2007; Goldberg et al., 2010; Halpern et al., 2015; Bas &amp; </w:t>
      </w:r>
      <w:proofErr w:type="spellStart"/>
      <w:r w:rsidRPr="002A36EE">
        <w:rPr>
          <w:rFonts w:cs="Times New Roman"/>
        </w:rPr>
        <w:t>Ledezma</w:t>
      </w:r>
      <w:proofErr w:type="spellEnd"/>
      <w:r w:rsidRPr="002A36EE">
        <w:rPr>
          <w:rFonts w:cs="Times New Roman"/>
        </w:rPr>
        <w:t>, 2020).</w:t>
      </w:r>
    </w:p>
    <w:p w14:paraId="56CA1D32" w14:textId="784B0C51" w:rsidR="007970CC" w:rsidRPr="002A36EE" w:rsidRDefault="007970CC" w:rsidP="007970CC">
      <w:pPr>
        <w:spacing w:after="120"/>
        <w:jc w:val="both"/>
        <w:rPr>
          <w:rFonts w:cs="Times New Roman"/>
        </w:rPr>
      </w:pPr>
      <w:r w:rsidRPr="002A36EE">
        <w:rPr>
          <w:rFonts w:cs="Times New Roman"/>
        </w:rPr>
        <w:t>The gradual character of these effects also has an important political economy implication. Trade agreements are often evaluated soon after they enter into force, when their domestic consequences may still be limited or difficult to observe. The Ecuadorian case shows that an apparently modest initial response can coexist with a deeper adjustment process already underway inside firms. Political debates may demand immediate evidence of gains or losses, while firms respond through slower processes of sourcing, adaptation, and production reorganization.</w:t>
      </w:r>
    </w:p>
    <w:p w14:paraId="79ED633E" w14:textId="64D8E3FA" w:rsidR="007970CC" w:rsidRPr="002A36EE" w:rsidRDefault="007970CC" w:rsidP="007970CC">
      <w:pPr>
        <w:spacing w:after="120"/>
        <w:jc w:val="both"/>
        <w:rPr>
          <w:rFonts w:cs="Times New Roman"/>
        </w:rPr>
      </w:pPr>
      <w:r w:rsidRPr="002A36EE">
        <w:rPr>
          <w:rFonts w:cs="Times New Roman"/>
        </w:rPr>
        <w:t xml:space="preserve">Ecuador’s experience also illustrates the broader consequences of moving from unilateral trade preferences to reciprocal agreements with the European Union. The agreement preserved Ecuador’s access to the European market, but it also progressively altered domestic firms’ access to European goods. Its most visible early effects therefore appeared on the import side rather than through a dramatic expansion of exports. For other developing economies facing the loss of nonreciprocal preferences, the relevant question is not only whether exporters retain access to Europe, but also how reciprocity changes domestic sourcing and production over time (Borchert &amp; Di Ubaldo, 2024; </w:t>
      </w:r>
      <w:r w:rsidR="00546F53" w:rsidRPr="002A36EE">
        <w:rPr>
          <w:rFonts w:cs="Times New Roman"/>
        </w:rPr>
        <w:t xml:space="preserve">López González &amp; </w:t>
      </w:r>
      <w:proofErr w:type="spellStart"/>
      <w:r w:rsidR="00546F53" w:rsidRPr="002A36EE">
        <w:rPr>
          <w:rFonts w:cs="Times New Roman"/>
        </w:rPr>
        <w:t>Gasiorek</w:t>
      </w:r>
      <w:proofErr w:type="spellEnd"/>
      <w:r w:rsidRPr="002A36EE">
        <w:rPr>
          <w:rFonts w:cs="Times New Roman"/>
        </w:rPr>
        <w:t>, 2011).</w:t>
      </w:r>
    </w:p>
    <w:p w14:paraId="2EC0D86B" w14:textId="199806D6" w:rsidR="00680430" w:rsidRPr="002A36EE" w:rsidRDefault="007970CC" w:rsidP="007970CC">
      <w:pPr>
        <w:spacing w:after="120"/>
        <w:jc w:val="both"/>
        <w:rPr>
          <w:rFonts w:cs="Times New Roman"/>
        </w:rPr>
      </w:pPr>
      <w:r w:rsidRPr="002A36EE">
        <w:rPr>
          <w:rFonts w:cs="Times New Roman"/>
        </w:rPr>
        <w:t>The scope of the chapter should nevertheless be stated carefully. Our empirical strategy identifies the effects of improved access to European imports among firms positioned to benefit from tariff reductions. It does not establish the complete distribution of gains and losses under the agreement, particularly among firms facing stronger import competition or firms affected indirectly through domestic production networks. Examining those margins remains an important task for future research. Even with this limitation, the evidence shows that Ecuador’s transition from preferences to reciprocity was more than a legal or diplomatic change: it altered firms’ sourcing and production decisions, with effects that became visible gradually rather than immediately</w:t>
      </w:r>
      <w:r w:rsidR="00D02348" w:rsidRPr="002A36EE">
        <w:rPr>
          <w:rFonts w:cs="Times New Roman"/>
        </w:rPr>
        <w:t>.</w:t>
      </w:r>
    </w:p>
    <w:p w14:paraId="373B5CCF" w14:textId="77777777" w:rsidR="00680430" w:rsidRPr="002A36EE" w:rsidRDefault="00D02348">
      <w:pPr>
        <w:rPr>
          <w:rFonts w:cs="Times New Roman"/>
        </w:rPr>
      </w:pPr>
      <w:r w:rsidRPr="002A36EE">
        <w:rPr>
          <w:rFonts w:cs="Times New Roman"/>
        </w:rPr>
        <w:br w:type="page"/>
      </w:r>
    </w:p>
    <w:p w14:paraId="1CC44AD9" w14:textId="72C099CE" w:rsidR="005A0300" w:rsidRPr="002A36EE" w:rsidRDefault="00D02348" w:rsidP="005A0300">
      <w:pPr>
        <w:pStyle w:val="Heading1"/>
        <w:rPr>
          <w:rFonts w:ascii="Times New Roman" w:hAnsi="Times New Roman" w:cs="Times New Roman"/>
        </w:rPr>
      </w:pPr>
      <w:r w:rsidRPr="002A36EE">
        <w:rPr>
          <w:rFonts w:ascii="Times New Roman" w:eastAsia="Times New Roman" w:hAnsi="Times New Roman" w:cs="Times New Roman"/>
        </w:rPr>
        <w:lastRenderedPageBreak/>
        <w:t>References</w:t>
      </w:r>
    </w:p>
    <w:p w14:paraId="317820D4" w14:textId="77777777" w:rsidR="005A0300" w:rsidRPr="002A36EE" w:rsidRDefault="005A0300" w:rsidP="004D5711">
      <w:pPr>
        <w:keepLines/>
        <w:spacing w:after="0" w:line="360" w:lineRule="auto"/>
        <w:ind w:left="720" w:hanging="720"/>
        <w:rPr>
          <w:rFonts w:cs="Times New Roman"/>
        </w:rPr>
      </w:pPr>
      <w:proofErr w:type="spellStart"/>
      <w:r w:rsidRPr="002A36EE">
        <w:rPr>
          <w:rFonts w:cs="Times New Roman"/>
          <w:sz w:val="24"/>
        </w:rPr>
        <w:t>Amiti</w:t>
      </w:r>
      <w:proofErr w:type="spellEnd"/>
      <w:r w:rsidRPr="002A36EE">
        <w:rPr>
          <w:rFonts w:cs="Times New Roman"/>
          <w:sz w:val="24"/>
        </w:rPr>
        <w:t xml:space="preserve">, M., &amp; </w:t>
      </w:r>
      <w:proofErr w:type="spellStart"/>
      <w:r w:rsidRPr="002A36EE">
        <w:rPr>
          <w:rFonts w:cs="Times New Roman"/>
          <w:sz w:val="24"/>
        </w:rPr>
        <w:t>Konings</w:t>
      </w:r>
      <w:proofErr w:type="spellEnd"/>
      <w:r w:rsidRPr="002A36EE">
        <w:rPr>
          <w:rFonts w:cs="Times New Roman"/>
          <w:sz w:val="24"/>
        </w:rPr>
        <w:t xml:space="preserve">, J. (2007). Trade liberalization, intermediate inputs, and productivity: Evidence from Indonesia. </w:t>
      </w:r>
      <w:r w:rsidRPr="002A36EE">
        <w:rPr>
          <w:rFonts w:cs="Times New Roman"/>
          <w:i/>
          <w:sz w:val="24"/>
        </w:rPr>
        <w:t>American Economic Review, 97</w:t>
      </w:r>
      <w:r w:rsidRPr="002A36EE">
        <w:rPr>
          <w:rFonts w:cs="Times New Roman"/>
          <w:sz w:val="24"/>
        </w:rPr>
        <w:t xml:space="preserve">(5), 1611–1638. </w:t>
      </w:r>
      <w:hyperlink r:id="rId19">
        <w:r w:rsidRPr="002A36EE">
          <w:rPr>
            <w:rFonts w:cs="Times New Roman"/>
            <w:color w:val="0563C1"/>
            <w:sz w:val="24"/>
            <w:u w:val="single"/>
          </w:rPr>
          <w:t>https://doi.org/10.1257/aer.97.5.1611</w:t>
        </w:r>
      </w:hyperlink>
    </w:p>
    <w:p w14:paraId="68902F1E" w14:textId="77777777" w:rsidR="005A0300" w:rsidRPr="002A36EE" w:rsidRDefault="005A0300" w:rsidP="004D5711">
      <w:pPr>
        <w:keepLines/>
        <w:spacing w:after="0" w:line="360" w:lineRule="auto"/>
        <w:ind w:left="720" w:hanging="720"/>
        <w:rPr>
          <w:rFonts w:cs="Times New Roman"/>
        </w:rPr>
      </w:pPr>
      <w:proofErr w:type="spellStart"/>
      <w:r w:rsidRPr="002A36EE">
        <w:rPr>
          <w:rFonts w:cs="Times New Roman"/>
          <w:sz w:val="24"/>
        </w:rPr>
        <w:t>Barattieri</w:t>
      </w:r>
      <w:proofErr w:type="spellEnd"/>
      <w:r w:rsidRPr="002A36EE">
        <w:rPr>
          <w:rFonts w:cs="Times New Roman"/>
          <w:sz w:val="24"/>
        </w:rPr>
        <w:t xml:space="preserve">, A., &amp; Cacciatore, M. (2023). Self-harming trade policy? Protectionism and production networks. </w:t>
      </w:r>
      <w:r w:rsidRPr="002A36EE">
        <w:rPr>
          <w:rFonts w:cs="Times New Roman"/>
          <w:i/>
          <w:sz w:val="24"/>
        </w:rPr>
        <w:t>American Economic Journal: Macroeconomics, 15</w:t>
      </w:r>
      <w:r w:rsidRPr="002A36EE">
        <w:rPr>
          <w:rFonts w:cs="Times New Roman"/>
          <w:sz w:val="24"/>
        </w:rPr>
        <w:t xml:space="preserve">(2), 97–128. </w:t>
      </w:r>
      <w:hyperlink r:id="rId20">
        <w:r w:rsidRPr="002A36EE">
          <w:rPr>
            <w:rFonts w:cs="Times New Roman"/>
            <w:color w:val="0563C1"/>
            <w:sz w:val="24"/>
            <w:u w:val="single"/>
          </w:rPr>
          <w:t>https://doi.org/10.1257/mac.20190445</w:t>
        </w:r>
      </w:hyperlink>
    </w:p>
    <w:p w14:paraId="7E6C8463"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Bas, M., &amp; </w:t>
      </w:r>
      <w:proofErr w:type="spellStart"/>
      <w:r w:rsidRPr="002A36EE">
        <w:rPr>
          <w:rFonts w:cs="Times New Roman"/>
          <w:sz w:val="24"/>
        </w:rPr>
        <w:t>Ledezma</w:t>
      </w:r>
      <w:proofErr w:type="spellEnd"/>
      <w:r w:rsidRPr="002A36EE">
        <w:rPr>
          <w:rFonts w:cs="Times New Roman"/>
          <w:sz w:val="24"/>
        </w:rPr>
        <w:t xml:space="preserve">, I. (2020). Trade liberalization and heterogeneous firms’ adjustments: Evidence from India. </w:t>
      </w:r>
      <w:r w:rsidRPr="002A36EE">
        <w:rPr>
          <w:rFonts w:cs="Times New Roman"/>
          <w:i/>
          <w:sz w:val="24"/>
        </w:rPr>
        <w:t>Review of World Economics, 156</w:t>
      </w:r>
      <w:r w:rsidRPr="002A36EE">
        <w:rPr>
          <w:rFonts w:cs="Times New Roman"/>
          <w:sz w:val="24"/>
        </w:rPr>
        <w:t xml:space="preserve">(2), 407–441. </w:t>
      </w:r>
      <w:hyperlink r:id="rId21">
        <w:r w:rsidRPr="002A36EE">
          <w:rPr>
            <w:rFonts w:cs="Times New Roman"/>
            <w:color w:val="0563C1"/>
            <w:sz w:val="24"/>
            <w:u w:val="single"/>
          </w:rPr>
          <w:t>https://doi.org/10.1007/s10290-019-00366-x</w:t>
        </w:r>
      </w:hyperlink>
    </w:p>
    <w:p w14:paraId="241FB8C9"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Becker, M. (2013). The stormy relations between Rafael Correa and social movements in Ecuador. </w:t>
      </w:r>
      <w:r w:rsidRPr="002A36EE">
        <w:rPr>
          <w:rFonts w:cs="Times New Roman"/>
          <w:i/>
          <w:sz w:val="24"/>
        </w:rPr>
        <w:t>Latin American Perspectives, 40</w:t>
      </w:r>
      <w:r w:rsidRPr="002A36EE">
        <w:rPr>
          <w:rFonts w:cs="Times New Roman"/>
          <w:sz w:val="24"/>
        </w:rPr>
        <w:t xml:space="preserve">(3), 43–62. </w:t>
      </w:r>
      <w:hyperlink r:id="rId22">
        <w:r w:rsidRPr="002A36EE">
          <w:rPr>
            <w:rFonts w:cs="Times New Roman"/>
            <w:color w:val="0563C1"/>
            <w:sz w:val="24"/>
            <w:u w:val="single"/>
          </w:rPr>
          <w:t>https://doi.org/10.1177/0094582X13479305</w:t>
        </w:r>
      </w:hyperlink>
    </w:p>
    <w:p w14:paraId="7000C35E"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Borchert, I., &amp; Di Ubaldo, M. (2024). </w:t>
      </w:r>
      <w:r w:rsidRPr="002A36EE">
        <w:rPr>
          <w:rFonts w:cs="Times New Roman"/>
          <w:i/>
          <w:sz w:val="24"/>
        </w:rPr>
        <w:t>The trade impact of surprise graduations from the EU’s GSP scheme</w:t>
      </w:r>
      <w:r w:rsidRPr="002A36EE">
        <w:rPr>
          <w:rFonts w:cs="Times New Roman"/>
          <w:sz w:val="24"/>
        </w:rPr>
        <w:t xml:space="preserve"> (Economics Department Working Paper Series No. 12-2024). University of Sussex Business School. </w:t>
      </w:r>
      <w:hyperlink r:id="rId23">
        <w:r w:rsidRPr="002A36EE">
          <w:rPr>
            <w:rFonts w:cs="Times New Roman"/>
            <w:color w:val="0563C1"/>
            <w:sz w:val="24"/>
            <w:u w:val="single"/>
          </w:rPr>
          <w:t>https://www.sussex.ac.uk/webteam/gateway/file.php?name=wps-12-2024.pdf&amp;site=18</w:t>
        </w:r>
      </w:hyperlink>
    </w:p>
    <w:p w14:paraId="6853F0DF" w14:textId="77777777" w:rsidR="005A0300" w:rsidRPr="002A36EE" w:rsidRDefault="005A0300" w:rsidP="004D5711">
      <w:pPr>
        <w:keepLines/>
        <w:spacing w:after="0" w:line="360" w:lineRule="auto"/>
        <w:ind w:left="720" w:hanging="720"/>
        <w:rPr>
          <w:rFonts w:cs="Times New Roman"/>
        </w:rPr>
      </w:pPr>
      <w:proofErr w:type="spellStart"/>
      <w:r w:rsidRPr="002A36EE">
        <w:rPr>
          <w:rFonts w:cs="Times New Roman"/>
          <w:sz w:val="24"/>
        </w:rPr>
        <w:t>Borusyak</w:t>
      </w:r>
      <w:proofErr w:type="spellEnd"/>
      <w:r w:rsidRPr="002A36EE">
        <w:rPr>
          <w:rFonts w:cs="Times New Roman"/>
          <w:sz w:val="24"/>
        </w:rPr>
        <w:t xml:space="preserve">, K., Hull, P., &amp; </w:t>
      </w:r>
      <w:proofErr w:type="spellStart"/>
      <w:r w:rsidRPr="002A36EE">
        <w:rPr>
          <w:rFonts w:cs="Times New Roman"/>
          <w:sz w:val="24"/>
        </w:rPr>
        <w:t>Jaravel</w:t>
      </w:r>
      <w:proofErr w:type="spellEnd"/>
      <w:r w:rsidRPr="002A36EE">
        <w:rPr>
          <w:rFonts w:cs="Times New Roman"/>
          <w:sz w:val="24"/>
        </w:rPr>
        <w:t xml:space="preserve">, X. (2025). A practical guide to shift-share instruments. </w:t>
      </w:r>
      <w:r w:rsidRPr="002A36EE">
        <w:rPr>
          <w:rFonts w:cs="Times New Roman"/>
          <w:i/>
          <w:sz w:val="24"/>
        </w:rPr>
        <w:t>Journal of Economic Perspectives, 39</w:t>
      </w:r>
      <w:r w:rsidRPr="002A36EE">
        <w:rPr>
          <w:rFonts w:cs="Times New Roman"/>
          <w:sz w:val="24"/>
        </w:rPr>
        <w:t xml:space="preserve">(1), 181–204. </w:t>
      </w:r>
      <w:hyperlink r:id="rId24">
        <w:r w:rsidRPr="002A36EE">
          <w:rPr>
            <w:rFonts w:cs="Times New Roman"/>
            <w:color w:val="0563C1"/>
            <w:sz w:val="24"/>
            <w:u w:val="single"/>
          </w:rPr>
          <w:t>https://doi.org/10.1257/jep.20231370</w:t>
        </w:r>
      </w:hyperlink>
    </w:p>
    <w:p w14:paraId="774C8170"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Chen, C., &amp; </w:t>
      </w:r>
      <w:proofErr w:type="spellStart"/>
      <w:r w:rsidRPr="002A36EE">
        <w:rPr>
          <w:rFonts w:cs="Times New Roman"/>
          <w:sz w:val="24"/>
        </w:rPr>
        <w:t>Steinwender</w:t>
      </w:r>
      <w:proofErr w:type="spellEnd"/>
      <w:r w:rsidRPr="002A36EE">
        <w:rPr>
          <w:rFonts w:cs="Times New Roman"/>
          <w:sz w:val="24"/>
        </w:rPr>
        <w:t xml:space="preserve">, C. (2021). Import competition, heterogeneous preferences of managers, and productivity. </w:t>
      </w:r>
      <w:r w:rsidRPr="002A36EE">
        <w:rPr>
          <w:rFonts w:cs="Times New Roman"/>
          <w:i/>
          <w:sz w:val="24"/>
        </w:rPr>
        <w:t>Journal of International Economics, 133</w:t>
      </w:r>
      <w:r w:rsidRPr="002A36EE">
        <w:rPr>
          <w:rFonts w:cs="Times New Roman"/>
          <w:sz w:val="24"/>
        </w:rPr>
        <w:t xml:space="preserve">, Article 103533. </w:t>
      </w:r>
      <w:hyperlink r:id="rId25">
        <w:r w:rsidRPr="002A36EE">
          <w:rPr>
            <w:rFonts w:cs="Times New Roman"/>
            <w:color w:val="0563C1"/>
            <w:sz w:val="24"/>
            <w:u w:val="single"/>
          </w:rPr>
          <w:t>https://doi.org/10.1016/j.jinteco.2021.103533</w:t>
        </w:r>
      </w:hyperlink>
    </w:p>
    <w:p w14:paraId="4D0E8B24" w14:textId="77777777" w:rsidR="005A0300" w:rsidRPr="002A36EE" w:rsidRDefault="005A0300" w:rsidP="004D5711">
      <w:pPr>
        <w:keepLines/>
        <w:spacing w:after="0" w:line="360" w:lineRule="auto"/>
        <w:ind w:left="720" w:hanging="720"/>
        <w:rPr>
          <w:rFonts w:cs="Times New Roman"/>
        </w:rPr>
      </w:pPr>
      <w:r w:rsidRPr="002A36EE">
        <w:rPr>
          <w:rFonts w:cs="Times New Roman"/>
          <w:sz w:val="24"/>
          <w:lang w:val="de-DE"/>
        </w:rPr>
        <w:t xml:space="preserve">De </w:t>
      </w:r>
      <w:proofErr w:type="spellStart"/>
      <w:r w:rsidRPr="002A36EE">
        <w:rPr>
          <w:rFonts w:cs="Times New Roman"/>
          <w:sz w:val="24"/>
          <w:lang w:val="de-DE"/>
        </w:rPr>
        <w:t>Loecker</w:t>
      </w:r>
      <w:proofErr w:type="spellEnd"/>
      <w:r w:rsidRPr="002A36EE">
        <w:rPr>
          <w:rFonts w:cs="Times New Roman"/>
          <w:sz w:val="24"/>
          <w:lang w:val="de-DE"/>
        </w:rPr>
        <w:t xml:space="preserve">, J., &amp; Goldberg, P. K. (2014). </w:t>
      </w:r>
      <w:r w:rsidRPr="002A36EE">
        <w:rPr>
          <w:rFonts w:cs="Times New Roman"/>
          <w:sz w:val="24"/>
        </w:rPr>
        <w:t xml:space="preserve">Firm performance in a global market. </w:t>
      </w:r>
      <w:r w:rsidRPr="002A36EE">
        <w:rPr>
          <w:rFonts w:cs="Times New Roman"/>
          <w:i/>
          <w:sz w:val="24"/>
        </w:rPr>
        <w:t>Annual Review of Economics, 6</w:t>
      </w:r>
      <w:r w:rsidRPr="002A36EE">
        <w:rPr>
          <w:rFonts w:cs="Times New Roman"/>
          <w:sz w:val="24"/>
        </w:rPr>
        <w:t xml:space="preserve">, 201–227. </w:t>
      </w:r>
      <w:hyperlink r:id="rId26">
        <w:r w:rsidRPr="002A36EE">
          <w:rPr>
            <w:rFonts w:cs="Times New Roman"/>
            <w:color w:val="0563C1"/>
            <w:sz w:val="24"/>
            <w:u w:val="single"/>
          </w:rPr>
          <w:t>https://doi.org/10.1146/annurev-economics-080113-104741</w:t>
        </w:r>
      </w:hyperlink>
    </w:p>
    <w:p w14:paraId="41FCBBD2"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De </w:t>
      </w:r>
      <w:proofErr w:type="spellStart"/>
      <w:r w:rsidRPr="002A36EE">
        <w:rPr>
          <w:rFonts w:cs="Times New Roman"/>
          <w:sz w:val="24"/>
        </w:rPr>
        <w:t>Loecker</w:t>
      </w:r>
      <w:proofErr w:type="spellEnd"/>
      <w:r w:rsidRPr="002A36EE">
        <w:rPr>
          <w:rFonts w:cs="Times New Roman"/>
          <w:sz w:val="24"/>
        </w:rPr>
        <w:t xml:space="preserve">, J., Goldberg, P. K., Khandelwal, A. K., &amp; </w:t>
      </w:r>
      <w:proofErr w:type="spellStart"/>
      <w:r w:rsidRPr="002A36EE">
        <w:rPr>
          <w:rFonts w:cs="Times New Roman"/>
          <w:sz w:val="24"/>
        </w:rPr>
        <w:t>Pavcnik</w:t>
      </w:r>
      <w:proofErr w:type="spellEnd"/>
      <w:r w:rsidRPr="002A36EE">
        <w:rPr>
          <w:rFonts w:cs="Times New Roman"/>
          <w:sz w:val="24"/>
        </w:rPr>
        <w:t xml:space="preserve">, N. (2016). Prices, markups, and trade reform. </w:t>
      </w:r>
      <w:proofErr w:type="spellStart"/>
      <w:r w:rsidRPr="002A36EE">
        <w:rPr>
          <w:rFonts w:cs="Times New Roman"/>
          <w:i/>
          <w:sz w:val="24"/>
        </w:rPr>
        <w:t>Econometrica</w:t>
      </w:r>
      <w:proofErr w:type="spellEnd"/>
      <w:r w:rsidRPr="002A36EE">
        <w:rPr>
          <w:rFonts w:cs="Times New Roman"/>
          <w:i/>
          <w:sz w:val="24"/>
        </w:rPr>
        <w:t>, 84</w:t>
      </w:r>
      <w:r w:rsidRPr="002A36EE">
        <w:rPr>
          <w:rFonts w:cs="Times New Roman"/>
          <w:sz w:val="24"/>
        </w:rPr>
        <w:t xml:space="preserve">(2), 445–510. </w:t>
      </w:r>
      <w:hyperlink r:id="rId27">
        <w:r w:rsidRPr="002A36EE">
          <w:rPr>
            <w:rFonts w:cs="Times New Roman"/>
            <w:color w:val="0563C1"/>
            <w:sz w:val="24"/>
            <w:u w:val="single"/>
          </w:rPr>
          <w:t>https://doi.org/10.3982/ECTA11042</w:t>
        </w:r>
      </w:hyperlink>
    </w:p>
    <w:p w14:paraId="17BE35AB"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European Commission. (2016, January 28). </w:t>
      </w:r>
      <w:r w:rsidRPr="002A36EE">
        <w:rPr>
          <w:rFonts w:cs="Times New Roman"/>
          <w:i/>
          <w:sz w:val="24"/>
        </w:rPr>
        <w:t xml:space="preserve">Report from the Commission to the European Parliament and the Council: Report on the </w:t>
      </w:r>
      <w:proofErr w:type="spellStart"/>
      <w:r w:rsidRPr="002A36EE">
        <w:rPr>
          <w:rFonts w:cs="Times New Roman"/>
          <w:i/>
          <w:sz w:val="24"/>
        </w:rPr>
        <w:t>Generalised</w:t>
      </w:r>
      <w:proofErr w:type="spellEnd"/>
      <w:r w:rsidRPr="002A36EE">
        <w:rPr>
          <w:rFonts w:cs="Times New Roman"/>
          <w:i/>
          <w:sz w:val="24"/>
        </w:rPr>
        <w:t xml:space="preserve"> Scheme of Preferences covering the period 2014–2015</w:t>
      </w:r>
      <w:r w:rsidRPr="002A36EE">
        <w:rPr>
          <w:rFonts w:cs="Times New Roman"/>
          <w:sz w:val="24"/>
        </w:rPr>
        <w:t xml:space="preserve"> (COM(2016) 29 final). </w:t>
      </w:r>
      <w:hyperlink r:id="rId28">
        <w:r w:rsidRPr="002A36EE">
          <w:rPr>
            <w:rFonts w:cs="Times New Roman"/>
            <w:color w:val="0563C1"/>
            <w:sz w:val="24"/>
            <w:u w:val="single"/>
          </w:rPr>
          <w:t>https://eur-lex.europa.eu/legal-content/EN/TXT/?uri=CELEX:52016DC0029</w:t>
        </w:r>
      </w:hyperlink>
    </w:p>
    <w:p w14:paraId="771D9472"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lastRenderedPageBreak/>
        <w:t xml:space="preserve">European Commission. (2025, May 8). </w:t>
      </w:r>
      <w:r w:rsidRPr="002A36EE">
        <w:rPr>
          <w:rFonts w:cs="Times New Roman"/>
          <w:i/>
          <w:sz w:val="24"/>
        </w:rPr>
        <w:t>European Union, trade in goods with Ecuador</w:t>
      </w:r>
      <w:r w:rsidRPr="002A36EE">
        <w:rPr>
          <w:rFonts w:cs="Times New Roman"/>
          <w:sz w:val="24"/>
        </w:rPr>
        <w:t xml:space="preserve">. Directorate-General for Trade and Economic Security. </w:t>
      </w:r>
      <w:hyperlink r:id="rId29">
        <w:r w:rsidRPr="002A36EE">
          <w:rPr>
            <w:rFonts w:cs="Times New Roman"/>
            <w:color w:val="0563C1"/>
            <w:sz w:val="24"/>
            <w:u w:val="single"/>
          </w:rPr>
          <w:t>https://webgate.ec.europa.eu/isdb_results/factsheets/country/details_ecuador_en.pdf</w:t>
        </w:r>
      </w:hyperlink>
    </w:p>
    <w:p w14:paraId="44D4C383" w14:textId="77777777" w:rsidR="005A0300" w:rsidRPr="002A36EE" w:rsidRDefault="005A0300" w:rsidP="004D5711">
      <w:pPr>
        <w:keepLines/>
        <w:spacing w:after="0" w:line="360" w:lineRule="auto"/>
        <w:ind w:left="720" w:hanging="720"/>
        <w:rPr>
          <w:rFonts w:cs="Times New Roman"/>
        </w:rPr>
      </w:pPr>
      <w:r w:rsidRPr="002A36EE">
        <w:rPr>
          <w:rFonts w:cs="Times New Roman"/>
          <w:sz w:val="24"/>
          <w:lang w:val="de-DE"/>
        </w:rPr>
        <w:t xml:space="preserve">Goldberg, P. K., &amp; </w:t>
      </w:r>
      <w:proofErr w:type="spellStart"/>
      <w:r w:rsidRPr="002A36EE">
        <w:rPr>
          <w:rFonts w:cs="Times New Roman"/>
          <w:sz w:val="24"/>
          <w:lang w:val="de-DE"/>
        </w:rPr>
        <w:t>Pavcnik</w:t>
      </w:r>
      <w:proofErr w:type="spellEnd"/>
      <w:r w:rsidRPr="002A36EE">
        <w:rPr>
          <w:rFonts w:cs="Times New Roman"/>
          <w:sz w:val="24"/>
          <w:lang w:val="de-DE"/>
        </w:rPr>
        <w:t xml:space="preserve">, N. (2016). </w:t>
      </w:r>
      <w:r w:rsidRPr="002A36EE">
        <w:rPr>
          <w:rFonts w:cs="Times New Roman"/>
          <w:sz w:val="24"/>
        </w:rPr>
        <w:t xml:space="preserve">The effects of trade policy. In K. Bagwell &amp; R. W. </w:t>
      </w:r>
      <w:proofErr w:type="spellStart"/>
      <w:r w:rsidRPr="002A36EE">
        <w:rPr>
          <w:rFonts w:cs="Times New Roman"/>
          <w:sz w:val="24"/>
        </w:rPr>
        <w:t>Staiger</w:t>
      </w:r>
      <w:proofErr w:type="spellEnd"/>
      <w:r w:rsidRPr="002A36EE">
        <w:rPr>
          <w:rFonts w:cs="Times New Roman"/>
          <w:sz w:val="24"/>
        </w:rPr>
        <w:t xml:space="preserve"> (Eds.), </w:t>
      </w:r>
      <w:r w:rsidRPr="002A36EE">
        <w:rPr>
          <w:rFonts w:cs="Times New Roman"/>
          <w:i/>
          <w:sz w:val="24"/>
        </w:rPr>
        <w:t>Handbook of commercial policy</w:t>
      </w:r>
      <w:r w:rsidRPr="002A36EE">
        <w:rPr>
          <w:rFonts w:cs="Times New Roman"/>
          <w:sz w:val="24"/>
        </w:rPr>
        <w:t xml:space="preserve"> (Vol. 1A, pp. 161–206). Elsevier. </w:t>
      </w:r>
      <w:hyperlink r:id="rId30">
        <w:r w:rsidRPr="002A36EE">
          <w:rPr>
            <w:rFonts w:cs="Times New Roman"/>
            <w:color w:val="0563C1"/>
            <w:sz w:val="24"/>
            <w:u w:val="single"/>
          </w:rPr>
          <w:t>https://doi.org/10.1016/bs.hescop.2016.04.002</w:t>
        </w:r>
      </w:hyperlink>
    </w:p>
    <w:p w14:paraId="315D5A39"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Goldberg, P. K., Khandelwal, A. K., </w:t>
      </w:r>
      <w:proofErr w:type="spellStart"/>
      <w:r w:rsidRPr="002A36EE">
        <w:rPr>
          <w:rFonts w:cs="Times New Roman"/>
          <w:sz w:val="24"/>
        </w:rPr>
        <w:t>Pavcnik</w:t>
      </w:r>
      <w:proofErr w:type="spellEnd"/>
      <w:r w:rsidRPr="002A36EE">
        <w:rPr>
          <w:rFonts w:cs="Times New Roman"/>
          <w:sz w:val="24"/>
        </w:rPr>
        <w:t xml:space="preserve">, N., &amp; </w:t>
      </w:r>
      <w:proofErr w:type="spellStart"/>
      <w:r w:rsidRPr="002A36EE">
        <w:rPr>
          <w:rFonts w:cs="Times New Roman"/>
          <w:sz w:val="24"/>
        </w:rPr>
        <w:t>Topalova</w:t>
      </w:r>
      <w:proofErr w:type="spellEnd"/>
      <w:r w:rsidRPr="002A36EE">
        <w:rPr>
          <w:rFonts w:cs="Times New Roman"/>
          <w:sz w:val="24"/>
        </w:rPr>
        <w:t xml:space="preserve">, P. (2010). Imported intermediate inputs and domestic product growth: Evidence from India. </w:t>
      </w:r>
      <w:r w:rsidRPr="002A36EE">
        <w:rPr>
          <w:rFonts w:cs="Times New Roman"/>
          <w:i/>
          <w:sz w:val="24"/>
        </w:rPr>
        <w:t>The Quarterly Journal of Economics, 125</w:t>
      </w:r>
      <w:r w:rsidRPr="002A36EE">
        <w:rPr>
          <w:rFonts w:cs="Times New Roman"/>
          <w:sz w:val="24"/>
        </w:rPr>
        <w:t xml:space="preserve">(4), 1727–1767. </w:t>
      </w:r>
      <w:hyperlink r:id="rId31">
        <w:r w:rsidRPr="002A36EE">
          <w:rPr>
            <w:rFonts w:cs="Times New Roman"/>
            <w:color w:val="0563C1"/>
            <w:sz w:val="24"/>
            <w:u w:val="single"/>
          </w:rPr>
          <w:t>https://doi.org/10.1162/qjec.2010.125.4.1727</w:t>
        </w:r>
      </w:hyperlink>
    </w:p>
    <w:p w14:paraId="655B0A2E" w14:textId="77777777" w:rsidR="005A0300" w:rsidRPr="002A36EE" w:rsidRDefault="005A0300" w:rsidP="004D5711">
      <w:pPr>
        <w:keepLines/>
        <w:spacing w:after="0" w:line="360" w:lineRule="auto"/>
        <w:ind w:left="720" w:hanging="720"/>
        <w:rPr>
          <w:rFonts w:cs="Times New Roman"/>
          <w:lang w:val="es-EC"/>
        </w:rPr>
      </w:pPr>
      <w:r w:rsidRPr="002A36EE">
        <w:rPr>
          <w:rFonts w:cs="Times New Roman"/>
          <w:sz w:val="24"/>
        </w:rPr>
        <w:t xml:space="preserve">Goldsmith-Pinkham, P., Sorkin, I., &amp; Swift, H. (2020). </w:t>
      </w:r>
      <w:proofErr w:type="spellStart"/>
      <w:r w:rsidRPr="002A36EE">
        <w:rPr>
          <w:rFonts w:cs="Times New Roman"/>
          <w:sz w:val="24"/>
        </w:rPr>
        <w:t>Bartik</w:t>
      </w:r>
      <w:proofErr w:type="spellEnd"/>
      <w:r w:rsidRPr="002A36EE">
        <w:rPr>
          <w:rFonts w:cs="Times New Roman"/>
          <w:sz w:val="24"/>
        </w:rPr>
        <w:t xml:space="preserve"> instruments: What, when, why, and how. </w:t>
      </w:r>
      <w:r w:rsidRPr="002A36EE">
        <w:rPr>
          <w:rFonts w:cs="Times New Roman"/>
          <w:i/>
          <w:sz w:val="24"/>
          <w:lang w:val="es-EC"/>
        </w:rPr>
        <w:t xml:space="preserve">American </w:t>
      </w:r>
      <w:proofErr w:type="spellStart"/>
      <w:r w:rsidRPr="002A36EE">
        <w:rPr>
          <w:rFonts w:cs="Times New Roman"/>
          <w:i/>
          <w:sz w:val="24"/>
          <w:lang w:val="es-EC"/>
        </w:rPr>
        <w:t>Economic</w:t>
      </w:r>
      <w:proofErr w:type="spellEnd"/>
      <w:r w:rsidRPr="002A36EE">
        <w:rPr>
          <w:rFonts w:cs="Times New Roman"/>
          <w:i/>
          <w:sz w:val="24"/>
          <w:lang w:val="es-EC"/>
        </w:rPr>
        <w:t xml:space="preserve"> </w:t>
      </w:r>
      <w:proofErr w:type="spellStart"/>
      <w:r w:rsidRPr="002A36EE">
        <w:rPr>
          <w:rFonts w:cs="Times New Roman"/>
          <w:i/>
          <w:sz w:val="24"/>
          <w:lang w:val="es-EC"/>
        </w:rPr>
        <w:t>Review</w:t>
      </w:r>
      <w:proofErr w:type="spellEnd"/>
      <w:r w:rsidRPr="002A36EE">
        <w:rPr>
          <w:rFonts w:cs="Times New Roman"/>
          <w:i/>
          <w:sz w:val="24"/>
          <w:lang w:val="es-EC"/>
        </w:rPr>
        <w:t>, 110</w:t>
      </w:r>
      <w:r w:rsidRPr="002A36EE">
        <w:rPr>
          <w:rFonts w:cs="Times New Roman"/>
          <w:sz w:val="24"/>
          <w:lang w:val="es-EC"/>
        </w:rPr>
        <w:t xml:space="preserve">(8), 2586–2624. </w:t>
      </w:r>
      <w:hyperlink r:id="rId32">
        <w:r w:rsidRPr="002A36EE">
          <w:rPr>
            <w:rFonts w:cs="Times New Roman"/>
            <w:color w:val="0563C1"/>
            <w:sz w:val="24"/>
            <w:u w:val="single"/>
            <w:lang w:val="es-EC"/>
          </w:rPr>
          <w:t>https://doi.org/10.1257/aer.20181047</w:t>
        </w:r>
      </w:hyperlink>
    </w:p>
    <w:p w14:paraId="70A27FDE" w14:textId="77777777" w:rsidR="005A0300" w:rsidRPr="002A36EE" w:rsidRDefault="005A0300" w:rsidP="004D5711">
      <w:pPr>
        <w:keepLines/>
        <w:spacing w:after="0" w:line="360" w:lineRule="auto"/>
        <w:ind w:left="720" w:hanging="720"/>
        <w:rPr>
          <w:rFonts w:cs="Times New Roman"/>
        </w:rPr>
      </w:pPr>
      <w:r w:rsidRPr="002A36EE">
        <w:rPr>
          <w:rFonts w:cs="Times New Roman"/>
          <w:sz w:val="24"/>
          <w:lang w:val="es-EC"/>
        </w:rPr>
        <w:t xml:space="preserve">Grijalva, D. F., </w:t>
      </w:r>
      <w:proofErr w:type="spellStart"/>
      <w:r w:rsidRPr="002A36EE">
        <w:rPr>
          <w:rFonts w:cs="Times New Roman"/>
          <w:sz w:val="24"/>
          <w:lang w:val="es-EC"/>
        </w:rPr>
        <w:t>Gachet</w:t>
      </w:r>
      <w:proofErr w:type="spellEnd"/>
      <w:r w:rsidRPr="002A36EE">
        <w:rPr>
          <w:rFonts w:cs="Times New Roman"/>
          <w:sz w:val="24"/>
          <w:lang w:val="es-EC"/>
        </w:rPr>
        <w:t xml:space="preserve">, I., Lucio-Paredes, P., &amp; Uribe-Terán, C. (2022). </w:t>
      </w:r>
      <w:r w:rsidRPr="002A36EE">
        <w:rPr>
          <w:rFonts w:cs="Times New Roman"/>
          <w:sz w:val="24"/>
        </w:rPr>
        <w:t xml:space="preserve">The political economy of trade policy in Ecuador: Dollarization, oil, personalism, and ideas. In J. Cornick, J. A. Frieden, M. Mesquita Moreira, &amp; E. H. Stein (Eds.), </w:t>
      </w:r>
      <w:r w:rsidRPr="002A36EE">
        <w:rPr>
          <w:rFonts w:cs="Times New Roman"/>
          <w:i/>
          <w:sz w:val="24"/>
        </w:rPr>
        <w:t>Political economy of trade policy in Latin America</w:t>
      </w:r>
      <w:r w:rsidRPr="002A36EE">
        <w:rPr>
          <w:rFonts w:cs="Times New Roman"/>
          <w:sz w:val="24"/>
        </w:rPr>
        <w:t xml:space="preserve"> (pp. 215–253). Inter-American Development Bank. </w:t>
      </w:r>
      <w:hyperlink r:id="rId33">
        <w:r w:rsidRPr="002A36EE">
          <w:rPr>
            <w:rFonts w:cs="Times New Roman"/>
            <w:color w:val="0563C1"/>
            <w:sz w:val="24"/>
            <w:u w:val="single"/>
          </w:rPr>
          <w:t>https://doi.org/10.18235/0003986</w:t>
        </w:r>
      </w:hyperlink>
    </w:p>
    <w:p w14:paraId="25105CD7"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Halpern, L., </w:t>
      </w:r>
      <w:proofErr w:type="spellStart"/>
      <w:r w:rsidRPr="002A36EE">
        <w:rPr>
          <w:rFonts w:cs="Times New Roman"/>
          <w:sz w:val="24"/>
        </w:rPr>
        <w:t>Koren</w:t>
      </w:r>
      <w:proofErr w:type="spellEnd"/>
      <w:r w:rsidRPr="002A36EE">
        <w:rPr>
          <w:rFonts w:cs="Times New Roman"/>
          <w:sz w:val="24"/>
        </w:rPr>
        <w:t xml:space="preserve">, M., &amp; </w:t>
      </w:r>
      <w:proofErr w:type="spellStart"/>
      <w:r w:rsidRPr="002A36EE">
        <w:rPr>
          <w:rFonts w:cs="Times New Roman"/>
          <w:sz w:val="24"/>
        </w:rPr>
        <w:t>Szeidl</w:t>
      </w:r>
      <w:proofErr w:type="spellEnd"/>
      <w:r w:rsidRPr="002A36EE">
        <w:rPr>
          <w:rFonts w:cs="Times New Roman"/>
          <w:sz w:val="24"/>
        </w:rPr>
        <w:t xml:space="preserve">, A. (2015). Imported inputs and productivity. </w:t>
      </w:r>
      <w:r w:rsidRPr="002A36EE">
        <w:rPr>
          <w:rFonts w:cs="Times New Roman"/>
          <w:i/>
          <w:sz w:val="24"/>
        </w:rPr>
        <w:t>American Economic Review, 105</w:t>
      </w:r>
      <w:r w:rsidRPr="002A36EE">
        <w:rPr>
          <w:rFonts w:cs="Times New Roman"/>
          <w:sz w:val="24"/>
        </w:rPr>
        <w:t xml:space="preserve">(12), 3660–3703. </w:t>
      </w:r>
      <w:hyperlink r:id="rId34">
        <w:r w:rsidRPr="002A36EE">
          <w:rPr>
            <w:rFonts w:cs="Times New Roman"/>
            <w:color w:val="0563C1"/>
            <w:sz w:val="24"/>
            <w:u w:val="single"/>
          </w:rPr>
          <w:t>https://doi.org/10.1257/aer.20150443</w:t>
        </w:r>
      </w:hyperlink>
    </w:p>
    <w:p w14:paraId="7FC65AE0"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Head, K., &amp; Ries, J. (1999). Rationalization effects of tariff reductions. </w:t>
      </w:r>
      <w:r w:rsidRPr="002A36EE">
        <w:rPr>
          <w:rFonts w:cs="Times New Roman"/>
          <w:i/>
          <w:sz w:val="24"/>
        </w:rPr>
        <w:t>Journal of International Economics, 47</w:t>
      </w:r>
      <w:r w:rsidRPr="002A36EE">
        <w:rPr>
          <w:rFonts w:cs="Times New Roman"/>
          <w:sz w:val="24"/>
        </w:rPr>
        <w:t xml:space="preserve">(2), 295–320. </w:t>
      </w:r>
      <w:hyperlink r:id="rId35">
        <w:r w:rsidRPr="002A36EE">
          <w:rPr>
            <w:rFonts w:cs="Times New Roman"/>
            <w:color w:val="0563C1"/>
            <w:sz w:val="24"/>
            <w:u w:val="single"/>
          </w:rPr>
          <w:t>https://doi.org/10.1016/S0022-1996(98)00019-1</w:t>
        </w:r>
      </w:hyperlink>
    </w:p>
    <w:p w14:paraId="77993B1B" w14:textId="77777777" w:rsidR="005A0300" w:rsidRPr="002A36EE" w:rsidRDefault="005A0300" w:rsidP="004D5711">
      <w:pPr>
        <w:keepLines/>
        <w:spacing w:after="0" w:line="360" w:lineRule="auto"/>
        <w:ind w:left="720" w:hanging="720"/>
        <w:rPr>
          <w:rFonts w:cs="Times New Roman"/>
          <w:lang w:val="de-DE"/>
        </w:rPr>
      </w:pPr>
      <w:r w:rsidRPr="0041171C">
        <w:rPr>
          <w:rFonts w:cs="Times New Roman"/>
          <w:sz w:val="24"/>
          <w:lang w:val="es-EC"/>
        </w:rPr>
        <w:t xml:space="preserve">López González, J., &amp; </w:t>
      </w:r>
      <w:proofErr w:type="spellStart"/>
      <w:r w:rsidRPr="0041171C">
        <w:rPr>
          <w:rFonts w:cs="Times New Roman"/>
          <w:sz w:val="24"/>
          <w:lang w:val="es-EC"/>
        </w:rPr>
        <w:t>Gasiorek</w:t>
      </w:r>
      <w:proofErr w:type="spellEnd"/>
      <w:r w:rsidRPr="0041171C">
        <w:rPr>
          <w:rFonts w:cs="Times New Roman"/>
          <w:sz w:val="24"/>
          <w:lang w:val="es-EC"/>
        </w:rPr>
        <w:t xml:space="preserve">, M. (2011, </w:t>
      </w:r>
      <w:proofErr w:type="spellStart"/>
      <w:r w:rsidRPr="0041171C">
        <w:rPr>
          <w:rFonts w:cs="Times New Roman"/>
          <w:sz w:val="24"/>
          <w:lang w:val="es-EC"/>
        </w:rPr>
        <w:t>July</w:t>
      </w:r>
      <w:proofErr w:type="spellEnd"/>
      <w:r w:rsidRPr="0041171C">
        <w:rPr>
          <w:rFonts w:cs="Times New Roman"/>
          <w:sz w:val="24"/>
          <w:lang w:val="es-EC"/>
        </w:rPr>
        <w:t xml:space="preserve"> 30). </w:t>
      </w:r>
      <w:r w:rsidRPr="002A36EE">
        <w:rPr>
          <w:rFonts w:cs="Times New Roman"/>
          <w:i/>
          <w:sz w:val="24"/>
        </w:rPr>
        <w:t>How much difference will the EU’s new GSP scheme make?</w:t>
      </w:r>
      <w:r w:rsidRPr="002A36EE">
        <w:rPr>
          <w:rFonts w:cs="Times New Roman"/>
          <w:sz w:val="24"/>
        </w:rPr>
        <w:t xml:space="preserve"> </w:t>
      </w:r>
      <w:r w:rsidRPr="002A36EE">
        <w:rPr>
          <w:rFonts w:cs="Times New Roman"/>
          <w:sz w:val="24"/>
          <w:lang w:val="de-DE"/>
        </w:rPr>
        <w:t xml:space="preserve">VoxEU.org. </w:t>
      </w:r>
      <w:hyperlink r:id="rId36">
        <w:r w:rsidRPr="002A36EE">
          <w:rPr>
            <w:rFonts w:cs="Times New Roman"/>
            <w:color w:val="0563C1"/>
            <w:sz w:val="24"/>
            <w:u w:val="single"/>
            <w:lang w:val="de-DE"/>
          </w:rPr>
          <w:t>https://cepr.org/voxeu/columns/how-much-difference-will-eus-new-gsp-scheme-make</w:t>
        </w:r>
      </w:hyperlink>
    </w:p>
    <w:p w14:paraId="4C7D8533"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Mansfield, E. D., &amp; Milner, H. V. (1999). The new wave of regionalism. </w:t>
      </w:r>
      <w:r w:rsidRPr="002A36EE">
        <w:rPr>
          <w:rFonts w:cs="Times New Roman"/>
          <w:i/>
          <w:sz w:val="24"/>
        </w:rPr>
        <w:t>International Organization, 53</w:t>
      </w:r>
      <w:r w:rsidRPr="002A36EE">
        <w:rPr>
          <w:rFonts w:cs="Times New Roman"/>
          <w:sz w:val="24"/>
        </w:rPr>
        <w:t xml:space="preserve">(3), 589–627. </w:t>
      </w:r>
      <w:hyperlink r:id="rId37">
        <w:r w:rsidRPr="002A36EE">
          <w:rPr>
            <w:rFonts w:cs="Times New Roman"/>
            <w:color w:val="0563C1"/>
            <w:sz w:val="24"/>
            <w:u w:val="single"/>
          </w:rPr>
          <w:t>https://doi.org/10.1162/002081899551002</w:t>
        </w:r>
      </w:hyperlink>
    </w:p>
    <w:p w14:paraId="066BE241"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Melitz, M. J., &amp; Redding, S. J. (2014). Heterogeneous firms and trade. In G. Gopinath, E. </w:t>
      </w:r>
      <w:proofErr w:type="spellStart"/>
      <w:r w:rsidRPr="002A36EE">
        <w:rPr>
          <w:rFonts w:cs="Times New Roman"/>
          <w:sz w:val="24"/>
        </w:rPr>
        <w:t>Helpman</w:t>
      </w:r>
      <w:proofErr w:type="spellEnd"/>
      <w:r w:rsidRPr="002A36EE">
        <w:rPr>
          <w:rFonts w:cs="Times New Roman"/>
          <w:sz w:val="24"/>
        </w:rPr>
        <w:t xml:space="preserve">, &amp; K. Rogoff (Eds.), </w:t>
      </w:r>
      <w:r w:rsidRPr="002A36EE">
        <w:rPr>
          <w:rFonts w:cs="Times New Roman"/>
          <w:i/>
          <w:sz w:val="24"/>
        </w:rPr>
        <w:t>Handbook of international economics</w:t>
      </w:r>
      <w:r w:rsidRPr="002A36EE">
        <w:rPr>
          <w:rFonts w:cs="Times New Roman"/>
          <w:sz w:val="24"/>
        </w:rPr>
        <w:t xml:space="preserve"> (Vol. 4, pp. 1–54). Elsevier. </w:t>
      </w:r>
      <w:hyperlink r:id="rId38">
        <w:r w:rsidRPr="002A36EE">
          <w:rPr>
            <w:rFonts w:cs="Times New Roman"/>
            <w:color w:val="0563C1"/>
            <w:sz w:val="24"/>
            <w:u w:val="single"/>
          </w:rPr>
          <w:t>https://doi.org/10.1016/B978-0-444-54314-1.00001-X</w:t>
        </w:r>
      </w:hyperlink>
    </w:p>
    <w:p w14:paraId="73D37A3A"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Milner, H. V. (1997). </w:t>
      </w:r>
      <w:r w:rsidRPr="002A36EE">
        <w:rPr>
          <w:rFonts w:cs="Times New Roman"/>
          <w:i/>
          <w:sz w:val="24"/>
        </w:rPr>
        <w:t>Interests, institutions, and information: Domestic politics and international relations</w:t>
      </w:r>
      <w:r w:rsidRPr="002A36EE">
        <w:rPr>
          <w:rFonts w:cs="Times New Roman"/>
          <w:sz w:val="24"/>
        </w:rPr>
        <w:t>. Princeton University Press.</w:t>
      </w:r>
    </w:p>
    <w:p w14:paraId="13050021"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lastRenderedPageBreak/>
        <w:t xml:space="preserve">Newman, C., Rand, J., &amp; Tarp, F. (2023). Imports, supply chains and firm productivity. </w:t>
      </w:r>
      <w:r w:rsidRPr="002A36EE">
        <w:rPr>
          <w:rFonts w:cs="Times New Roman"/>
          <w:i/>
          <w:sz w:val="24"/>
        </w:rPr>
        <w:t>World Development, 172</w:t>
      </w:r>
      <w:r w:rsidRPr="002A36EE">
        <w:rPr>
          <w:rFonts w:cs="Times New Roman"/>
          <w:sz w:val="24"/>
        </w:rPr>
        <w:t xml:space="preserve">, Article 106371. </w:t>
      </w:r>
      <w:hyperlink r:id="rId39">
        <w:r w:rsidRPr="002A36EE">
          <w:rPr>
            <w:rFonts w:cs="Times New Roman"/>
            <w:color w:val="0563C1"/>
            <w:sz w:val="24"/>
            <w:u w:val="single"/>
          </w:rPr>
          <w:t>https://doi.org/10.1016/j.worlddev.2023.106371</w:t>
        </w:r>
      </w:hyperlink>
    </w:p>
    <w:p w14:paraId="41E2AB9C"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Pane, D. D., &amp; </w:t>
      </w:r>
      <w:proofErr w:type="spellStart"/>
      <w:r w:rsidRPr="002A36EE">
        <w:rPr>
          <w:rFonts w:cs="Times New Roman"/>
          <w:sz w:val="24"/>
        </w:rPr>
        <w:t>Patunru</w:t>
      </w:r>
      <w:proofErr w:type="spellEnd"/>
      <w:r w:rsidRPr="002A36EE">
        <w:rPr>
          <w:rFonts w:cs="Times New Roman"/>
          <w:sz w:val="24"/>
        </w:rPr>
        <w:t xml:space="preserve">, A. A. (2023). The role of imported inputs in firms’ productivity and exports: Evidence from Indonesia. </w:t>
      </w:r>
      <w:r w:rsidRPr="002A36EE">
        <w:rPr>
          <w:rFonts w:cs="Times New Roman"/>
          <w:i/>
          <w:sz w:val="24"/>
        </w:rPr>
        <w:t>Review of World Economics, 159</w:t>
      </w:r>
      <w:r w:rsidRPr="002A36EE">
        <w:rPr>
          <w:rFonts w:cs="Times New Roman"/>
          <w:sz w:val="24"/>
        </w:rPr>
        <w:t xml:space="preserve">(3), 629–672. </w:t>
      </w:r>
      <w:hyperlink r:id="rId40">
        <w:r w:rsidRPr="002A36EE">
          <w:rPr>
            <w:rFonts w:cs="Times New Roman"/>
            <w:color w:val="0563C1"/>
            <w:sz w:val="24"/>
            <w:u w:val="single"/>
          </w:rPr>
          <w:t>https://doi.org/10.1007/s10290-022-00476-z</w:t>
        </w:r>
      </w:hyperlink>
    </w:p>
    <w:p w14:paraId="2FDE4D4D" w14:textId="77777777" w:rsidR="005A0300" w:rsidRPr="002A36EE" w:rsidRDefault="005A0300" w:rsidP="004D5711">
      <w:pPr>
        <w:keepLines/>
        <w:spacing w:after="0" w:line="360" w:lineRule="auto"/>
        <w:ind w:left="720" w:hanging="720"/>
        <w:rPr>
          <w:rFonts w:cs="Times New Roman"/>
        </w:rPr>
      </w:pPr>
      <w:r w:rsidRPr="002A36EE">
        <w:rPr>
          <w:rFonts w:cs="Times New Roman"/>
          <w:sz w:val="24"/>
        </w:rPr>
        <w:t xml:space="preserve">Protocol of Accession to the Trade Agreement between the European Union and its Member States, of the one part, and Colombia and Peru, of the other part, to take account of the accession of Ecuador, 2016 O.J. (L 356) 3. </w:t>
      </w:r>
      <w:hyperlink r:id="rId41">
        <w:r w:rsidRPr="002A36EE">
          <w:rPr>
            <w:rFonts w:cs="Times New Roman"/>
            <w:color w:val="0563C1"/>
            <w:sz w:val="24"/>
            <w:u w:val="single"/>
          </w:rPr>
          <w:t>https://eur-lex.europa.eu/legal-content/EN/TXT/?uri=OJ:L:2016:356:TOC</w:t>
        </w:r>
      </w:hyperlink>
    </w:p>
    <w:p w14:paraId="7E483D57" w14:textId="77777777" w:rsidR="005A0300" w:rsidRPr="002A36EE" w:rsidRDefault="005A0300" w:rsidP="004D5711">
      <w:pPr>
        <w:keepLines/>
        <w:spacing w:after="0" w:line="360" w:lineRule="auto"/>
        <w:ind w:left="720" w:hanging="720"/>
        <w:rPr>
          <w:rFonts w:cs="Times New Roman"/>
        </w:rPr>
      </w:pPr>
      <w:proofErr w:type="spellStart"/>
      <w:r w:rsidRPr="002A36EE">
        <w:rPr>
          <w:rFonts w:cs="Times New Roman"/>
          <w:sz w:val="24"/>
        </w:rPr>
        <w:t>Topalova</w:t>
      </w:r>
      <w:proofErr w:type="spellEnd"/>
      <w:r w:rsidRPr="002A36EE">
        <w:rPr>
          <w:rFonts w:cs="Times New Roman"/>
          <w:sz w:val="24"/>
        </w:rPr>
        <w:t xml:space="preserve">, P., &amp; Khandelwal, A. (2011). Trade liberalization and firm productivity: The case of India. </w:t>
      </w:r>
      <w:r w:rsidRPr="002A36EE">
        <w:rPr>
          <w:rFonts w:cs="Times New Roman"/>
          <w:i/>
          <w:sz w:val="24"/>
        </w:rPr>
        <w:t>The Review of Economics and Statistics, 93</w:t>
      </w:r>
      <w:r w:rsidRPr="002A36EE">
        <w:rPr>
          <w:rFonts w:cs="Times New Roman"/>
          <w:sz w:val="24"/>
        </w:rPr>
        <w:t xml:space="preserve">(3), 995–1009. </w:t>
      </w:r>
      <w:hyperlink r:id="rId42">
        <w:r w:rsidRPr="002A36EE">
          <w:rPr>
            <w:rFonts w:cs="Times New Roman"/>
            <w:color w:val="0563C1"/>
            <w:sz w:val="24"/>
            <w:u w:val="single"/>
          </w:rPr>
          <w:t>https://doi.org/10.1162/REST_a_00095</w:t>
        </w:r>
      </w:hyperlink>
    </w:p>
    <w:p w14:paraId="34661F8D" w14:textId="77777777" w:rsidR="005A0300" w:rsidRPr="002A36EE" w:rsidRDefault="005A0300" w:rsidP="004D5711">
      <w:pPr>
        <w:keepLines/>
        <w:spacing w:after="0" w:line="360" w:lineRule="auto"/>
        <w:ind w:left="720" w:hanging="720"/>
        <w:rPr>
          <w:rFonts w:cs="Times New Roman"/>
          <w:lang w:val="es-EC"/>
        </w:rPr>
      </w:pPr>
      <w:r w:rsidRPr="002A36EE">
        <w:rPr>
          <w:rFonts w:cs="Times New Roman"/>
          <w:sz w:val="24"/>
        </w:rPr>
        <w:t xml:space="preserve">Trade Agreement between the European Union and its Member States, of the one part, and Colombia and Peru, of the other part, 2012 O.J. (L 354) 3. </w:t>
      </w:r>
      <w:hyperlink r:id="rId43">
        <w:r w:rsidRPr="002A36EE">
          <w:rPr>
            <w:rFonts w:cs="Times New Roman"/>
            <w:color w:val="0563C1"/>
            <w:sz w:val="24"/>
            <w:u w:val="single"/>
            <w:lang w:val="es-EC"/>
          </w:rPr>
          <w:t>https://eur-lex.europa.eu/eli/agree_internation/2012/735/oj/eng</w:t>
        </w:r>
      </w:hyperlink>
    </w:p>
    <w:p w14:paraId="4CD54242" w14:textId="77777777" w:rsidR="005A0300" w:rsidRPr="002A36EE" w:rsidRDefault="005A0300" w:rsidP="004D5711">
      <w:pPr>
        <w:keepLines/>
        <w:spacing w:after="0" w:line="360" w:lineRule="auto"/>
        <w:ind w:left="720" w:hanging="720"/>
        <w:rPr>
          <w:rFonts w:cs="Times New Roman"/>
        </w:rPr>
      </w:pPr>
      <w:r w:rsidRPr="002A36EE">
        <w:rPr>
          <w:rFonts w:cs="Times New Roman"/>
          <w:sz w:val="24"/>
          <w:lang w:val="es-EC"/>
        </w:rPr>
        <w:t xml:space="preserve">Uribe-Terán, C., Grijalva, D. F., &amp; </w:t>
      </w:r>
      <w:proofErr w:type="spellStart"/>
      <w:r w:rsidRPr="002A36EE">
        <w:rPr>
          <w:rFonts w:cs="Times New Roman"/>
          <w:sz w:val="24"/>
          <w:lang w:val="es-EC"/>
        </w:rPr>
        <w:t>Gachet</w:t>
      </w:r>
      <w:proofErr w:type="spellEnd"/>
      <w:r w:rsidRPr="002A36EE">
        <w:rPr>
          <w:rFonts w:cs="Times New Roman"/>
          <w:sz w:val="24"/>
          <w:lang w:val="es-EC"/>
        </w:rPr>
        <w:t xml:space="preserve">, I. (2025). </w:t>
      </w:r>
      <w:r w:rsidRPr="002A36EE">
        <w:rPr>
          <w:rFonts w:cs="Times New Roman"/>
          <w:sz w:val="24"/>
        </w:rPr>
        <w:t xml:space="preserve">The contractionary effects of protectionist trade policy. </w:t>
      </w:r>
      <w:r w:rsidRPr="002A36EE">
        <w:rPr>
          <w:rFonts w:cs="Times New Roman"/>
          <w:i/>
          <w:sz w:val="24"/>
        </w:rPr>
        <w:t>Review of World Economics, 161</w:t>
      </w:r>
      <w:r w:rsidRPr="002A36EE">
        <w:rPr>
          <w:rFonts w:cs="Times New Roman"/>
          <w:sz w:val="24"/>
        </w:rPr>
        <w:t xml:space="preserve">(3), 821–868. </w:t>
      </w:r>
      <w:hyperlink r:id="rId44">
        <w:r w:rsidRPr="002A36EE">
          <w:rPr>
            <w:rFonts w:cs="Times New Roman"/>
            <w:color w:val="0563C1"/>
            <w:sz w:val="24"/>
            <w:u w:val="single"/>
          </w:rPr>
          <w:t>https://doi.org/10.1007/s10290-025-00582-8</w:t>
        </w:r>
      </w:hyperlink>
    </w:p>
    <w:p w14:paraId="4EEA7BC7" w14:textId="121A79EE" w:rsidR="00680430" w:rsidRPr="002A36EE" w:rsidRDefault="00680430" w:rsidP="005A0300">
      <w:pPr>
        <w:spacing w:after="60" w:line="360" w:lineRule="auto"/>
        <w:ind w:left="397" w:hanging="397"/>
        <w:jc w:val="both"/>
        <w:rPr>
          <w:rFonts w:cs="Times New Roman"/>
        </w:rPr>
      </w:pPr>
    </w:p>
    <w:sectPr w:rsidR="00680430" w:rsidRPr="002A36EE"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B9406" w14:textId="77777777" w:rsidR="002573CA" w:rsidRDefault="002573CA" w:rsidP="00D75B75">
      <w:pPr>
        <w:spacing w:after="0" w:line="240" w:lineRule="auto"/>
      </w:pPr>
      <w:r>
        <w:separator/>
      </w:r>
    </w:p>
  </w:endnote>
  <w:endnote w:type="continuationSeparator" w:id="0">
    <w:p w14:paraId="317620E8" w14:textId="77777777" w:rsidR="002573CA" w:rsidRDefault="002573CA" w:rsidP="00D75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EDB1A" w14:textId="77777777" w:rsidR="002573CA" w:rsidRDefault="002573CA" w:rsidP="00D75B75">
      <w:pPr>
        <w:spacing w:after="0" w:line="240" w:lineRule="auto"/>
      </w:pPr>
      <w:r>
        <w:separator/>
      </w:r>
    </w:p>
  </w:footnote>
  <w:footnote w:type="continuationSeparator" w:id="0">
    <w:p w14:paraId="5A3AE9A2" w14:textId="77777777" w:rsidR="002573CA" w:rsidRDefault="002573CA" w:rsidP="00D75B75">
      <w:pPr>
        <w:spacing w:after="0" w:line="240" w:lineRule="auto"/>
      </w:pPr>
      <w:r>
        <w:continuationSeparator/>
      </w:r>
    </w:p>
  </w:footnote>
  <w:footnote w:id="1">
    <w:p w14:paraId="0FD2AAD0" w14:textId="041561C3" w:rsidR="00D75B75" w:rsidRPr="00D75B75" w:rsidRDefault="00D75B75">
      <w:pPr>
        <w:pStyle w:val="FootnoteText"/>
      </w:pPr>
      <w:r>
        <w:rPr>
          <w:rStyle w:val="FootnoteReference"/>
        </w:rPr>
        <w:footnoteRef/>
      </w:r>
      <w:r>
        <w:t xml:space="preserve"> </w:t>
      </w:r>
      <w:r w:rsidRPr="00D75B75">
        <w:t>Authors’ calculations based on the tariff-elimination schedules of the EU–Colombia–Peru Trade Agreement and Ecuador’s Protocol of Accession.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256955">
    <w:abstractNumId w:val="8"/>
  </w:num>
  <w:num w:numId="2" w16cid:durableId="526724511">
    <w:abstractNumId w:val="6"/>
  </w:num>
  <w:num w:numId="3" w16cid:durableId="1272085230">
    <w:abstractNumId w:val="5"/>
  </w:num>
  <w:num w:numId="4" w16cid:durableId="1392580486">
    <w:abstractNumId w:val="4"/>
  </w:num>
  <w:num w:numId="5" w16cid:durableId="699548045">
    <w:abstractNumId w:val="7"/>
  </w:num>
  <w:num w:numId="6" w16cid:durableId="1341007673">
    <w:abstractNumId w:val="3"/>
  </w:num>
  <w:num w:numId="7" w16cid:durableId="992413953">
    <w:abstractNumId w:val="2"/>
  </w:num>
  <w:num w:numId="8" w16cid:durableId="1991211795">
    <w:abstractNumId w:val="1"/>
  </w:num>
  <w:num w:numId="9" w16cid:durableId="209612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E2"/>
    <w:rsid w:val="00032617"/>
    <w:rsid w:val="00034616"/>
    <w:rsid w:val="0006063C"/>
    <w:rsid w:val="000643D2"/>
    <w:rsid w:val="000732CA"/>
    <w:rsid w:val="00096CB2"/>
    <w:rsid w:val="000D3917"/>
    <w:rsid w:val="0012485C"/>
    <w:rsid w:val="00135332"/>
    <w:rsid w:val="0015074B"/>
    <w:rsid w:val="001B7C2F"/>
    <w:rsid w:val="0025138E"/>
    <w:rsid w:val="00251B74"/>
    <w:rsid w:val="002573CA"/>
    <w:rsid w:val="0029639D"/>
    <w:rsid w:val="002A36EE"/>
    <w:rsid w:val="002A66DA"/>
    <w:rsid w:val="002B617A"/>
    <w:rsid w:val="003173EE"/>
    <w:rsid w:val="00326F90"/>
    <w:rsid w:val="003419F9"/>
    <w:rsid w:val="003502D7"/>
    <w:rsid w:val="00385F2A"/>
    <w:rsid w:val="003A3D53"/>
    <w:rsid w:val="0041171C"/>
    <w:rsid w:val="00455FFD"/>
    <w:rsid w:val="004624BC"/>
    <w:rsid w:val="00480E2D"/>
    <w:rsid w:val="004C5FC0"/>
    <w:rsid w:val="004D1039"/>
    <w:rsid w:val="004D5711"/>
    <w:rsid w:val="00535298"/>
    <w:rsid w:val="00540D72"/>
    <w:rsid w:val="00546F53"/>
    <w:rsid w:val="00555C1B"/>
    <w:rsid w:val="0056640E"/>
    <w:rsid w:val="005A0300"/>
    <w:rsid w:val="00602BDF"/>
    <w:rsid w:val="00613ACE"/>
    <w:rsid w:val="0063641F"/>
    <w:rsid w:val="006474AD"/>
    <w:rsid w:val="00666790"/>
    <w:rsid w:val="00680430"/>
    <w:rsid w:val="006A398B"/>
    <w:rsid w:val="006B6B5B"/>
    <w:rsid w:val="0072405D"/>
    <w:rsid w:val="00724B50"/>
    <w:rsid w:val="007479E8"/>
    <w:rsid w:val="007970CC"/>
    <w:rsid w:val="007B3DAB"/>
    <w:rsid w:val="00867DB3"/>
    <w:rsid w:val="008811E0"/>
    <w:rsid w:val="008A0DCF"/>
    <w:rsid w:val="008C1E63"/>
    <w:rsid w:val="0091750C"/>
    <w:rsid w:val="0094772C"/>
    <w:rsid w:val="009626AB"/>
    <w:rsid w:val="009D203D"/>
    <w:rsid w:val="00A24534"/>
    <w:rsid w:val="00AA1D8D"/>
    <w:rsid w:val="00AB65D3"/>
    <w:rsid w:val="00AD3645"/>
    <w:rsid w:val="00B26DD0"/>
    <w:rsid w:val="00B47730"/>
    <w:rsid w:val="00B76AEF"/>
    <w:rsid w:val="00B8047B"/>
    <w:rsid w:val="00B82C77"/>
    <w:rsid w:val="00BA3515"/>
    <w:rsid w:val="00BA396D"/>
    <w:rsid w:val="00BE16CF"/>
    <w:rsid w:val="00BE7478"/>
    <w:rsid w:val="00BF33E2"/>
    <w:rsid w:val="00C03F80"/>
    <w:rsid w:val="00C5133C"/>
    <w:rsid w:val="00C71C04"/>
    <w:rsid w:val="00C834C6"/>
    <w:rsid w:val="00CB0664"/>
    <w:rsid w:val="00CB3B95"/>
    <w:rsid w:val="00D02348"/>
    <w:rsid w:val="00D35EA5"/>
    <w:rsid w:val="00D75B75"/>
    <w:rsid w:val="00D84135"/>
    <w:rsid w:val="00D97386"/>
    <w:rsid w:val="00DB0F1F"/>
    <w:rsid w:val="00DE3CD1"/>
    <w:rsid w:val="00DF59B8"/>
    <w:rsid w:val="00E06676"/>
    <w:rsid w:val="00E110D2"/>
    <w:rsid w:val="00E1239D"/>
    <w:rsid w:val="00E141FC"/>
    <w:rsid w:val="00E22A6C"/>
    <w:rsid w:val="00E60497"/>
    <w:rsid w:val="00E82058"/>
    <w:rsid w:val="00E914B0"/>
    <w:rsid w:val="00EA0DAF"/>
    <w:rsid w:val="00EA37B2"/>
    <w:rsid w:val="00EB3C7B"/>
    <w:rsid w:val="00ED2CC6"/>
    <w:rsid w:val="00F40728"/>
    <w:rsid w:val="00F56E94"/>
    <w:rsid w:val="00F9373C"/>
    <w:rsid w:val="00FC267F"/>
    <w:rsid w:val="00FC37DC"/>
    <w:rsid w:val="00FC693F"/>
    <w:rsid w:val="00FD1B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78F5A"/>
  <w14:defaultImageDpi w14:val="300"/>
  <w15:docId w15:val="{635ED614-172E-48DB-86F7-69F317AC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110D2"/>
    <w:rPr>
      <w:sz w:val="16"/>
      <w:szCs w:val="16"/>
    </w:rPr>
  </w:style>
  <w:style w:type="paragraph" w:styleId="CommentText">
    <w:name w:val="annotation text"/>
    <w:basedOn w:val="Normal"/>
    <w:link w:val="CommentTextChar"/>
    <w:uiPriority w:val="99"/>
    <w:semiHidden/>
    <w:unhideWhenUsed/>
    <w:rsid w:val="00E110D2"/>
    <w:pPr>
      <w:spacing w:line="240" w:lineRule="auto"/>
    </w:pPr>
    <w:rPr>
      <w:sz w:val="20"/>
      <w:szCs w:val="20"/>
    </w:rPr>
  </w:style>
  <w:style w:type="character" w:customStyle="1" w:styleId="CommentTextChar">
    <w:name w:val="Comment Text Char"/>
    <w:basedOn w:val="DefaultParagraphFont"/>
    <w:link w:val="CommentText"/>
    <w:uiPriority w:val="99"/>
    <w:semiHidden/>
    <w:rsid w:val="00E110D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110D2"/>
    <w:rPr>
      <w:b/>
      <w:bCs/>
    </w:rPr>
  </w:style>
  <w:style w:type="character" w:customStyle="1" w:styleId="CommentSubjectChar">
    <w:name w:val="Comment Subject Char"/>
    <w:basedOn w:val="CommentTextChar"/>
    <w:link w:val="CommentSubject"/>
    <w:uiPriority w:val="99"/>
    <w:semiHidden/>
    <w:rsid w:val="00E110D2"/>
    <w:rPr>
      <w:rFonts w:ascii="Times New Roman" w:eastAsia="Times New Roman" w:hAnsi="Times New Roman"/>
      <w:b/>
      <w:bCs/>
      <w:sz w:val="20"/>
      <w:szCs w:val="20"/>
    </w:rPr>
  </w:style>
  <w:style w:type="paragraph" w:styleId="Revision">
    <w:name w:val="Revision"/>
    <w:hidden/>
    <w:uiPriority w:val="99"/>
    <w:semiHidden/>
    <w:rsid w:val="000D3917"/>
    <w:pPr>
      <w:spacing w:after="0" w:line="240" w:lineRule="auto"/>
    </w:pPr>
    <w:rPr>
      <w:rFonts w:ascii="Times New Roman" w:eastAsia="Times New Roman" w:hAnsi="Times New Roman"/>
    </w:rPr>
  </w:style>
  <w:style w:type="paragraph" w:styleId="FootnoteText">
    <w:name w:val="footnote text"/>
    <w:basedOn w:val="Normal"/>
    <w:link w:val="FootnoteTextChar"/>
    <w:uiPriority w:val="99"/>
    <w:semiHidden/>
    <w:unhideWhenUsed/>
    <w:rsid w:val="00D75B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5B75"/>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D75B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04420">
      <w:bodyDiv w:val="1"/>
      <w:marLeft w:val="0"/>
      <w:marRight w:val="0"/>
      <w:marTop w:val="0"/>
      <w:marBottom w:val="0"/>
      <w:divBdr>
        <w:top w:val="none" w:sz="0" w:space="0" w:color="auto"/>
        <w:left w:val="none" w:sz="0" w:space="0" w:color="auto"/>
        <w:bottom w:val="none" w:sz="0" w:space="0" w:color="auto"/>
        <w:right w:val="none" w:sz="0" w:space="0" w:color="auto"/>
      </w:divBdr>
    </w:div>
    <w:div w:id="995499900">
      <w:bodyDiv w:val="1"/>
      <w:marLeft w:val="0"/>
      <w:marRight w:val="0"/>
      <w:marTop w:val="0"/>
      <w:marBottom w:val="0"/>
      <w:divBdr>
        <w:top w:val="none" w:sz="0" w:space="0" w:color="auto"/>
        <w:left w:val="none" w:sz="0" w:space="0" w:color="auto"/>
        <w:bottom w:val="none" w:sz="0" w:space="0" w:color="auto"/>
        <w:right w:val="none" w:sz="0" w:space="0" w:color="auto"/>
      </w:divBdr>
    </w:div>
    <w:div w:id="1496536249">
      <w:bodyDiv w:val="1"/>
      <w:marLeft w:val="0"/>
      <w:marRight w:val="0"/>
      <w:marTop w:val="0"/>
      <w:marBottom w:val="0"/>
      <w:divBdr>
        <w:top w:val="none" w:sz="0" w:space="0" w:color="auto"/>
        <w:left w:val="none" w:sz="0" w:space="0" w:color="auto"/>
        <w:bottom w:val="none" w:sz="0" w:space="0" w:color="auto"/>
        <w:right w:val="none" w:sz="0" w:space="0" w:color="auto"/>
      </w:divBdr>
    </w:div>
    <w:div w:id="17141918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hyperlink" Target="https://doi.org/10.1146/annurev-economics-080113-104741" TargetMode="External"/><Relationship Id="rId39" Type="http://schemas.openxmlformats.org/officeDocument/2006/relationships/hyperlink" Target="https://doi.org/10.1016/j.worlddev.2023.106371" TargetMode="External"/><Relationship Id="rId21" Type="http://schemas.openxmlformats.org/officeDocument/2006/relationships/hyperlink" Target="https://doi.org/10.1007/s10290-019-00366-x" TargetMode="External"/><Relationship Id="rId34" Type="http://schemas.openxmlformats.org/officeDocument/2006/relationships/hyperlink" Target="https://doi.org/10.1257/aer.20150443" TargetMode="External"/><Relationship Id="rId42" Type="http://schemas.openxmlformats.org/officeDocument/2006/relationships/hyperlink" Target="https://doi.org/10.1162/REST_a_0009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hyperlink" Target="https://webgate.ec.europa.eu/isdb_results/factsheets/country/details_ecuador_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doi.org/10.1257/jep.20231370" TargetMode="External"/><Relationship Id="rId32" Type="http://schemas.openxmlformats.org/officeDocument/2006/relationships/hyperlink" Target="https://doi.org/10.1257/aer.20181047" TargetMode="External"/><Relationship Id="rId37" Type="http://schemas.openxmlformats.org/officeDocument/2006/relationships/hyperlink" Target="https://doi.org/10.1162/002081899551002" TargetMode="External"/><Relationship Id="rId40" Type="http://schemas.openxmlformats.org/officeDocument/2006/relationships/hyperlink" Target="https://doi.org/10.1007/s10290-022-00476-z"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yperlink" Target="https://www.sussex.ac.uk/webteam/gateway/file.php?name=wps-12-2024.pdf&amp;site=18" TargetMode="External"/><Relationship Id="rId28" Type="http://schemas.openxmlformats.org/officeDocument/2006/relationships/hyperlink" Target="https://eur-lex.europa.eu/legal-content/EN/TXT/?uri=CELEX:52016DC0029" TargetMode="External"/><Relationship Id="rId36" Type="http://schemas.openxmlformats.org/officeDocument/2006/relationships/hyperlink" Target="https://cepr.org/voxeu/columns/how-much-difference-will-eus-new-gsp-scheme-make" TargetMode="External"/><Relationship Id="rId10" Type="http://schemas.openxmlformats.org/officeDocument/2006/relationships/chart" Target="charts/chart3.xml"/><Relationship Id="rId19" Type="http://schemas.openxmlformats.org/officeDocument/2006/relationships/hyperlink" Target="https://doi.org/10.1257/aer.97.5.1611" TargetMode="External"/><Relationship Id="rId31" Type="http://schemas.openxmlformats.org/officeDocument/2006/relationships/hyperlink" Target="https://doi.org/10.1162/qjec.2010.125.4.1727" TargetMode="External"/><Relationship Id="rId44" Type="http://schemas.openxmlformats.org/officeDocument/2006/relationships/hyperlink" Target="https://doi.org/10.1007/s10290-025-00582-8"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yperlink" Target="https://doi.org/10.1177/0094582X13479305" TargetMode="External"/><Relationship Id="rId27" Type="http://schemas.openxmlformats.org/officeDocument/2006/relationships/hyperlink" Target="https://doi.org/10.3982/ECTA11042" TargetMode="External"/><Relationship Id="rId30" Type="http://schemas.openxmlformats.org/officeDocument/2006/relationships/hyperlink" Target="https://doi.org/10.1016/bs.hescop.2016.04.002" TargetMode="External"/><Relationship Id="rId35" Type="http://schemas.openxmlformats.org/officeDocument/2006/relationships/hyperlink" Target="https://doi.org/10.1016/S0022-1996(98)00019-1" TargetMode="External"/><Relationship Id="rId43" Type="http://schemas.openxmlformats.org/officeDocument/2006/relationships/hyperlink" Target="https://eur-lex.europa.eu/eli/agree_internation/2012/735/oj/eng" TargetMode="Externa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yperlink" Target="https://doi.org/10.1016/j.jinteco.2021.103533" TargetMode="External"/><Relationship Id="rId33" Type="http://schemas.openxmlformats.org/officeDocument/2006/relationships/hyperlink" Target="https://doi.org/10.18235/0003986" TargetMode="External"/><Relationship Id="rId38" Type="http://schemas.openxmlformats.org/officeDocument/2006/relationships/hyperlink" Target="https://doi.org/10.1016/B978-0-444-54314-1.00001-X" TargetMode="External"/><Relationship Id="rId46" Type="http://schemas.openxmlformats.org/officeDocument/2006/relationships/theme" Target="theme/theme1.xml"/><Relationship Id="rId20" Type="http://schemas.openxmlformats.org/officeDocument/2006/relationships/hyperlink" Target="https://doi.org/10.1257/mac.20190445" TargetMode="External"/><Relationship Id="rId41" Type="http://schemas.openxmlformats.org/officeDocument/2006/relationships/hyperlink" Target="https://eur-lex.europa.eu/legal-content/EN/TXT/?uri=OJ:L:2016:356:TOC"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SHK\Dropbox\EULAS_FTA\plots\Excel_plots\Figures&amp;Tabl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2"/>
          <c:tx>
            <c:v>Trade Balance</c:v>
          </c:tx>
          <c:spPr>
            <a:solidFill>
              <a:srgbClr val="D9D9D9"/>
            </a:solidFill>
            <a:ln w="25400">
              <a:noFill/>
            </a:ln>
            <a:effectLst/>
          </c:spPr>
          <c:invertIfNegative val="0"/>
          <c:cat>
            <c:numRef>
              <c:f>'Figure 1'!$B$2:$B$134</c:f>
              <c:numCache>
                <c:formatCode>m/d/yyyy</c:formatCode>
                <c:ptCount val="133"/>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pt idx="132">
                  <c:v>41275</c:v>
                </c:pt>
              </c:numCache>
            </c:numRef>
          </c:cat>
          <c:val>
            <c:numRef>
              <c:f>'Figure 1'!$E$2:$E$134</c:f>
              <c:numCache>
                <c:formatCode>0</c:formatCode>
                <c:ptCount val="133"/>
                <c:pt idx="0">
                  <c:v>-1.0873260498046879</c:v>
                </c:pt>
                <c:pt idx="1">
                  <c:v>92.1004638671875</c:v>
                </c:pt>
                <c:pt idx="2">
                  <c:v>93.135162353515625</c:v>
                </c:pt>
                <c:pt idx="3">
                  <c:v>-19.738555908203129</c:v>
                </c:pt>
                <c:pt idx="4">
                  <c:v>3.9153900146484379</c:v>
                </c:pt>
                <c:pt idx="5">
                  <c:v>-37.605010986328132</c:v>
                </c:pt>
                <c:pt idx="6">
                  <c:v>-21.703842163085941</c:v>
                </c:pt>
                <c:pt idx="7">
                  <c:v>-66.659454345703125</c:v>
                </c:pt>
                <c:pt idx="8">
                  <c:v>-3.1395721435546879</c:v>
                </c:pt>
                <c:pt idx="9">
                  <c:v>-14.10952758789063</c:v>
                </c:pt>
                <c:pt idx="10">
                  <c:v>85.80035400390625</c:v>
                </c:pt>
                <c:pt idx="11">
                  <c:v>33.500564575195313</c:v>
                </c:pt>
                <c:pt idx="12">
                  <c:v>7.0922393798828134</c:v>
                </c:pt>
                <c:pt idx="13">
                  <c:v>85.765151977539063</c:v>
                </c:pt>
                <c:pt idx="14">
                  <c:v>-35.778778076171882</c:v>
                </c:pt>
                <c:pt idx="15">
                  <c:v>53.880828857421882</c:v>
                </c:pt>
                <c:pt idx="16">
                  <c:v>65.7562255859375</c:v>
                </c:pt>
                <c:pt idx="17">
                  <c:v>101.4459686279297</c:v>
                </c:pt>
                <c:pt idx="18">
                  <c:v>1.4923553466796879</c:v>
                </c:pt>
                <c:pt idx="19">
                  <c:v>-21.530136108398441</c:v>
                </c:pt>
                <c:pt idx="20">
                  <c:v>-45.519210815429688</c:v>
                </c:pt>
                <c:pt idx="21">
                  <c:v>-44.383636474609382</c:v>
                </c:pt>
                <c:pt idx="22">
                  <c:v>-15.211746215820311</c:v>
                </c:pt>
                <c:pt idx="23">
                  <c:v>-95.696029663085938</c:v>
                </c:pt>
                <c:pt idx="24">
                  <c:v>12.252059936523439</c:v>
                </c:pt>
                <c:pt idx="25">
                  <c:v>68.206375122070313</c:v>
                </c:pt>
                <c:pt idx="26">
                  <c:v>29.161895751953129</c:v>
                </c:pt>
                <c:pt idx="27">
                  <c:v>60.801528930664063</c:v>
                </c:pt>
                <c:pt idx="28">
                  <c:v>86.65020751953125</c:v>
                </c:pt>
                <c:pt idx="29">
                  <c:v>24.743270874023441</c:v>
                </c:pt>
                <c:pt idx="30">
                  <c:v>-33.085052490234382</c:v>
                </c:pt>
                <c:pt idx="31">
                  <c:v>20.945480346679691</c:v>
                </c:pt>
                <c:pt idx="32">
                  <c:v>-7.3970794677734384</c:v>
                </c:pt>
                <c:pt idx="33">
                  <c:v>42.018341064453132</c:v>
                </c:pt>
                <c:pt idx="34">
                  <c:v>31.342010498046879</c:v>
                </c:pt>
                <c:pt idx="35">
                  <c:v>62.192642211914063</c:v>
                </c:pt>
                <c:pt idx="36">
                  <c:v>91.283096313476563</c:v>
                </c:pt>
                <c:pt idx="37">
                  <c:v>109.94178771972661</c:v>
                </c:pt>
                <c:pt idx="38">
                  <c:v>99.124298095703125</c:v>
                </c:pt>
                <c:pt idx="39">
                  <c:v>86.8734130859375</c:v>
                </c:pt>
                <c:pt idx="40">
                  <c:v>133.54144287109381</c:v>
                </c:pt>
                <c:pt idx="41">
                  <c:v>130.477294921875</c:v>
                </c:pt>
                <c:pt idx="42">
                  <c:v>92.618026733398438</c:v>
                </c:pt>
                <c:pt idx="43">
                  <c:v>74.406204223632813</c:v>
                </c:pt>
                <c:pt idx="44">
                  <c:v>43.273300170898438</c:v>
                </c:pt>
                <c:pt idx="45">
                  <c:v>132.95310974121091</c:v>
                </c:pt>
                <c:pt idx="46">
                  <c:v>13.591293334960939</c:v>
                </c:pt>
                <c:pt idx="47">
                  <c:v>104.4101104736328</c:v>
                </c:pt>
                <c:pt idx="48">
                  <c:v>75.430068969726563</c:v>
                </c:pt>
                <c:pt idx="49">
                  <c:v>47.8743896484375</c:v>
                </c:pt>
                <c:pt idx="50">
                  <c:v>79.390655517578125</c:v>
                </c:pt>
                <c:pt idx="51">
                  <c:v>147.57122802734381</c:v>
                </c:pt>
                <c:pt idx="52">
                  <c:v>115.04608154296881</c:v>
                </c:pt>
                <c:pt idx="53">
                  <c:v>20.421417236328129</c:v>
                </c:pt>
                <c:pt idx="54">
                  <c:v>58.11962890625</c:v>
                </c:pt>
                <c:pt idx="55">
                  <c:v>-16.8031005859375</c:v>
                </c:pt>
                <c:pt idx="56">
                  <c:v>40.858779907226563</c:v>
                </c:pt>
                <c:pt idx="57">
                  <c:v>44.02880859375</c:v>
                </c:pt>
                <c:pt idx="58">
                  <c:v>43.087966918945313</c:v>
                </c:pt>
                <c:pt idx="59">
                  <c:v>74.442962646484375</c:v>
                </c:pt>
                <c:pt idx="60">
                  <c:v>43.469650268554688</c:v>
                </c:pt>
                <c:pt idx="61">
                  <c:v>12.61019897460938</c:v>
                </c:pt>
                <c:pt idx="62">
                  <c:v>69.917709350585938</c:v>
                </c:pt>
                <c:pt idx="63">
                  <c:v>115.6423034667969</c:v>
                </c:pt>
                <c:pt idx="64">
                  <c:v>119.25770568847661</c:v>
                </c:pt>
                <c:pt idx="65">
                  <c:v>55.828826904296882</c:v>
                </c:pt>
                <c:pt idx="66">
                  <c:v>15.9580078125</c:v>
                </c:pt>
                <c:pt idx="67">
                  <c:v>16.619766235351559</c:v>
                </c:pt>
                <c:pt idx="68">
                  <c:v>77.19818115234375</c:v>
                </c:pt>
                <c:pt idx="69">
                  <c:v>59.676361083984382</c:v>
                </c:pt>
                <c:pt idx="70">
                  <c:v>-26.836624145507809</c:v>
                </c:pt>
                <c:pt idx="71">
                  <c:v>21.865997314453129</c:v>
                </c:pt>
                <c:pt idx="72">
                  <c:v>-0.438995361328125</c:v>
                </c:pt>
                <c:pt idx="73">
                  <c:v>75.505691528320313</c:v>
                </c:pt>
                <c:pt idx="74">
                  <c:v>84.709228515625</c:v>
                </c:pt>
                <c:pt idx="75">
                  <c:v>-26.841949462890629</c:v>
                </c:pt>
                <c:pt idx="76">
                  <c:v>4.742828369140625</c:v>
                </c:pt>
                <c:pt idx="77">
                  <c:v>15.646011352539061</c:v>
                </c:pt>
                <c:pt idx="78">
                  <c:v>62.567352294921882</c:v>
                </c:pt>
                <c:pt idx="79">
                  <c:v>-21.65167236328125</c:v>
                </c:pt>
                <c:pt idx="80">
                  <c:v>96.850967407226563</c:v>
                </c:pt>
                <c:pt idx="81">
                  <c:v>5.02490234375</c:v>
                </c:pt>
                <c:pt idx="82">
                  <c:v>63.620956420898438</c:v>
                </c:pt>
                <c:pt idx="83">
                  <c:v>35.67425537109375</c:v>
                </c:pt>
                <c:pt idx="84">
                  <c:v>106.8053894042969</c:v>
                </c:pt>
                <c:pt idx="85">
                  <c:v>188.87200927734381</c:v>
                </c:pt>
                <c:pt idx="86">
                  <c:v>96.861419677734375</c:v>
                </c:pt>
                <c:pt idx="87">
                  <c:v>37.482040405273438</c:v>
                </c:pt>
                <c:pt idx="88">
                  <c:v>130.9991149902344</c:v>
                </c:pt>
                <c:pt idx="89">
                  <c:v>134.0104064941406</c:v>
                </c:pt>
                <c:pt idx="90">
                  <c:v>166.0982971191406</c:v>
                </c:pt>
                <c:pt idx="91">
                  <c:v>152.0184020996094</c:v>
                </c:pt>
                <c:pt idx="92">
                  <c:v>129.53468322753909</c:v>
                </c:pt>
                <c:pt idx="93">
                  <c:v>135.45196533203131</c:v>
                </c:pt>
                <c:pt idx="94">
                  <c:v>117.2878723144531</c:v>
                </c:pt>
                <c:pt idx="95">
                  <c:v>113.648681640625</c:v>
                </c:pt>
                <c:pt idx="96">
                  <c:v>124.7047424316406</c:v>
                </c:pt>
                <c:pt idx="97">
                  <c:v>135.67045593261719</c:v>
                </c:pt>
                <c:pt idx="98">
                  <c:v>140.3872985839844</c:v>
                </c:pt>
                <c:pt idx="99">
                  <c:v>78.212554931640625</c:v>
                </c:pt>
                <c:pt idx="100">
                  <c:v>173.89820861816409</c:v>
                </c:pt>
                <c:pt idx="101">
                  <c:v>157.24127197265631</c:v>
                </c:pt>
                <c:pt idx="102">
                  <c:v>59.03192138671875</c:v>
                </c:pt>
                <c:pt idx="103">
                  <c:v>114.02024841308589</c:v>
                </c:pt>
                <c:pt idx="104">
                  <c:v>150.25328063964841</c:v>
                </c:pt>
                <c:pt idx="105">
                  <c:v>148.22270202636719</c:v>
                </c:pt>
                <c:pt idx="106">
                  <c:v>114.0442810058594</c:v>
                </c:pt>
                <c:pt idx="107">
                  <c:v>71.433074951171875</c:v>
                </c:pt>
                <c:pt idx="120">
                  <c:v>74.863555908203125</c:v>
                </c:pt>
                <c:pt idx="121">
                  <c:v>78.672119140625</c:v>
                </c:pt>
                <c:pt idx="122">
                  <c:v>74.500274658203125</c:v>
                </c:pt>
                <c:pt idx="123">
                  <c:v>107.0812072753906</c:v>
                </c:pt>
                <c:pt idx="124">
                  <c:v>23.2900390625</c:v>
                </c:pt>
                <c:pt idx="125">
                  <c:v>113.091796875</c:v>
                </c:pt>
                <c:pt idx="126">
                  <c:v>133.19866943359381</c:v>
                </c:pt>
                <c:pt idx="127">
                  <c:v>89.9322509765625</c:v>
                </c:pt>
                <c:pt idx="128">
                  <c:v>72.78375244140625</c:v>
                </c:pt>
                <c:pt idx="129">
                  <c:v>81.547149658203125</c:v>
                </c:pt>
                <c:pt idx="130">
                  <c:v>92.4354248046875</c:v>
                </c:pt>
                <c:pt idx="131">
                  <c:v>194.60130310058591</c:v>
                </c:pt>
              </c:numCache>
            </c:numRef>
          </c:val>
          <c:extLst>
            <c:ext xmlns:c16="http://schemas.microsoft.com/office/drawing/2014/chart" uri="{C3380CC4-5D6E-409C-BE32-E72D297353CC}">
              <c16:uniqueId val="{00000000-9EB7-4C44-AAC0-33C355D2D914}"/>
            </c:ext>
          </c:extLst>
        </c:ser>
        <c:dLbls>
          <c:showLegendKey val="0"/>
          <c:showVal val="0"/>
          <c:showCatName val="0"/>
          <c:showSerName val="0"/>
          <c:showPercent val="0"/>
          <c:showBubbleSize val="0"/>
        </c:dLbls>
        <c:gapWidth val="150"/>
        <c:axId val="57433320"/>
        <c:axId val="996379"/>
      </c:barChart>
      <c:lineChart>
        <c:grouping val="standard"/>
        <c:varyColors val="0"/>
        <c:ser>
          <c:idx val="0"/>
          <c:order val="0"/>
          <c:tx>
            <c:v>Exports</c:v>
          </c:tx>
          <c:spPr>
            <a:ln w="12700" cap="rnd" cmpd="sng">
              <a:solidFill>
                <a:srgbClr val="0070C0"/>
              </a:solidFill>
              <a:prstDash val="solid"/>
              <a:round/>
            </a:ln>
            <a:effectLst/>
          </c:spPr>
          <c:marker>
            <c:symbol val="none"/>
          </c:marker>
          <c:cat>
            <c:numRef>
              <c:f>'Figure 1'!$B$2:$B$134</c:f>
              <c:numCache>
                <c:formatCode>m/d/yyyy</c:formatCode>
                <c:ptCount val="133"/>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pt idx="132">
                  <c:v>41275</c:v>
                </c:pt>
              </c:numCache>
            </c:numRef>
          </c:cat>
          <c:val>
            <c:numRef>
              <c:f>'Figure 1'!$C$2:$C$134</c:f>
              <c:numCache>
                <c:formatCode>0</c:formatCode>
                <c:ptCount val="133"/>
                <c:pt idx="0">
                  <c:v>176.33026123046881</c:v>
                </c:pt>
                <c:pt idx="1">
                  <c:v>228.59608459472659</c:v>
                </c:pt>
                <c:pt idx="2">
                  <c:v>270.93496704101563</c:v>
                </c:pt>
                <c:pt idx="3">
                  <c:v>206.33966064453131</c:v>
                </c:pt>
                <c:pt idx="4">
                  <c:v>230.5782165527344</c:v>
                </c:pt>
                <c:pt idx="5">
                  <c:v>203.3326721191406</c:v>
                </c:pt>
                <c:pt idx="6">
                  <c:v>205.35926818847659</c:v>
                </c:pt>
                <c:pt idx="7">
                  <c:v>192.63348388671881</c:v>
                </c:pt>
                <c:pt idx="8">
                  <c:v>242.67796325683591</c:v>
                </c:pt>
                <c:pt idx="9">
                  <c:v>266.79849243164063</c:v>
                </c:pt>
                <c:pt idx="10">
                  <c:v>244.485107421875</c:v>
                </c:pt>
                <c:pt idx="11">
                  <c:v>180.83451843261719</c:v>
                </c:pt>
                <c:pt idx="12">
                  <c:v>204.9809265136719</c:v>
                </c:pt>
                <c:pt idx="13">
                  <c:v>228.29559326171881</c:v>
                </c:pt>
                <c:pt idx="14">
                  <c:v>253.921142578125</c:v>
                </c:pt>
                <c:pt idx="15">
                  <c:v>234.0198669433594</c:v>
                </c:pt>
                <c:pt idx="16">
                  <c:v>258.85116577148438</c:v>
                </c:pt>
                <c:pt idx="17">
                  <c:v>254.69972229003909</c:v>
                </c:pt>
                <c:pt idx="18">
                  <c:v>193.836181640625</c:v>
                </c:pt>
                <c:pt idx="19">
                  <c:v>237.67219543457031</c:v>
                </c:pt>
                <c:pt idx="20">
                  <c:v>209.73887634277341</c:v>
                </c:pt>
                <c:pt idx="21">
                  <c:v>231.97467041015631</c:v>
                </c:pt>
                <c:pt idx="22">
                  <c:v>227.65357971191409</c:v>
                </c:pt>
                <c:pt idx="23">
                  <c:v>179.02976989746091</c:v>
                </c:pt>
                <c:pt idx="24">
                  <c:v>241.43516540527341</c:v>
                </c:pt>
                <c:pt idx="25">
                  <c:v>245.59263610839841</c:v>
                </c:pt>
                <c:pt idx="26">
                  <c:v>255.87812805175781</c:v>
                </c:pt>
                <c:pt idx="27">
                  <c:v>244.1766662597656</c:v>
                </c:pt>
                <c:pt idx="28">
                  <c:v>248.5754699707031</c:v>
                </c:pt>
                <c:pt idx="29">
                  <c:v>254.39764404296881</c:v>
                </c:pt>
                <c:pt idx="30">
                  <c:v>222.603515625</c:v>
                </c:pt>
                <c:pt idx="31">
                  <c:v>246.49394226074219</c:v>
                </c:pt>
                <c:pt idx="32">
                  <c:v>217.80503845214841</c:v>
                </c:pt>
                <c:pt idx="33">
                  <c:v>231.40684509277341</c:v>
                </c:pt>
                <c:pt idx="34">
                  <c:v>219.42265319824219</c:v>
                </c:pt>
                <c:pt idx="35">
                  <c:v>233.8984069824219</c:v>
                </c:pt>
                <c:pt idx="36">
                  <c:v>237.54420471191409</c:v>
                </c:pt>
                <c:pt idx="37">
                  <c:v>246.7488708496094</c:v>
                </c:pt>
                <c:pt idx="38">
                  <c:v>247.68836975097659</c:v>
                </c:pt>
                <c:pt idx="39">
                  <c:v>220.1150817871094</c:v>
                </c:pt>
                <c:pt idx="40">
                  <c:v>258.24539184570313</c:v>
                </c:pt>
                <c:pt idx="41">
                  <c:v>267.66839599609381</c:v>
                </c:pt>
                <c:pt idx="42">
                  <c:v>272.4984130859375</c:v>
                </c:pt>
                <c:pt idx="43">
                  <c:v>247.46244812011719</c:v>
                </c:pt>
                <c:pt idx="44">
                  <c:v>252.0921630859375</c:v>
                </c:pt>
                <c:pt idx="45">
                  <c:v>286.03677368164063</c:v>
                </c:pt>
                <c:pt idx="46">
                  <c:v>220.34832763671881</c:v>
                </c:pt>
                <c:pt idx="47">
                  <c:v>241.05574035644531</c:v>
                </c:pt>
                <c:pt idx="48">
                  <c:v>271.32025146484381</c:v>
                </c:pt>
                <c:pt idx="49">
                  <c:v>254.44371032714841</c:v>
                </c:pt>
                <c:pt idx="50">
                  <c:v>271.65704345703131</c:v>
                </c:pt>
                <c:pt idx="51">
                  <c:v>287.43936157226563</c:v>
                </c:pt>
                <c:pt idx="52">
                  <c:v>298.4091796875</c:v>
                </c:pt>
                <c:pt idx="53">
                  <c:v>247.0039367675781</c:v>
                </c:pt>
                <c:pt idx="54">
                  <c:v>293.39154052734381</c:v>
                </c:pt>
                <c:pt idx="55">
                  <c:v>258.34228515625</c:v>
                </c:pt>
                <c:pt idx="56">
                  <c:v>266.57217407226563</c:v>
                </c:pt>
                <c:pt idx="57">
                  <c:v>292.84991455078131</c:v>
                </c:pt>
                <c:pt idx="58">
                  <c:v>239.9859924316406</c:v>
                </c:pt>
                <c:pt idx="59">
                  <c:v>268.31369018554688</c:v>
                </c:pt>
                <c:pt idx="60">
                  <c:v>283.35052490234381</c:v>
                </c:pt>
                <c:pt idx="61">
                  <c:v>260.83792114257813</c:v>
                </c:pt>
                <c:pt idx="62">
                  <c:v>268.56619262695313</c:v>
                </c:pt>
                <c:pt idx="63">
                  <c:v>298.33135986328131</c:v>
                </c:pt>
                <c:pt idx="64">
                  <c:v>322.16024780273438</c:v>
                </c:pt>
                <c:pt idx="65">
                  <c:v>248.03343200683591</c:v>
                </c:pt>
                <c:pt idx="66">
                  <c:v>276.08193969726563</c:v>
                </c:pt>
                <c:pt idx="67">
                  <c:v>260.35830688476563</c:v>
                </c:pt>
                <c:pt idx="68">
                  <c:v>284.46749877929688</c:v>
                </c:pt>
                <c:pt idx="69">
                  <c:v>301.74990844726563</c:v>
                </c:pt>
                <c:pt idx="70">
                  <c:v>220.15283203125</c:v>
                </c:pt>
                <c:pt idx="71">
                  <c:v>270.04928588867188</c:v>
                </c:pt>
                <c:pt idx="72">
                  <c:v>238.12751770019531</c:v>
                </c:pt>
                <c:pt idx="73">
                  <c:v>240.96940612792969</c:v>
                </c:pt>
                <c:pt idx="74">
                  <c:v>272.38568115234381</c:v>
                </c:pt>
                <c:pt idx="75">
                  <c:v>264.25662231445313</c:v>
                </c:pt>
                <c:pt idx="76">
                  <c:v>271.49908447265631</c:v>
                </c:pt>
                <c:pt idx="77">
                  <c:v>260.985107421875</c:v>
                </c:pt>
                <c:pt idx="78">
                  <c:v>272.11038208007813</c:v>
                </c:pt>
                <c:pt idx="79">
                  <c:v>272.6680908203125</c:v>
                </c:pt>
                <c:pt idx="80">
                  <c:v>284.49569702148438</c:v>
                </c:pt>
                <c:pt idx="81">
                  <c:v>235.8443603515625</c:v>
                </c:pt>
                <c:pt idx="82">
                  <c:v>247.43513488769531</c:v>
                </c:pt>
                <c:pt idx="83">
                  <c:v>291.94296264648438</c:v>
                </c:pt>
                <c:pt idx="84">
                  <c:v>326.83041381835938</c:v>
                </c:pt>
                <c:pt idx="85">
                  <c:v>340.9891357421875</c:v>
                </c:pt>
                <c:pt idx="86">
                  <c:v>313.47454833984381</c:v>
                </c:pt>
                <c:pt idx="87">
                  <c:v>211.95912170410159</c:v>
                </c:pt>
                <c:pt idx="88">
                  <c:v>265.50604248046881</c:v>
                </c:pt>
                <c:pt idx="89">
                  <c:v>270.79302978515631</c:v>
                </c:pt>
                <c:pt idx="90">
                  <c:v>306.94570922851563</c:v>
                </c:pt>
                <c:pt idx="91">
                  <c:v>318.65939331054688</c:v>
                </c:pt>
                <c:pt idx="92">
                  <c:v>309.990234375</c:v>
                </c:pt>
                <c:pt idx="93">
                  <c:v>327.7259521484375</c:v>
                </c:pt>
                <c:pt idx="94">
                  <c:v>310.7005615234375</c:v>
                </c:pt>
                <c:pt idx="95">
                  <c:v>320.15383911132813</c:v>
                </c:pt>
                <c:pt idx="96">
                  <c:v>288.58090209960938</c:v>
                </c:pt>
                <c:pt idx="97">
                  <c:v>305.25717163085938</c:v>
                </c:pt>
                <c:pt idx="98">
                  <c:v>324.99172973632813</c:v>
                </c:pt>
                <c:pt idx="99">
                  <c:v>311.6939697265625</c:v>
                </c:pt>
                <c:pt idx="100">
                  <c:v>360.45037841796881</c:v>
                </c:pt>
                <c:pt idx="101">
                  <c:v>359.12579345703131</c:v>
                </c:pt>
                <c:pt idx="102">
                  <c:v>349.25247192382813</c:v>
                </c:pt>
                <c:pt idx="103">
                  <c:v>324.1912841796875</c:v>
                </c:pt>
                <c:pt idx="104">
                  <c:v>338.94210815429688</c:v>
                </c:pt>
                <c:pt idx="105">
                  <c:v>342.72201538085938</c:v>
                </c:pt>
                <c:pt idx="106">
                  <c:v>316.01376342773438</c:v>
                </c:pt>
                <c:pt idx="107">
                  <c:v>361.54531860351563</c:v>
                </c:pt>
                <c:pt idx="120">
                  <c:v>339.78375244140631</c:v>
                </c:pt>
                <c:pt idx="121">
                  <c:v>345.9814453125</c:v>
                </c:pt>
                <c:pt idx="122">
                  <c:v>366.60379028320313</c:v>
                </c:pt>
                <c:pt idx="123">
                  <c:v>380.17803955078131</c:v>
                </c:pt>
                <c:pt idx="124">
                  <c:v>370.038330078125</c:v>
                </c:pt>
                <c:pt idx="125">
                  <c:v>405.7720947265625</c:v>
                </c:pt>
                <c:pt idx="126">
                  <c:v>364.56515502929688</c:v>
                </c:pt>
                <c:pt idx="127">
                  <c:v>382.11367797851563</c:v>
                </c:pt>
                <c:pt idx="128">
                  <c:v>373.81912231445313</c:v>
                </c:pt>
                <c:pt idx="129">
                  <c:v>390.43020629882813</c:v>
                </c:pt>
                <c:pt idx="130">
                  <c:v>341.5137939453125</c:v>
                </c:pt>
                <c:pt idx="131">
                  <c:v>420.87686157226563</c:v>
                </c:pt>
              </c:numCache>
            </c:numRef>
          </c:val>
          <c:smooth val="0"/>
          <c:extLst>
            <c:ext xmlns:c16="http://schemas.microsoft.com/office/drawing/2014/chart" uri="{C3380CC4-5D6E-409C-BE32-E72D297353CC}">
              <c16:uniqueId val="{00000001-9EB7-4C44-AAC0-33C355D2D914}"/>
            </c:ext>
          </c:extLst>
        </c:ser>
        <c:ser>
          <c:idx val="1"/>
          <c:order val="1"/>
          <c:tx>
            <c:v>Imports</c:v>
          </c:tx>
          <c:spPr>
            <a:ln w="12700" cap="rnd" cmpd="sng">
              <a:solidFill>
                <a:srgbClr val="FF0000"/>
              </a:solidFill>
              <a:prstDash val="solid"/>
              <a:round/>
            </a:ln>
            <a:effectLst/>
          </c:spPr>
          <c:marker>
            <c:symbol val="none"/>
          </c:marker>
          <c:cat>
            <c:numRef>
              <c:f>'Figure 1'!$B$2:$B$134</c:f>
              <c:numCache>
                <c:formatCode>m/d/yyyy</c:formatCode>
                <c:ptCount val="133"/>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pt idx="132">
                  <c:v>41275</c:v>
                </c:pt>
              </c:numCache>
            </c:numRef>
          </c:cat>
          <c:val>
            <c:numRef>
              <c:f>'Figure 1'!$D$2:$D$134</c:f>
              <c:numCache>
                <c:formatCode>0</c:formatCode>
                <c:ptCount val="133"/>
                <c:pt idx="0">
                  <c:v>177.41758728027341</c:v>
                </c:pt>
                <c:pt idx="1">
                  <c:v>136.49562072753909</c:v>
                </c:pt>
                <c:pt idx="2">
                  <c:v>177.7998046875</c:v>
                </c:pt>
                <c:pt idx="3">
                  <c:v>226.0782165527344</c:v>
                </c:pt>
                <c:pt idx="4">
                  <c:v>226.66282653808591</c:v>
                </c:pt>
                <c:pt idx="5">
                  <c:v>240.93768310546881</c:v>
                </c:pt>
                <c:pt idx="6">
                  <c:v>227.0631103515625</c:v>
                </c:pt>
                <c:pt idx="7">
                  <c:v>259.29293823242188</c:v>
                </c:pt>
                <c:pt idx="8">
                  <c:v>245.8175354003906</c:v>
                </c:pt>
                <c:pt idx="9">
                  <c:v>280.90802001953131</c:v>
                </c:pt>
                <c:pt idx="10">
                  <c:v>158.68475341796881</c:v>
                </c:pt>
                <c:pt idx="11">
                  <c:v>147.3339538574219</c:v>
                </c:pt>
                <c:pt idx="12">
                  <c:v>197.88868713378909</c:v>
                </c:pt>
                <c:pt idx="13">
                  <c:v>142.53044128417969</c:v>
                </c:pt>
                <c:pt idx="14">
                  <c:v>289.69992065429688</c:v>
                </c:pt>
                <c:pt idx="15">
                  <c:v>180.1390380859375</c:v>
                </c:pt>
                <c:pt idx="16">
                  <c:v>193.0949401855469</c:v>
                </c:pt>
                <c:pt idx="17">
                  <c:v>153.2537536621094</c:v>
                </c:pt>
                <c:pt idx="18">
                  <c:v>192.34382629394531</c:v>
                </c:pt>
                <c:pt idx="19">
                  <c:v>259.20233154296881</c:v>
                </c:pt>
                <c:pt idx="20">
                  <c:v>255.2580871582031</c:v>
                </c:pt>
                <c:pt idx="21">
                  <c:v>276.35830688476563</c:v>
                </c:pt>
                <c:pt idx="22">
                  <c:v>242.8653259277344</c:v>
                </c:pt>
                <c:pt idx="23">
                  <c:v>274.72579956054688</c:v>
                </c:pt>
                <c:pt idx="24">
                  <c:v>229.18310546875</c:v>
                </c:pt>
                <c:pt idx="25">
                  <c:v>177.3862609863281</c:v>
                </c:pt>
                <c:pt idx="26">
                  <c:v>226.71623229980469</c:v>
                </c:pt>
                <c:pt idx="27">
                  <c:v>183.37513732910159</c:v>
                </c:pt>
                <c:pt idx="28">
                  <c:v>161.9252624511719</c:v>
                </c:pt>
                <c:pt idx="29">
                  <c:v>229.65437316894531</c:v>
                </c:pt>
                <c:pt idx="30">
                  <c:v>255.6885681152344</c:v>
                </c:pt>
                <c:pt idx="31">
                  <c:v>225.5484619140625</c:v>
                </c:pt>
                <c:pt idx="32">
                  <c:v>225.2021179199219</c:v>
                </c:pt>
                <c:pt idx="33">
                  <c:v>189.38850402832031</c:v>
                </c:pt>
                <c:pt idx="34">
                  <c:v>188.08064270019531</c:v>
                </c:pt>
                <c:pt idx="35">
                  <c:v>171.70576477050781</c:v>
                </c:pt>
                <c:pt idx="36">
                  <c:v>146.2611083984375</c:v>
                </c:pt>
                <c:pt idx="37">
                  <c:v>136.80708312988281</c:v>
                </c:pt>
                <c:pt idx="38">
                  <c:v>148.56407165527341</c:v>
                </c:pt>
                <c:pt idx="39">
                  <c:v>133.2416687011719</c:v>
                </c:pt>
                <c:pt idx="40">
                  <c:v>124.7039413452148</c:v>
                </c:pt>
                <c:pt idx="41">
                  <c:v>137.19110107421881</c:v>
                </c:pt>
                <c:pt idx="42">
                  <c:v>179.88038635253909</c:v>
                </c:pt>
                <c:pt idx="43">
                  <c:v>173.0562438964844</c:v>
                </c:pt>
                <c:pt idx="44">
                  <c:v>208.81886291503909</c:v>
                </c:pt>
                <c:pt idx="45">
                  <c:v>153.08366394042969</c:v>
                </c:pt>
                <c:pt idx="46">
                  <c:v>206.75703430175781</c:v>
                </c:pt>
                <c:pt idx="47">
                  <c:v>136.6456298828125</c:v>
                </c:pt>
                <c:pt idx="48">
                  <c:v>195.89018249511719</c:v>
                </c:pt>
                <c:pt idx="49">
                  <c:v>206.56932067871091</c:v>
                </c:pt>
                <c:pt idx="50">
                  <c:v>192.2663879394531</c:v>
                </c:pt>
                <c:pt idx="51">
                  <c:v>139.8681335449219</c:v>
                </c:pt>
                <c:pt idx="52">
                  <c:v>183.36309814453131</c:v>
                </c:pt>
                <c:pt idx="53">
                  <c:v>226.58251953125</c:v>
                </c:pt>
                <c:pt idx="54">
                  <c:v>235.27191162109381</c:v>
                </c:pt>
                <c:pt idx="55">
                  <c:v>275.1453857421875</c:v>
                </c:pt>
                <c:pt idx="56">
                  <c:v>225.71339416503909</c:v>
                </c:pt>
                <c:pt idx="57">
                  <c:v>248.82110595703131</c:v>
                </c:pt>
                <c:pt idx="58">
                  <c:v>196.89802551269531</c:v>
                </c:pt>
                <c:pt idx="59">
                  <c:v>193.8707275390625</c:v>
                </c:pt>
                <c:pt idx="60">
                  <c:v>239.88087463378909</c:v>
                </c:pt>
                <c:pt idx="61">
                  <c:v>248.22772216796881</c:v>
                </c:pt>
                <c:pt idx="62">
                  <c:v>198.64848327636719</c:v>
                </c:pt>
                <c:pt idx="63">
                  <c:v>182.6890563964844</c:v>
                </c:pt>
                <c:pt idx="64">
                  <c:v>202.90254211425781</c:v>
                </c:pt>
                <c:pt idx="65">
                  <c:v>192.20460510253909</c:v>
                </c:pt>
                <c:pt idx="66">
                  <c:v>260.12393188476563</c:v>
                </c:pt>
                <c:pt idx="67">
                  <c:v>243.73854064941409</c:v>
                </c:pt>
                <c:pt idx="68">
                  <c:v>207.2693176269531</c:v>
                </c:pt>
                <c:pt idx="69">
                  <c:v>242.07354736328131</c:v>
                </c:pt>
                <c:pt idx="70">
                  <c:v>246.98945617675781</c:v>
                </c:pt>
                <c:pt idx="71">
                  <c:v>248.18328857421881</c:v>
                </c:pt>
                <c:pt idx="72">
                  <c:v>238.56651306152341</c:v>
                </c:pt>
                <c:pt idx="73">
                  <c:v>165.4637145996094</c:v>
                </c:pt>
                <c:pt idx="74">
                  <c:v>187.67645263671881</c:v>
                </c:pt>
                <c:pt idx="75">
                  <c:v>291.09857177734381</c:v>
                </c:pt>
                <c:pt idx="76">
                  <c:v>266.75625610351563</c:v>
                </c:pt>
                <c:pt idx="77">
                  <c:v>245.33909606933591</c:v>
                </c:pt>
                <c:pt idx="78">
                  <c:v>209.54302978515631</c:v>
                </c:pt>
                <c:pt idx="79">
                  <c:v>294.31976318359381</c:v>
                </c:pt>
                <c:pt idx="80">
                  <c:v>187.64472961425781</c:v>
                </c:pt>
                <c:pt idx="81">
                  <c:v>230.8194580078125</c:v>
                </c:pt>
                <c:pt idx="82">
                  <c:v>183.8141784667969</c:v>
                </c:pt>
                <c:pt idx="83">
                  <c:v>256.26870727539063</c:v>
                </c:pt>
                <c:pt idx="84">
                  <c:v>220.0250244140625</c:v>
                </c:pt>
                <c:pt idx="85">
                  <c:v>152.11712646484381</c:v>
                </c:pt>
                <c:pt idx="86">
                  <c:v>216.6131286621094</c:v>
                </c:pt>
                <c:pt idx="87">
                  <c:v>174.4770812988281</c:v>
                </c:pt>
                <c:pt idx="88">
                  <c:v>134.5069274902344</c:v>
                </c:pt>
                <c:pt idx="89">
                  <c:v>136.7826232910156</c:v>
                </c:pt>
                <c:pt idx="90">
                  <c:v>140.847412109375</c:v>
                </c:pt>
                <c:pt idx="91">
                  <c:v>166.6409912109375</c:v>
                </c:pt>
                <c:pt idx="92">
                  <c:v>180.45555114746091</c:v>
                </c:pt>
                <c:pt idx="93">
                  <c:v>192.27398681640631</c:v>
                </c:pt>
                <c:pt idx="94">
                  <c:v>193.4126892089844</c:v>
                </c:pt>
                <c:pt idx="95">
                  <c:v>206.5051574707031</c:v>
                </c:pt>
                <c:pt idx="96">
                  <c:v>163.87615966796881</c:v>
                </c:pt>
                <c:pt idx="97">
                  <c:v>169.58671569824219</c:v>
                </c:pt>
                <c:pt idx="98">
                  <c:v>184.60443115234381</c:v>
                </c:pt>
                <c:pt idx="99">
                  <c:v>233.4814147949219</c:v>
                </c:pt>
                <c:pt idx="100">
                  <c:v>186.55216979980469</c:v>
                </c:pt>
                <c:pt idx="101">
                  <c:v>201.884521484375</c:v>
                </c:pt>
                <c:pt idx="102">
                  <c:v>290.22055053710938</c:v>
                </c:pt>
                <c:pt idx="103">
                  <c:v>210.17103576660159</c:v>
                </c:pt>
                <c:pt idx="104">
                  <c:v>188.68882751464841</c:v>
                </c:pt>
                <c:pt idx="105">
                  <c:v>194.49931335449219</c:v>
                </c:pt>
                <c:pt idx="106">
                  <c:v>201.969482421875</c:v>
                </c:pt>
                <c:pt idx="107">
                  <c:v>290.11224365234381</c:v>
                </c:pt>
                <c:pt idx="120">
                  <c:v>264.92019653320313</c:v>
                </c:pt>
                <c:pt idx="121">
                  <c:v>267.309326171875</c:v>
                </c:pt>
                <c:pt idx="122">
                  <c:v>292.103515625</c:v>
                </c:pt>
                <c:pt idx="123">
                  <c:v>273.09683227539063</c:v>
                </c:pt>
                <c:pt idx="124">
                  <c:v>346.748291015625</c:v>
                </c:pt>
                <c:pt idx="125">
                  <c:v>292.6802978515625</c:v>
                </c:pt>
                <c:pt idx="126">
                  <c:v>231.3664855957031</c:v>
                </c:pt>
                <c:pt idx="127">
                  <c:v>292.18142700195313</c:v>
                </c:pt>
                <c:pt idx="128">
                  <c:v>301.03536987304688</c:v>
                </c:pt>
                <c:pt idx="129">
                  <c:v>308.883056640625</c:v>
                </c:pt>
                <c:pt idx="130">
                  <c:v>249.078369140625</c:v>
                </c:pt>
                <c:pt idx="131">
                  <c:v>226.27555847167969</c:v>
                </c:pt>
              </c:numCache>
            </c:numRef>
          </c:val>
          <c:smooth val="0"/>
          <c:extLst>
            <c:ext xmlns:c16="http://schemas.microsoft.com/office/drawing/2014/chart" uri="{C3380CC4-5D6E-409C-BE32-E72D297353CC}">
              <c16:uniqueId val="{00000002-9EB7-4C44-AAC0-33C355D2D914}"/>
            </c:ext>
          </c:extLst>
        </c:ser>
        <c:dLbls>
          <c:showLegendKey val="0"/>
          <c:showVal val="0"/>
          <c:showCatName val="0"/>
          <c:showSerName val="0"/>
          <c:showPercent val="0"/>
          <c:showBubbleSize val="0"/>
        </c:dLbls>
        <c:marker val="1"/>
        <c:smooth val="0"/>
        <c:axId val="29539952"/>
        <c:axId val="46803062"/>
      </c:lineChart>
      <c:lineChart>
        <c:grouping val="standard"/>
        <c:varyColors val="0"/>
        <c:ser>
          <c:idx val="3"/>
          <c:order val="3"/>
          <c:spPr>
            <a:ln w="6350" cap="rnd" cmpd="sng">
              <a:solidFill>
                <a:srgbClr val="000000"/>
              </a:solidFill>
              <a:prstDash val="solid"/>
              <a:round/>
            </a:ln>
            <a:effectLst/>
          </c:spPr>
          <c:marker>
            <c:symbol val="none"/>
          </c:marker>
          <c:cat>
            <c:numRef>
              <c:f>'Figure 1'!$B$2:$B$134</c:f>
              <c:numCache>
                <c:formatCode>m/d/yyyy</c:formatCode>
                <c:ptCount val="133"/>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pt idx="132">
                  <c:v>41275</c:v>
                </c:pt>
              </c:numCache>
            </c:numRef>
          </c:cat>
          <c:val>
            <c:numRef>
              <c:f>'Figure 1'!$F$2:$F$134</c:f>
              <c:numCache>
                <c:formatCode>General</c:formatCode>
                <c:ptCount val="1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numCache>
            </c:numRef>
          </c:val>
          <c:smooth val="0"/>
          <c:extLst>
            <c:ext xmlns:c16="http://schemas.microsoft.com/office/drawing/2014/chart" uri="{C3380CC4-5D6E-409C-BE32-E72D297353CC}">
              <c16:uniqueId val="{00000003-9EB7-4C44-AAC0-33C355D2D914}"/>
            </c:ext>
          </c:extLst>
        </c:ser>
        <c:dLbls>
          <c:showLegendKey val="0"/>
          <c:showVal val="0"/>
          <c:showCatName val="0"/>
          <c:showSerName val="0"/>
          <c:showPercent val="0"/>
          <c:showBubbleSize val="0"/>
        </c:dLbls>
        <c:marker val="1"/>
        <c:smooth val="0"/>
        <c:axId val="57433320"/>
        <c:axId val="996379"/>
      </c:lineChart>
      <c:dateAx>
        <c:axId val="29539952"/>
        <c:scaling>
          <c:orientation val="minMax"/>
        </c:scaling>
        <c:delete val="0"/>
        <c:axPos val="b"/>
        <c:numFmt formatCode="m/d/yyyy"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a:ea typeface="Times New Roman"/>
                <a:cs typeface="Times New Roman"/>
              </a:defRPr>
            </a:pPr>
            <a:endParaRPr lang="en-US"/>
          </a:p>
        </c:txPr>
        <c:crossAx val="46803062"/>
        <c:crosses val="autoZero"/>
        <c:auto val="1"/>
        <c:lblOffset val="100"/>
        <c:baseTimeUnit val="days"/>
      </c:dateAx>
      <c:valAx>
        <c:axId val="46803062"/>
        <c:scaling>
          <c:orientation val="minMax"/>
          <c:max val="450"/>
          <c:min val="100"/>
        </c:scaling>
        <c:delete val="0"/>
        <c:axPos val="l"/>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Times New Roman"/>
                    <a:ea typeface="Times New Roman"/>
                  </a:defRPr>
                </a:pPr>
                <a:r>
                  <a:rPr lang="en-US"/>
                  <a:t>Millions of 2018 USD</a:t>
                </a:r>
              </a:p>
            </c:rich>
          </c:tx>
          <c:overlay val="0"/>
          <c:spPr>
            <a:noFill/>
            <a:ln w="6350">
              <a:noFill/>
            </a:ln>
            <a:effectLst/>
          </c:spPr>
        </c:title>
        <c:numFmt formatCode="0" sourceLinked="1"/>
        <c:majorTickMark val="none"/>
        <c:minorTickMark val="none"/>
        <c:tickLblPos val="nextTo"/>
        <c:spPr>
          <a:noFill/>
          <a:ln w="6350">
            <a:noFill/>
          </a:ln>
          <a:effectLst/>
        </c:spPr>
        <c:txPr>
          <a:bodyPr wrap="square"/>
          <a:lstStyle/>
          <a:p>
            <a:pPr>
              <a:defRPr lang="en-US" sz="900" b="0" i="0" u="none" kern="1200" baseline="0">
                <a:solidFill>
                  <a:schemeClr val="tx1">
                    <a:lumMod val="65000"/>
                    <a:lumOff val="35000"/>
                  </a:schemeClr>
                </a:solidFill>
                <a:latin typeface="Times New Roman"/>
                <a:ea typeface="Times New Roman"/>
                <a:cs typeface="Times New Roman"/>
              </a:defRPr>
            </a:pPr>
            <a:endParaRPr lang="en-US"/>
          </a:p>
        </c:txPr>
        <c:crossAx val="29539952"/>
        <c:crosses val="autoZero"/>
        <c:crossBetween val="between"/>
      </c:valAx>
      <c:dateAx>
        <c:axId val="57433320"/>
        <c:scaling>
          <c:orientation val="minMax"/>
        </c:scaling>
        <c:delete val="1"/>
        <c:axPos val="b"/>
        <c:numFmt formatCode="m/d/yyyy" sourceLinked="1"/>
        <c:majorTickMark val="out"/>
        <c:minorTickMark val="none"/>
        <c:tickLblPos val="nextTo"/>
        <c:crossAx val="996379"/>
        <c:crosses val="autoZero"/>
        <c:auto val="1"/>
        <c:lblOffset val="100"/>
        <c:baseTimeUnit val="days"/>
      </c:dateAx>
      <c:valAx>
        <c:axId val="996379"/>
        <c:scaling>
          <c:orientation val="minMax"/>
          <c:max val="200"/>
          <c:min val="-200"/>
        </c:scaling>
        <c:delete val="0"/>
        <c:axPos val="r"/>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Times New Roman"/>
                    <a:ea typeface="Times New Roman"/>
                  </a:defRPr>
                </a:pPr>
                <a:r>
                  <a:rPr lang="en-US"/>
                  <a:t>Trade Balance (USD)</a:t>
                </a:r>
              </a:p>
            </c:rich>
          </c:tx>
          <c:overlay val="0"/>
          <c:spPr>
            <a:noFill/>
            <a:ln w="6350">
              <a:noFill/>
            </a:ln>
            <a:effectLst/>
          </c:spPr>
        </c:title>
        <c:numFmt formatCode="0" sourceLinked="1"/>
        <c:majorTickMark val="out"/>
        <c:minorTickMark val="none"/>
        <c:tickLblPos val="nextTo"/>
        <c:spPr>
          <a:noFill/>
          <a:ln w="6350">
            <a:noFill/>
          </a:ln>
          <a:effectLst/>
        </c:spPr>
        <c:txPr>
          <a:bodyPr wrap="square"/>
          <a:lstStyle/>
          <a:p>
            <a:pPr>
              <a:defRPr lang="en-US" sz="900" b="0" i="0" u="none" kern="1200" baseline="0">
                <a:solidFill>
                  <a:schemeClr val="tx1">
                    <a:lumMod val="65000"/>
                    <a:lumOff val="35000"/>
                  </a:schemeClr>
                </a:solidFill>
                <a:latin typeface="Times New Roman"/>
                <a:ea typeface="Times New Roman"/>
                <a:cs typeface="Times New Roman"/>
              </a:defRPr>
            </a:pPr>
            <a:endParaRPr lang="en-US"/>
          </a:p>
        </c:txPr>
        <c:crossAx val="57433320"/>
        <c:crosses val="max"/>
        <c:crossBetween val="between"/>
        <c:majorUnit val="100"/>
      </c:valAx>
      <c:spPr>
        <a:noFill/>
        <a:ln w="6350">
          <a:noFill/>
        </a:ln>
        <a:effectLst/>
      </c:spPr>
    </c:plotArea>
    <c:legend>
      <c:legendPos val="b"/>
      <c:legendEntry>
        <c:idx val="3"/>
        <c:delete val="1"/>
      </c:legendEntry>
      <c:overlay val="0"/>
      <c:spPr>
        <a:noFill/>
        <a:ln w="6350">
          <a:noFill/>
          <a:prstDash val="solid"/>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Times New Roman"/>
              <a:ea typeface="Times New Roman"/>
              <a:cs typeface="Times New Roman"/>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9525" cap="flat" cmpd="sng">
      <a:solidFill>
        <a:schemeClr val="tx1">
          <a:lumMod val="15000"/>
          <a:lumOff val="85000"/>
        </a:schemeClr>
      </a:solidFill>
      <a:round/>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Other sections</c:v>
          </c:tx>
          <c:spPr>
            <a:ln w="28575">
              <a:noFill/>
            </a:ln>
            <a:effectLst/>
          </c:spPr>
          <c:marker>
            <c:symbol val="circle"/>
            <c:size val="3"/>
            <c:spPr>
              <a:solidFill>
                <a:srgbClr val="BFBFBF"/>
              </a:solidFill>
              <a:ln w="9525" cap="flat" cmpd="sng">
                <a:solidFill>
                  <a:srgbClr val="BFBFBF"/>
                </a:solidFill>
              </a:ln>
              <a:effectLst/>
            </c:spPr>
          </c:marker>
          <c:xVal>
            <c:numRef>
              <c:f>ImportsChartData!$A$2:$A$1584</c:f>
              <c:numCache>
                <c:formatCode>General</c:formatCode>
                <c:ptCount val="1583"/>
                <c:pt idx="0">
                  <c:v>41640</c:v>
                </c:pt>
                <c:pt idx="1">
                  <c:v>41640</c:v>
                </c:pt>
                <c:pt idx="2">
                  <c:v>41640</c:v>
                </c:pt>
                <c:pt idx="3">
                  <c:v>41640</c:v>
                </c:pt>
                <c:pt idx="4">
                  <c:v>41640</c:v>
                </c:pt>
                <c:pt idx="5">
                  <c:v>41640</c:v>
                </c:pt>
                <c:pt idx="6">
                  <c:v>41640</c:v>
                </c:pt>
                <c:pt idx="7">
                  <c:v>41640</c:v>
                </c:pt>
                <c:pt idx="8">
                  <c:v>41640</c:v>
                </c:pt>
                <c:pt idx="9">
                  <c:v>41640</c:v>
                </c:pt>
                <c:pt idx="10">
                  <c:v>41640</c:v>
                </c:pt>
                <c:pt idx="11">
                  <c:v>41640</c:v>
                </c:pt>
                <c:pt idx="12">
                  <c:v>41640</c:v>
                </c:pt>
                <c:pt idx="13">
                  <c:v>41640</c:v>
                </c:pt>
                <c:pt idx="14">
                  <c:v>41640</c:v>
                </c:pt>
                <c:pt idx="15">
                  <c:v>41671</c:v>
                </c:pt>
                <c:pt idx="16">
                  <c:v>41671</c:v>
                </c:pt>
                <c:pt idx="17">
                  <c:v>41671</c:v>
                </c:pt>
                <c:pt idx="18">
                  <c:v>41671</c:v>
                </c:pt>
                <c:pt idx="19">
                  <c:v>41671</c:v>
                </c:pt>
                <c:pt idx="20">
                  <c:v>41671</c:v>
                </c:pt>
                <c:pt idx="21">
                  <c:v>41671</c:v>
                </c:pt>
                <c:pt idx="22">
                  <c:v>41671</c:v>
                </c:pt>
                <c:pt idx="23">
                  <c:v>41671</c:v>
                </c:pt>
                <c:pt idx="24">
                  <c:v>41671</c:v>
                </c:pt>
                <c:pt idx="25">
                  <c:v>41671</c:v>
                </c:pt>
                <c:pt idx="26">
                  <c:v>41671</c:v>
                </c:pt>
                <c:pt idx="27">
                  <c:v>41671</c:v>
                </c:pt>
                <c:pt idx="28">
                  <c:v>41671</c:v>
                </c:pt>
                <c:pt idx="29">
                  <c:v>41671</c:v>
                </c:pt>
                <c:pt idx="30">
                  <c:v>41699</c:v>
                </c:pt>
                <c:pt idx="31">
                  <c:v>41699</c:v>
                </c:pt>
                <c:pt idx="32">
                  <c:v>41699</c:v>
                </c:pt>
                <c:pt idx="33">
                  <c:v>41699</c:v>
                </c:pt>
                <c:pt idx="34">
                  <c:v>41699</c:v>
                </c:pt>
                <c:pt idx="35">
                  <c:v>41699</c:v>
                </c:pt>
                <c:pt idx="36">
                  <c:v>41699</c:v>
                </c:pt>
                <c:pt idx="37">
                  <c:v>41699</c:v>
                </c:pt>
                <c:pt idx="38">
                  <c:v>41699</c:v>
                </c:pt>
                <c:pt idx="39">
                  <c:v>41699</c:v>
                </c:pt>
                <c:pt idx="40">
                  <c:v>41699</c:v>
                </c:pt>
                <c:pt idx="41">
                  <c:v>41699</c:v>
                </c:pt>
                <c:pt idx="42">
                  <c:v>41699</c:v>
                </c:pt>
                <c:pt idx="43">
                  <c:v>41699</c:v>
                </c:pt>
                <c:pt idx="44">
                  <c:v>41730</c:v>
                </c:pt>
                <c:pt idx="45">
                  <c:v>41730</c:v>
                </c:pt>
                <c:pt idx="46">
                  <c:v>41730</c:v>
                </c:pt>
                <c:pt idx="47">
                  <c:v>41730</c:v>
                </c:pt>
                <c:pt idx="48">
                  <c:v>41730</c:v>
                </c:pt>
                <c:pt idx="49">
                  <c:v>41730</c:v>
                </c:pt>
                <c:pt idx="50">
                  <c:v>41730</c:v>
                </c:pt>
                <c:pt idx="51">
                  <c:v>41730</c:v>
                </c:pt>
                <c:pt idx="52">
                  <c:v>41730</c:v>
                </c:pt>
                <c:pt idx="53">
                  <c:v>41730</c:v>
                </c:pt>
                <c:pt idx="54">
                  <c:v>41730</c:v>
                </c:pt>
                <c:pt idx="55">
                  <c:v>41730</c:v>
                </c:pt>
                <c:pt idx="56">
                  <c:v>41730</c:v>
                </c:pt>
                <c:pt idx="57">
                  <c:v>41730</c:v>
                </c:pt>
                <c:pt idx="58">
                  <c:v>41730</c:v>
                </c:pt>
                <c:pt idx="59">
                  <c:v>41730</c:v>
                </c:pt>
                <c:pt idx="60">
                  <c:v>41760</c:v>
                </c:pt>
                <c:pt idx="61">
                  <c:v>41760</c:v>
                </c:pt>
                <c:pt idx="62">
                  <c:v>41760</c:v>
                </c:pt>
                <c:pt idx="63">
                  <c:v>41760</c:v>
                </c:pt>
                <c:pt idx="64">
                  <c:v>41760</c:v>
                </c:pt>
                <c:pt idx="65">
                  <c:v>41760</c:v>
                </c:pt>
                <c:pt idx="66">
                  <c:v>41760</c:v>
                </c:pt>
                <c:pt idx="67">
                  <c:v>41760</c:v>
                </c:pt>
                <c:pt idx="68">
                  <c:v>41760</c:v>
                </c:pt>
                <c:pt idx="69">
                  <c:v>41760</c:v>
                </c:pt>
                <c:pt idx="70">
                  <c:v>41760</c:v>
                </c:pt>
                <c:pt idx="71">
                  <c:v>41760</c:v>
                </c:pt>
                <c:pt idx="72">
                  <c:v>41760</c:v>
                </c:pt>
                <c:pt idx="73">
                  <c:v>41760</c:v>
                </c:pt>
                <c:pt idx="74">
                  <c:v>41760</c:v>
                </c:pt>
                <c:pt idx="75">
                  <c:v>41791</c:v>
                </c:pt>
                <c:pt idx="76">
                  <c:v>41791</c:v>
                </c:pt>
                <c:pt idx="77">
                  <c:v>41791</c:v>
                </c:pt>
                <c:pt idx="78">
                  <c:v>41791</c:v>
                </c:pt>
                <c:pt idx="79">
                  <c:v>41791</c:v>
                </c:pt>
                <c:pt idx="80">
                  <c:v>41791</c:v>
                </c:pt>
                <c:pt idx="81">
                  <c:v>41791</c:v>
                </c:pt>
                <c:pt idx="82">
                  <c:v>41791</c:v>
                </c:pt>
                <c:pt idx="83">
                  <c:v>41791</c:v>
                </c:pt>
                <c:pt idx="84">
                  <c:v>41791</c:v>
                </c:pt>
                <c:pt idx="85">
                  <c:v>41791</c:v>
                </c:pt>
                <c:pt idx="86">
                  <c:v>41791</c:v>
                </c:pt>
                <c:pt idx="87">
                  <c:v>41791</c:v>
                </c:pt>
                <c:pt idx="88">
                  <c:v>41791</c:v>
                </c:pt>
                <c:pt idx="89">
                  <c:v>41791</c:v>
                </c:pt>
                <c:pt idx="90">
                  <c:v>41821</c:v>
                </c:pt>
                <c:pt idx="91">
                  <c:v>41821</c:v>
                </c:pt>
                <c:pt idx="92">
                  <c:v>41821</c:v>
                </c:pt>
                <c:pt idx="93">
                  <c:v>41821</c:v>
                </c:pt>
                <c:pt idx="94">
                  <c:v>41821</c:v>
                </c:pt>
                <c:pt idx="95">
                  <c:v>41821</c:v>
                </c:pt>
                <c:pt idx="96">
                  <c:v>41821</c:v>
                </c:pt>
                <c:pt idx="97">
                  <c:v>41821</c:v>
                </c:pt>
                <c:pt idx="98">
                  <c:v>41821</c:v>
                </c:pt>
                <c:pt idx="99">
                  <c:v>41821</c:v>
                </c:pt>
                <c:pt idx="100">
                  <c:v>41821</c:v>
                </c:pt>
                <c:pt idx="101">
                  <c:v>41821</c:v>
                </c:pt>
                <c:pt idx="102">
                  <c:v>41821</c:v>
                </c:pt>
                <c:pt idx="103">
                  <c:v>41821</c:v>
                </c:pt>
                <c:pt idx="104">
                  <c:v>41821</c:v>
                </c:pt>
                <c:pt idx="105">
                  <c:v>41852</c:v>
                </c:pt>
                <c:pt idx="106">
                  <c:v>41852</c:v>
                </c:pt>
                <c:pt idx="107">
                  <c:v>41852</c:v>
                </c:pt>
                <c:pt idx="108">
                  <c:v>41852</c:v>
                </c:pt>
                <c:pt idx="109">
                  <c:v>41852</c:v>
                </c:pt>
                <c:pt idx="110">
                  <c:v>41852</c:v>
                </c:pt>
                <c:pt idx="111">
                  <c:v>41852</c:v>
                </c:pt>
                <c:pt idx="112">
                  <c:v>41852</c:v>
                </c:pt>
                <c:pt idx="113">
                  <c:v>41852</c:v>
                </c:pt>
                <c:pt idx="114">
                  <c:v>41852</c:v>
                </c:pt>
                <c:pt idx="115">
                  <c:v>41852</c:v>
                </c:pt>
                <c:pt idx="116">
                  <c:v>41852</c:v>
                </c:pt>
                <c:pt idx="117">
                  <c:v>41852</c:v>
                </c:pt>
                <c:pt idx="118">
                  <c:v>41852</c:v>
                </c:pt>
                <c:pt idx="119">
                  <c:v>41852</c:v>
                </c:pt>
                <c:pt idx="120">
                  <c:v>41883</c:v>
                </c:pt>
                <c:pt idx="121">
                  <c:v>41883</c:v>
                </c:pt>
                <c:pt idx="122">
                  <c:v>41883</c:v>
                </c:pt>
                <c:pt idx="123">
                  <c:v>41883</c:v>
                </c:pt>
                <c:pt idx="124">
                  <c:v>41883</c:v>
                </c:pt>
                <c:pt idx="125">
                  <c:v>41883</c:v>
                </c:pt>
                <c:pt idx="126">
                  <c:v>41883</c:v>
                </c:pt>
                <c:pt idx="127">
                  <c:v>41883</c:v>
                </c:pt>
                <c:pt idx="128">
                  <c:v>41883</c:v>
                </c:pt>
                <c:pt idx="129">
                  <c:v>41883</c:v>
                </c:pt>
                <c:pt idx="130">
                  <c:v>41883</c:v>
                </c:pt>
                <c:pt idx="131">
                  <c:v>41883</c:v>
                </c:pt>
                <c:pt idx="132">
                  <c:v>41883</c:v>
                </c:pt>
                <c:pt idx="133">
                  <c:v>41883</c:v>
                </c:pt>
                <c:pt idx="134">
                  <c:v>41883</c:v>
                </c:pt>
                <c:pt idx="135">
                  <c:v>41913</c:v>
                </c:pt>
                <c:pt idx="136">
                  <c:v>41913</c:v>
                </c:pt>
                <c:pt idx="137">
                  <c:v>41913</c:v>
                </c:pt>
                <c:pt idx="138">
                  <c:v>41913</c:v>
                </c:pt>
                <c:pt idx="139">
                  <c:v>41913</c:v>
                </c:pt>
                <c:pt idx="140">
                  <c:v>41913</c:v>
                </c:pt>
                <c:pt idx="141">
                  <c:v>41913</c:v>
                </c:pt>
                <c:pt idx="142">
                  <c:v>41913</c:v>
                </c:pt>
                <c:pt idx="143">
                  <c:v>41913</c:v>
                </c:pt>
                <c:pt idx="144">
                  <c:v>41913</c:v>
                </c:pt>
                <c:pt idx="145">
                  <c:v>41913</c:v>
                </c:pt>
                <c:pt idx="146">
                  <c:v>41913</c:v>
                </c:pt>
                <c:pt idx="147">
                  <c:v>41913</c:v>
                </c:pt>
                <c:pt idx="148">
                  <c:v>41913</c:v>
                </c:pt>
                <c:pt idx="149">
                  <c:v>41913</c:v>
                </c:pt>
                <c:pt idx="150">
                  <c:v>41944</c:v>
                </c:pt>
                <c:pt idx="151">
                  <c:v>41944</c:v>
                </c:pt>
                <c:pt idx="152">
                  <c:v>41944</c:v>
                </c:pt>
                <c:pt idx="153">
                  <c:v>41944</c:v>
                </c:pt>
                <c:pt idx="154">
                  <c:v>41944</c:v>
                </c:pt>
                <c:pt idx="155">
                  <c:v>41944</c:v>
                </c:pt>
                <c:pt idx="156">
                  <c:v>41944</c:v>
                </c:pt>
                <c:pt idx="157">
                  <c:v>41944</c:v>
                </c:pt>
                <c:pt idx="158">
                  <c:v>41944</c:v>
                </c:pt>
                <c:pt idx="159">
                  <c:v>41944</c:v>
                </c:pt>
                <c:pt idx="160">
                  <c:v>41944</c:v>
                </c:pt>
                <c:pt idx="161">
                  <c:v>41944</c:v>
                </c:pt>
                <c:pt idx="162">
                  <c:v>41944</c:v>
                </c:pt>
                <c:pt idx="163">
                  <c:v>41944</c:v>
                </c:pt>
                <c:pt idx="164">
                  <c:v>41944</c:v>
                </c:pt>
                <c:pt idx="165">
                  <c:v>41944</c:v>
                </c:pt>
                <c:pt idx="166">
                  <c:v>41974</c:v>
                </c:pt>
                <c:pt idx="167">
                  <c:v>41974</c:v>
                </c:pt>
                <c:pt idx="168">
                  <c:v>41974</c:v>
                </c:pt>
                <c:pt idx="169">
                  <c:v>41974</c:v>
                </c:pt>
                <c:pt idx="170">
                  <c:v>41974</c:v>
                </c:pt>
                <c:pt idx="171">
                  <c:v>41974</c:v>
                </c:pt>
                <c:pt idx="172">
                  <c:v>41974</c:v>
                </c:pt>
                <c:pt idx="173">
                  <c:v>41974</c:v>
                </c:pt>
                <c:pt idx="174">
                  <c:v>41974</c:v>
                </c:pt>
                <c:pt idx="175">
                  <c:v>41974</c:v>
                </c:pt>
                <c:pt idx="176">
                  <c:v>41974</c:v>
                </c:pt>
                <c:pt idx="177">
                  <c:v>41974</c:v>
                </c:pt>
                <c:pt idx="178">
                  <c:v>41974</c:v>
                </c:pt>
                <c:pt idx="179">
                  <c:v>41974</c:v>
                </c:pt>
                <c:pt idx="180">
                  <c:v>41974</c:v>
                </c:pt>
                <c:pt idx="181">
                  <c:v>41974</c:v>
                </c:pt>
                <c:pt idx="182">
                  <c:v>42005</c:v>
                </c:pt>
                <c:pt idx="183">
                  <c:v>42005</c:v>
                </c:pt>
                <c:pt idx="184">
                  <c:v>42005</c:v>
                </c:pt>
                <c:pt idx="185">
                  <c:v>42005</c:v>
                </c:pt>
                <c:pt idx="186">
                  <c:v>42005</c:v>
                </c:pt>
                <c:pt idx="187">
                  <c:v>42005</c:v>
                </c:pt>
                <c:pt idx="188">
                  <c:v>42005</c:v>
                </c:pt>
                <c:pt idx="189">
                  <c:v>42005</c:v>
                </c:pt>
                <c:pt idx="190">
                  <c:v>42005</c:v>
                </c:pt>
                <c:pt idx="191">
                  <c:v>42005</c:v>
                </c:pt>
                <c:pt idx="192">
                  <c:v>42005</c:v>
                </c:pt>
                <c:pt idx="193">
                  <c:v>42005</c:v>
                </c:pt>
                <c:pt idx="194">
                  <c:v>42005</c:v>
                </c:pt>
                <c:pt idx="195">
                  <c:v>42036</c:v>
                </c:pt>
                <c:pt idx="196">
                  <c:v>42036</c:v>
                </c:pt>
                <c:pt idx="197">
                  <c:v>42036</c:v>
                </c:pt>
                <c:pt idx="198">
                  <c:v>42036</c:v>
                </c:pt>
                <c:pt idx="199">
                  <c:v>42036</c:v>
                </c:pt>
                <c:pt idx="200">
                  <c:v>42036</c:v>
                </c:pt>
                <c:pt idx="201">
                  <c:v>42036</c:v>
                </c:pt>
                <c:pt idx="202">
                  <c:v>42036</c:v>
                </c:pt>
                <c:pt idx="203">
                  <c:v>42036</c:v>
                </c:pt>
                <c:pt idx="204">
                  <c:v>42036</c:v>
                </c:pt>
                <c:pt idx="205">
                  <c:v>42036</c:v>
                </c:pt>
                <c:pt idx="206">
                  <c:v>42036</c:v>
                </c:pt>
                <c:pt idx="207">
                  <c:v>42036</c:v>
                </c:pt>
                <c:pt idx="208">
                  <c:v>42036</c:v>
                </c:pt>
                <c:pt idx="209">
                  <c:v>42036</c:v>
                </c:pt>
                <c:pt idx="210">
                  <c:v>42064</c:v>
                </c:pt>
                <c:pt idx="211">
                  <c:v>42064</c:v>
                </c:pt>
                <c:pt idx="212">
                  <c:v>42064</c:v>
                </c:pt>
                <c:pt idx="213">
                  <c:v>42064</c:v>
                </c:pt>
                <c:pt idx="214">
                  <c:v>42064</c:v>
                </c:pt>
                <c:pt idx="215">
                  <c:v>42064</c:v>
                </c:pt>
                <c:pt idx="216">
                  <c:v>42064</c:v>
                </c:pt>
                <c:pt idx="217">
                  <c:v>42064</c:v>
                </c:pt>
                <c:pt idx="218">
                  <c:v>42064</c:v>
                </c:pt>
                <c:pt idx="219">
                  <c:v>42064</c:v>
                </c:pt>
                <c:pt idx="220">
                  <c:v>42064</c:v>
                </c:pt>
                <c:pt idx="221">
                  <c:v>42064</c:v>
                </c:pt>
                <c:pt idx="222">
                  <c:v>42064</c:v>
                </c:pt>
                <c:pt idx="223">
                  <c:v>42064</c:v>
                </c:pt>
                <c:pt idx="224">
                  <c:v>42064</c:v>
                </c:pt>
                <c:pt idx="225">
                  <c:v>42064</c:v>
                </c:pt>
                <c:pt idx="226">
                  <c:v>42095</c:v>
                </c:pt>
                <c:pt idx="227">
                  <c:v>42095</c:v>
                </c:pt>
                <c:pt idx="228">
                  <c:v>42095</c:v>
                </c:pt>
                <c:pt idx="229">
                  <c:v>42095</c:v>
                </c:pt>
                <c:pt idx="230">
                  <c:v>42095</c:v>
                </c:pt>
                <c:pt idx="231">
                  <c:v>42095</c:v>
                </c:pt>
                <c:pt idx="232">
                  <c:v>42095</c:v>
                </c:pt>
                <c:pt idx="233">
                  <c:v>42095</c:v>
                </c:pt>
                <c:pt idx="234">
                  <c:v>42095</c:v>
                </c:pt>
                <c:pt idx="235">
                  <c:v>42095</c:v>
                </c:pt>
                <c:pt idx="236">
                  <c:v>42095</c:v>
                </c:pt>
                <c:pt idx="237">
                  <c:v>42095</c:v>
                </c:pt>
                <c:pt idx="238">
                  <c:v>42095</c:v>
                </c:pt>
                <c:pt idx="239">
                  <c:v>42095</c:v>
                </c:pt>
                <c:pt idx="240">
                  <c:v>42095</c:v>
                </c:pt>
                <c:pt idx="241">
                  <c:v>42125</c:v>
                </c:pt>
                <c:pt idx="242">
                  <c:v>42125</c:v>
                </c:pt>
                <c:pt idx="243">
                  <c:v>42125</c:v>
                </c:pt>
                <c:pt idx="244">
                  <c:v>42125</c:v>
                </c:pt>
                <c:pt idx="245">
                  <c:v>42125</c:v>
                </c:pt>
                <c:pt idx="246">
                  <c:v>42125</c:v>
                </c:pt>
                <c:pt idx="247">
                  <c:v>42125</c:v>
                </c:pt>
                <c:pt idx="248">
                  <c:v>42125</c:v>
                </c:pt>
                <c:pt idx="249">
                  <c:v>42125</c:v>
                </c:pt>
                <c:pt idx="250">
                  <c:v>42125</c:v>
                </c:pt>
                <c:pt idx="251">
                  <c:v>42125</c:v>
                </c:pt>
                <c:pt idx="252">
                  <c:v>42125</c:v>
                </c:pt>
                <c:pt idx="253">
                  <c:v>42125</c:v>
                </c:pt>
                <c:pt idx="254">
                  <c:v>42156</c:v>
                </c:pt>
                <c:pt idx="255">
                  <c:v>42156</c:v>
                </c:pt>
                <c:pt idx="256">
                  <c:v>42156</c:v>
                </c:pt>
                <c:pt idx="257">
                  <c:v>42156</c:v>
                </c:pt>
                <c:pt idx="258">
                  <c:v>42156</c:v>
                </c:pt>
                <c:pt idx="259">
                  <c:v>42156</c:v>
                </c:pt>
                <c:pt idx="260">
                  <c:v>42156</c:v>
                </c:pt>
                <c:pt idx="261">
                  <c:v>42156</c:v>
                </c:pt>
                <c:pt idx="262">
                  <c:v>42156</c:v>
                </c:pt>
                <c:pt idx="263">
                  <c:v>42156</c:v>
                </c:pt>
                <c:pt idx="264">
                  <c:v>42156</c:v>
                </c:pt>
                <c:pt idx="265">
                  <c:v>42156</c:v>
                </c:pt>
                <c:pt idx="266">
                  <c:v>42156</c:v>
                </c:pt>
                <c:pt idx="267">
                  <c:v>42156</c:v>
                </c:pt>
                <c:pt idx="268">
                  <c:v>42156</c:v>
                </c:pt>
                <c:pt idx="269">
                  <c:v>42156</c:v>
                </c:pt>
                <c:pt idx="270">
                  <c:v>42186</c:v>
                </c:pt>
                <c:pt idx="271">
                  <c:v>42186</c:v>
                </c:pt>
                <c:pt idx="272">
                  <c:v>42186</c:v>
                </c:pt>
                <c:pt idx="273">
                  <c:v>42186</c:v>
                </c:pt>
                <c:pt idx="274">
                  <c:v>42186</c:v>
                </c:pt>
                <c:pt idx="275">
                  <c:v>42186</c:v>
                </c:pt>
                <c:pt idx="276">
                  <c:v>42186</c:v>
                </c:pt>
                <c:pt idx="277">
                  <c:v>42186</c:v>
                </c:pt>
                <c:pt idx="278">
                  <c:v>42186</c:v>
                </c:pt>
                <c:pt idx="279">
                  <c:v>42186</c:v>
                </c:pt>
                <c:pt idx="280">
                  <c:v>42186</c:v>
                </c:pt>
                <c:pt idx="281">
                  <c:v>42186</c:v>
                </c:pt>
                <c:pt idx="282">
                  <c:v>42186</c:v>
                </c:pt>
                <c:pt idx="283">
                  <c:v>42186</c:v>
                </c:pt>
                <c:pt idx="284">
                  <c:v>42186</c:v>
                </c:pt>
                <c:pt idx="285">
                  <c:v>42217</c:v>
                </c:pt>
                <c:pt idx="286">
                  <c:v>42217</c:v>
                </c:pt>
                <c:pt idx="287">
                  <c:v>42217</c:v>
                </c:pt>
                <c:pt idx="288">
                  <c:v>42217</c:v>
                </c:pt>
                <c:pt idx="289">
                  <c:v>42217</c:v>
                </c:pt>
                <c:pt idx="290">
                  <c:v>42217</c:v>
                </c:pt>
                <c:pt idx="291">
                  <c:v>42217</c:v>
                </c:pt>
                <c:pt idx="292">
                  <c:v>42217</c:v>
                </c:pt>
                <c:pt idx="293">
                  <c:v>42217</c:v>
                </c:pt>
                <c:pt idx="294">
                  <c:v>42217</c:v>
                </c:pt>
                <c:pt idx="295">
                  <c:v>42217</c:v>
                </c:pt>
                <c:pt idx="296">
                  <c:v>42217</c:v>
                </c:pt>
                <c:pt idx="297">
                  <c:v>42217</c:v>
                </c:pt>
                <c:pt idx="298">
                  <c:v>42217</c:v>
                </c:pt>
                <c:pt idx="299">
                  <c:v>42217</c:v>
                </c:pt>
                <c:pt idx="300">
                  <c:v>42248</c:v>
                </c:pt>
                <c:pt idx="301">
                  <c:v>42248</c:v>
                </c:pt>
                <c:pt idx="302">
                  <c:v>42248</c:v>
                </c:pt>
                <c:pt idx="303">
                  <c:v>42248</c:v>
                </c:pt>
                <c:pt idx="304">
                  <c:v>42248</c:v>
                </c:pt>
                <c:pt idx="305">
                  <c:v>42248</c:v>
                </c:pt>
                <c:pt idx="306">
                  <c:v>42248</c:v>
                </c:pt>
                <c:pt idx="307">
                  <c:v>42248</c:v>
                </c:pt>
                <c:pt idx="308">
                  <c:v>42248</c:v>
                </c:pt>
                <c:pt idx="309">
                  <c:v>42248</c:v>
                </c:pt>
                <c:pt idx="310">
                  <c:v>42248</c:v>
                </c:pt>
                <c:pt idx="311">
                  <c:v>42248</c:v>
                </c:pt>
                <c:pt idx="312">
                  <c:v>42248</c:v>
                </c:pt>
                <c:pt idx="313">
                  <c:v>42248</c:v>
                </c:pt>
                <c:pt idx="314">
                  <c:v>42248</c:v>
                </c:pt>
                <c:pt idx="315">
                  <c:v>42278</c:v>
                </c:pt>
                <c:pt idx="316">
                  <c:v>42278</c:v>
                </c:pt>
                <c:pt idx="317">
                  <c:v>42278</c:v>
                </c:pt>
                <c:pt idx="318">
                  <c:v>42278</c:v>
                </c:pt>
                <c:pt idx="319">
                  <c:v>42278</c:v>
                </c:pt>
                <c:pt idx="320">
                  <c:v>42278</c:v>
                </c:pt>
                <c:pt idx="321">
                  <c:v>42278</c:v>
                </c:pt>
                <c:pt idx="322">
                  <c:v>42278</c:v>
                </c:pt>
                <c:pt idx="323">
                  <c:v>42278</c:v>
                </c:pt>
                <c:pt idx="324">
                  <c:v>42278</c:v>
                </c:pt>
                <c:pt idx="325">
                  <c:v>42278</c:v>
                </c:pt>
                <c:pt idx="326">
                  <c:v>42278</c:v>
                </c:pt>
                <c:pt idx="327">
                  <c:v>42278</c:v>
                </c:pt>
                <c:pt idx="328">
                  <c:v>42278</c:v>
                </c:pt>
                <c:pt idx="329">
                  <c:v>42278</c:v>
                </c:pt>
                <c:pt idx="330">
                  <c:v>42309</c:v>
                </c:pt>
                <c:pt idx="331">
                  <c:v>42309</c:v>
                </c:pt>
                <c:pt idx="332">
                  <c:v>42309</c:v>
                </c:pt>
                <c:pt idx="333">
                  <c:v>42309</c:v>
                </c:pt>
                <c:pt idx="334">
                  <c:v>42309</c:v>
                </c:pt>
                <c:pt idx="335">
                  <c:v>42309</c:v>
                </c:pt>
                <c:pt idx="336">
                  <c:v>42309</c:v>
                </c:pt>
                <c:pt idx="337">
                  <c:v>42309</c:v>
                </c:pt>
                <c:pt idx="338">
                  <c:v>42309</c:v>
                </c:pt>
                <c:pt idx="339">
                  <c:v>42309</c:v>
                </c:pt>
                <c:pt idx="340">
                  <c:v>42309</c:v>
                </c:pt>
                <c:pt idx="341">
                  <c:v>42309</c:v>
                </c:pt>
                <c:pt idx="342">
                  <c:v>42309</c:v>
                </c:pt>
                <c:pt idx="343">
                  <c:v>42309</c:v>
                </c:pt>
                <c:pt idx="344">
                  <c:v>42339</c:v>
                </c:pt>
                <c:pt idx="345">
                  <c:v>42339</c:v>
                </c:pt>
                <c:pt idx="346">
                  <c:v>42339</c:v>
                </c:pt>
                <c:pt idx="347">
                  <c:v>42339</c:v>
                </c:pt>
                <c:pt idx="348">
                  <c:v>42339</c:v>
                </c:pt>
                <c:pt idx="349">
                  <c:v>42339</c:v>
                </c:pt>
                <c:pt idx="350">
                  <c:v>42339</c:v>
                </c:pt>
                <c:pt idx="351">
                  <c:v>42339</c:v>
                </c:pt>
                <c:pt idx="352">
                  <c:v>42339</c:v>
                </c:pt>
                <c:pt idx="353">
                  <c:v>42339</c:v>
                </c:pt>
                <c:pt idx="354">
                  <c:v>42339</c:v>
                </c:pt>
                <c:pt idx="355">
                  <c:v>42339</c:v>
                </c:pt>
                <c:pt idx="356">
                  <c:v>42339</c:v>
                </c:pt>
                <c:pt idx="357">
                  <c:v>42339</c:v>
                </c:pt>
                <c:pt idx="358">
                  <c:v>42339</c:v>
                </c:pt>
                <c:pt idx="359">
                  <c:v>42370</c:v>
                </c:pt>
                <c:pt idx="360">
                  <c:v>42370</c:v>
                </c:pt>
                <c:pt idx="361">
                  <c:v>42370</c:v>
                </c:pt>
                <c:pt idx="362">
                  <c:v>42370</c:v>
                </c:pt>
                <c:pt idx="363">
                  <c:v>42370</c:v>
                </c:pt>
                <c:pt idx="364">
                  <c:v>42370</c:v>
                </c:pt>
                <c:pt idx="365">
                  <c:v>42370</c:v>
                </c:pt>
                <c:pt idx="366">
                  <c:v>42370</c:v>
                </c:pt>
                <c:pt idx="367">
                  <c:v>42370</c:v>
                </c:pt>
                <c:pt idx="368">
                  <c:v>42370</c:v>
                </c:pt>
                <c:pt idx="369">
                  <c:v>42370</c:v>
                </c:pt>
                <c:pt idx="370">
                  <c:v>42370</c:v>
                </c:pt>
                <c:pt idx="371">
                  <c:v>42370</c:v>
                </c:pt>
                <c:pt idx="372">
                  <c:v>42370</c:v>
                </c:pt>
                <c:pt idx="373">
                  <c:v>42401</c:v>
                </c:pt>
                <c:pt idx="374">
                  <c:v>42401</c:v>
                </c:pt>
                <c:pt idx="375">
                  <c:v>42401</c:v>
                </c:pt>
                <c:pt idx="376">
                  <c:v>42401</c:v>
                </c:pt>
                <c:pt idx="377">
                  <c:v>42401</c:v>
                </c:pt>
                <c:pt idx="378">
                  <c:v>42401</c:v>
                </c:pt>
                <c:pt idx="379">
                  <c:v>42401</c:v>
                </c:pt>
                <c:pt idx="380">
                  <c:v>42401</c:v>
                </c:pt>
                <c:pt idx="381">
                  <c:v>42401</c:v>
                </c:pt>
                <c:pt idx="382">
                  <c:v>42401</c:v>
                </c:pt>
                <c:pt idx="383">
                  <c:v>42401</c:v>
                </c:pt>
                <c:pt idx="384">
                  <c:v>42401</c:v>
                </c:pt>
                <c:pt idx="385">
                  <c:v>42401</c:v>
                </c:pt>
                <c:pt idx="386">
                  <c:v>42401</c:v>
                </c:pt>
                <c:pt idx="387">
                  <c:v>42430</c:v>
                </c:pt>
                <c:pt idx="388">
                  <c:v>42430</c:v>
                </c:pt>
                <c:pt idx="389">
                  <c:v>42430</c:v>
                </c:pt>
                <c:pt idx="390">
                  <c:v>42430</c:v>
                </c:pt>
                <c:pt idx="391">
                  <c:v>42430</c:v>
                </c:pt>
                <c:pt idx="392">
                  <c:v>42430</c:v>
                </c:pt>
                <c:pt idx="393">
                  <c:v>42430</c:v>
                </c:pt>
                <c:pt idx="394">
                  <c:v>42430</c:v>
                </c:pt>
                <c:pt idx="395">
                  <c:v>42430</c:v>
                </c:pt>
                <c:pt idx="396">
                  <c:v>42430</c:v>
                </c:pt>
                <c:pt idx="397">
                  <c:v>42430</c:v>
                </c:pt>
                <c:pt idx="398">
                  <c:v>42430</c:v>
                </c:pt>
                <c:pt idx="399">
                  <c:v>42430</c:v>
                </c:pt>
                <c:pt idx="400">
                  <c:v>42430</c:v>
                </c:pt>
                <c:pt idx="401">
                  <c:v>42430</c:v>
                </c:pt>
                <c:pt idx="402">
                  <c:v>42461</c:v>
                </c:pt>
                <c:pt idx="403">
                  <c:v>42461</c:v>
                </c:pt>
                <c:pt idx="404">
                  <c:v>42461</c:v>
                </c:pt>
                <c:pt idx="405">
                  <c:v>42461</c:v>
                </c:pt>
                <c:pt idx="406">
                  <c:v>42461</c:v>
                </c:pt>
                <c:pt idx="407">
                  <c:v>42461</c:v>
                </c:pt>
                <c:pt idx="408">
                  <c:v>42461</c:v>
                </c:pt>
                <c:pt idx="409">
                  <c:v>42461</c:v>
                </c:pt>
                <c:pt idx="410">
                  <c:v>42461</c:v>
                </c:pt>
                <c:pt idx="411">
                  <c:v>42461</c:v>
                </c:pt>
                <c:pt idx="412">
                  <c:v>42461</c:v>
                </c:pt>
                <c:pt idx="413">
                  <c:v>42461</c:v>
                </c:pt>
                <c:pt idx="414">
                  <c:v>42461</c:v>
                </c:pt>
                <c:pt idx="415">
                  <c:v>42461</c:v>
                </c:pt>
                <c:pt idx="416">
                  <c:v>42461</c:v>
                </c:pt>
                <c:pt idx="417">
                  <c:v>42461</c:v>
                </c:pt>
                <c:pt idx="418">
                  <c:v>42491</c:v>
                </c:pt>
                <c:pt idx="419">
                  <c:v>42491</c:v>
                </c:pt>
                <c:pt idx="420">
                  <c:v>42491</c:v>
                </c:pt>
                <c:pt idx="421">
                  <c:v>42491</c:v>
                </c:pt>
                <c:pt idx="422">
                  <c:v>42491</c:v>
                </c:pt>
                <c:pt idx="423">
                  <c:v>42491</c:v>
                </c:pt>
                <c:pt idx="424">
                  <c:v>42491</c:v>
                </c:pt>
                <c:pt idx="425">
                  <c:v>42491</c:v>
                </c:pt>
                <c:pt idx="426">
                  <c:v>42491</c:v>
                </c:pt>
                <c:pt idx="427">
                  <c:v>42491</c:v>
                </c:pt>
                <c:pt idx="428">
                  <c:v>42491</c:v>
                </c:pt>
                <c:pt idx="429">
                  <c:v>42491</c:v>
                </c:pt>
                <c:pt idx="430">
                  <c:v>42491</c:v>
                </c:pt>
                <c:pt idx="431">
                  <c:v>42491</c:v>
                </c:pt>
                <c:pt idx="432">
                  <c:v>42491</c:v>
                </c:pt>
                <c:pt idx="433">
                  <c:v>42491</c:v>
                </c:pt>
                <c:pt idx="434">
                  <c:v>42522</c:v>
                </c:pt>
                <c:pt idx="435">
                  <c:v>42522</c:v>
                </c:pt>
                <c:pt idx="436">
                  <c:v>42522</c:v>
                </c:pt>
                <c:pt idx="437">
                  <c:v>42522</c:v>
                </c:pt>
                <c:pt idx="438">
                  <c:v>42522</c:v>
                </c:pt>
                <c:pt idx="439">
                  <c:v>42522</c:v>
                </c:pt>
                <c:pt idx="440">
                  <c:v>42522</c:v>
                </c:pt>
                <c:pt idx="441">
                  <c:v>42522</c:v>
                </c:pt>
                <c:pt idx="442">
                  <c:v>42522</c:v>
                </c:pt>
                <c:pt idx="443">
                  <c:v>42522</c:v>
                </c:pt>
                <c:pt idx="444">
                  <c:v>42522</c:v>
                </c:pt>
                <c:pt idx="445">
                  <c:v>42522</c:v>
                </c:pt>
                <c:pt idx="446">
                  <c:v>42522</c:v>
                </c:pt>
                <c:pt idx="447">
                  <c:v>42522</c:v>
                </c:pt>
                <c:pt idx="448">
                  <c:v>42522</c:v>
                </c:pt>
                <c:pt idx="449">
                  <c:v>42552</c:v>
                </c:pt>
                <c:pt idx="450">
                  <c:v>42552</c:v>
                </c:pt>
                <c:pt idx="451">
                  <c:v>42552</c:v>
                </c:pt>
                <c:pt idx="452">
                  <c:v>42552</c:v>
                </c:pt>
                <c:pt idx="453">
                  <c:v>42552</c:v>
                </c:pt>
                <c:pt idx="454">
                  <c:v>42552</c:v>
                </c:pt>
                <c:pt idx="455">
                  <c:v>42552</c:v>
                </c:pt>
                <c:pt idx="456">
                  <c:v>42552</c:v>
                </c:pt>
                <c:pt idx="457">
                  <c:v>42552</c:v>
                </c:pt>
                <c:pt idx="458">
                  <c:v>42552</c:v>
                </c:pt>
                <c:pt idx="459">
                  <c:v>42552</c:v>
                </c:pt>
                <c:pt idx="460">
                  <c:v>42552</c:v>
                </c:pt>
                <c:pt idx="461">
                  <c:v>42552</c:v>
                </c:pt>
                <c:pt idx="462">
                  <c:v>42552</c:v>
                </c:pt>
                <c:pt idx="463">
                  <c:v>42552</c:v>
                </c:pt>
                <c:pt idx="464">
                  <c:v>42583</c:v>
                </c:pt>
                <c:pt idx="465">
                  <c:v>42583</c:v>
                </c:pt>
                <c:pt idx="466">
                  <c:v>42583</c:v>
                </c:pt>
                <c:pt idx="467">
                  <c:v>42583</c:v>
                </c:pt>
                <c:pt idx="468">
                  <c:v>42583</c:v>
                </c:pt>
                <c:pt idx="469">
                  <c:v>42583</c:v>
                </c:pt>
                <c:pt idx="470">
                  <c:v>42583</c:v>
                </c:pt>
                <c:pt idx="471">
                  <c:v>42583</c:v>
                </c:pt>
                <c:pt idx="472">
                  <c:v>42583</c:v>
                </c:pt>
                <c:pt idx="473">
                  <c:v>42583</c:v>
                </c:pt>
                <c:pt idx="474">
                  <c:v>42583</c:v>
                </c:pt>
                <c:pt idx="475">
                  <c:v>42583</c:v>
                </c:pt>
                <c:pt idx="476">
                  <c:v>42583</c:v>
                </c:pt>
                <c:pt idx="477">
                  <c:v>42583</c:v>
                </c:pt>
                <c:pt idx="478">
                  <c:v>42614</c:v>
                </c:pt>
                <c:pt idx="479">
                  <c:v>42614</c:v>
                </c:pt>
                <c:pt idx="480">
                  <c:v>42614</c:v>
                </c:pt>
                <c:pt idx="481">
                  <c:v>42614</c:v>
                </c:pt>
                <c:pt idx="482">
                  <c:v>42614</c:v>
                </c:pt>
                <c:pt idx="483">
                  <c:v>42614</c:v>
                </c:pt>
                <c:pt idx="484">
                  <c:v>42614</c:v>
                </c:pt>
                <c:pt idx="485">
                  <c:v>42614</c:v>
                </c:pt>
                <c:pt idx="486">
                  <c:v>42614</c:v>
                </c:pt>
                <c:pt idx="487">
                  <c:v>42614</c:v>
                </c:pt>
                <c:pt idx="488">
                  <c:v>42614</c:v>
                </c:pt>
                <c:pt idx="489">
                  <c:v>42614</c:v>
                </c:pt>
                <c:pt idx="490">
                  <c:v>42614</c:v>
                </c:pt>
                <c:pt idx="491">
                  <c:v>42614</c:v>
                </c:pt>
                <c:pt idx="492">
                  <c:v>42614</c:v>
                </c:pt>
                <c:pt idx="493">
                  <c:v>42614</c:v>
                </c:pt>
                <c:pt idx="494">
                  <c:v>42644</c:v>
                </c:pt>
                <c:pt idx="495">
                  <c:v>42644</c:v>
                </c:pt>
                <c:pt idx="496">
                  <c:v>42644</c:v>
                </c:pt>
                <c:pt idx="497">
                  <c:v>42644</c:v>
                </c:pt>
                <c:pt idx="498">
                  <c:v>42644</c:v>
                </c:pt>
                <c:pt idx="499">
                  <c:v>42644</c:v>
                </c:pt>
                <c:pt idx="500">
                  <c:v>42644</c:v>
                </c:pt>
                <c:pt idx="501">
                  <c:v>42644</c:v>
                </c:pt>
                <c:pt idx="502">
                  <c:v>42644</c:v>
                </c:pt>
                <c:pt idx="503">
                  <c:v>42644</c:v>
                </c:pt>
                <c:pt idx="504">
                  <c:v>42644</c:v>
                </c:pt>
                <c:pt idx="505">
                  <c:v>42644</c:v>
                </c:pt>
                <c:pt idx="506">
                  <c:v>42644</c:v>
                </c:pt>
                <c:pt idx="507">
                  <c:v>42675</c:v>
                </c:pt>
                <c:pt idx="508">
                  <c:v>42675</c:v>
                </c:pt>
                <c:pt idx="509">
                  <c:v>42675</c:v>
                </c:pt>
                <c:pt idx="510">
                  <c:v>42675</c:v>
                </c:pt>
                <c:pt idx="511">
                  <c:v>42675</c:v>
                </c:pt>
                <c:pt idx="512">
                  <c:v>42675</c:v>
                </c:pt>
                <c:pt idx="513">
                  <c:v>42675</c:v>
                </c:pt>
                <c:pt idx="514">
                  <c:v>42675</c:v>
                </c:pt>
                <c:pt idx="515">
                  <c:v>42675</c:v>
                </c:pt>
                <c:pt idx="516">
                  <c:v>42675</c:v>
                </c:pt>
                <c:pt idx="517">
                  <c:v>42675</c:v>
                </c:pt>
                <c:pt idx="518">
                  <c:v>42675</c:v>
                </c:pt>
                <c:pt idx="519">
                  <c:v>42675</c:v>
                </c:pt>
                <c:pt idx="520">
                  <c:v>42705</c:v>
                </c:pt>
                <c:pt idx="521">
                  <c:v>42705</c:v>
                </c:pt>
                <c:pt idx="522">
                  <c:v>42705</c:v>
                </c:pt>
                <c:pt idx="523">
                  <c:v>42705</c:v>
                </c:pt>
                <c:pt idx="524">
                  <c:v>42705</c:v>
                </c:pt>
                <c:pt idx="525">
                  <c:v>42705</c:v>
                </c:pt>
                <c:pt idx="526">
                  <c:v>42705</c:v>
                </c:pt>
                <c:pt idx="527">
                  <c:v>42705</c:v>
                </c:pt>
                <c:pt idx="528">
                  <c:v>42705</c:v>
                </c:pt>
                <c:pt idx="529">
                  <c:v>42705</c:v>
                </c:pt>
                <c:pt idx="530">
                  <c:v>42705</c:v>
                </c:pt>
                <c:pt idx="531">
                  <c:v>42705</c:v>
                </c:pt>
                <c:pt idx="532">
                  <c:v>42705</c:v>
                </c:pt>
                <c:pt idx="533">
                  <c:v>42705</c:v>
                </c:pt>
                <c:pt idx="534">
                  <c:v>42705</c:v>
                </c:pt>
                <c:pt idx="535">
                  <c:v>42705</c:v>
                </c:pt>
                <c:pt idx="536">
                  <c:v>42736</c:v>
                </c:pt>
                <c:pt idx="537">
                  <c:v>42736</c:v>
                </c:pt>
                <c:pt idx="538">
                  <c:v>42736</c:v>
                </c:pt>
                <c:pt idx="539">
                  <c:v>42736</c:v>
                </c:pt>
                <c:pt idx="540">
                  <c:v>42736</c:v>
                </c:pt>
                <c:pt idx="541">
                  <c:v>42736</c:v>
                </c:pt>
                <c:pt idx="542">
                  <c:v>42736</c:v>
                </c:pt>
                <c:pt idx="543">
                  <c:v>42736</c:v>
                </c:pt>
                <c:pt idx="544">
                  <c:v>42736</c:v>
                </c:pt>
                <c:pt idx="545">
                  <c:v>42736</c:v>
                </c:pt>
                <c:pt idx="546">
                  <c:v>42736</c:v>
                </c:pt>
                <c:pt idx="547">
                  <c:v>42736</c:v>
                </c:pt>
                <c:pt idx="548">
                  <c:v>42736</c:v>
                </c:pt>
                <c:pt idx="549">
                  <c:v>42736</c:v>
                </c:pt>
                <c:pt idx="550">
                  <c:v>42736</c:v>
                </c:pt>
                <c:pt idx="551">
                  <c:v>42767</c:v>
                </c:pt>
                <c:pt idx="552">
                  <c:v>42767</c:v>
                </c:pt>
                <c:pt idx="553">
                  <c:v>42767</c:v>
                </c:pt>
                <c:pt idx="554">
                  <c:v>42767</c:v>
                </c:pt>
                <c:pt idx="555">
                  <c:v>42767</c:v>
                </c:pt>
                <c:pt idx="556">
                  <c:v>42767</c:v>
                </c:pt>
                <c:pt idx="557">
                  <c:v>42767</c:v>
                </c:pt>
                <c:pt idx="558">
                  <c:v>42767</c:v>
                </c:pt>
                <c:pt idx="559">
                  <c:v>42767</c:v>
                </c:pt>
                <c:pt idx="560">
                  <c:v>42767</c:v>
                </c:pt>
                <c:pt idx="561">
                  <c:v>42767</c:v>
                </c:pt>
                <c:pt idx="562">
                  <c:v>42767</c:v>
                </c:pt>
                <c:pt idx="563">
                  <c:v>42767</c:v>
                </c:pt>
                <c:pt idx="564">
                  <c:v>42767</c:v>
                </c:pt>
                <c:pt idx="565">
                  <c:v>42795</c:v>
                </c:pt>
                <c:pt idx="566">
                  <c:v>42795</c:v>
                </c:pt>
                <c:pt idx="567">
                  <c:v>42795</c:v>
                </c:pt>
                <c:pt idx="568">
                  <c:v>42795</c:v>
                </c:pt>
                <c:pt idx="569">
                  <c:v>42795</c:v>
                </c:pt>
                <c:pt idx="570">
                  <c:v>42795</c:v>
                </c:pt>
                <c:pt idx="571">
                  <c:v>42795</c:v>
                </c:pt>
                <c:pt idx="572">
                  <c:v>42795</c:v>
                </c:pt>
                <c:pt idx="573">
                  <c:v>42795</c:v>
                </c:pt>
                <c:pt idx="574">
                  <c:v>42795</c:v>
                </c:pt>
                <c:pt idx="575">
                  <c:v>42795</c:v>
                </c:pt>
                <c:pt idx="576">
                  <c:v>42795</c:v>
                </c:pt>
                <c:pt idx="577">
                  <c:v>42795</c:v>
                </c:pt>
                <c:pt idx="578">
                  <c:v>42795</c:v>
                </c:pt>
                <c:pt idx="579">
                  <c:v>42795</c:v>
                </c:pt>
                <c:pt idx="580">
                  <c:v>42826</c:v>
                </c:pt>
                <c:pt idx="581">
                  <c:v>42826</c:v>
                </c:pt>
                <c:pt idx="582">
                  <c:v>42826</c:v>
                </c:pt>
                <c:pt idx="583">
                  <c:v>42826</c:v>
                </c:pt>
                <c:pt idx="584">
                  <c:v>42826</c:v>
                </c:pt>
                <c:pt idx="585">
                  <c:v>42826</c:v>
                </c:pt>
                <c:pt idx="586">
                  <c:v>42826</c:v>
                </c:pt>
                <c:pt idx="587">
                  <c:v>42826</c:v>
                </c:pt>
                <c:pt idx="588">
                  <c:v>42826</c:v>
                </c:pt>
                <c:pt idx="589">
                  <c:v>42826</c:v>
                </c:pt>
                <c:pt idx="590">
                  <c:v>42826</c:v>
                </c:pt>
                <c:pt idx="591">
                  <c:v>42826</c:v>
                </c:pt>
                <c:pt idx="592">
                  <c:v>42826</c:v>
                </c:pt>
                <c:pt idx="593">
                  <c:v>42826</c:v>
                </c:pt>
                <c:pt idx="594">
                  <c:v>42826</c:v>
                </c:pt>
                <c:pt idx="595">
                  <c:v>42856</c:v>
                </c:pt>
                <c:pt idx="596">
                  <c:v>42856</c:v>
                </c:pt>
                <c:pt idx="597">
                  <c:v>42856</c:v>
                </c:pt>
                <c:pt idx="598">
                  <c:v>42856</c:v>
                </c:pt>
                <c:pt idx="599">
                  <c:v>42856</c:v>
                </c:pt>
                <c:pt idx="600">
                  <c:v>42856</c:v>
                </c:pt>
                <c:pt idx="601">
                  <c:v>42856</c:v>
                </c:pt>
                <c:pt idx="602">
                  <c:v>42856</c:v>
                </c:pt>
                <c:pt idx="603">
                  <c:v>42856</c:v>
                </c:pt>
                <c:pt idx="604">
                  <c:v>42856</c:v>
                </c:pt>
                <c:pt idx="605">
                  <c:v>42856</c:v>
                </c:pt>
                <c:pt idx="606">
                  <c:v>42856</c:v>
                </c:pt>
                <c:pt idx="607">
                  <c:v>42856</c:v>
                </c:pt>
                <c:pt idx="608">
                  <c:v>42856</c:v>
                </c:pt>
                <c:pt idx="609">
                  <c:v>42856</c:v>
                </c:pt>
                <c:pt idx="610">
                  <c:v>42887</c:v>
                </c:pt>
                <c:pt idx="611">
                  <c:v>42887</c:v>
                </c:pt>
                <c:pt idx="612">
                  <c:v>42887</c:v>
                </c:pt>
                <c:pt idx="613">
                  <c:v>42887</c:v>
                </c:pt>
                <c:pt idx="614">
                  <c:v>42887</c:v>
                </c:pt>
                <c:pt idx="615">
                  <c:v>42887</c:v>
                </c:pt>
                <c:pt idx="616">
                  <c:v>42887</c:v>
                </c:pt>
                <c:pt idx="617">
                  <c:v>42887</c:v>
                </c:pt>
                <c:pt idx="618">
                  <c:v>42887</c:v>
                </c:pt>
                <c:pt idx="619">
                  <c:v>42887</c:v>
                </c:pt>
                <c:pt idx="620">
                  <c:v>42887</c:v>
                </c:pt>
                <c:pt idx="621">
                  <c:v>42887</c:v>
                </c:pt>
                <c:pt idx="622">
                  <c:v>42887</c:v>
                </c:pt>
                <c:pt idx="623">
                  <c:v>42887</c:v>
                </c:pt>
                <c:pt idx="624">
                  <c:v>42887</c:v>
                </c:pt>
                <c:pt idx="625">
                  <c:v>42917</c:v>
                </c:pt>
                <c:pt idx="626">
                  <c:v>42917</c:v>
                </c:pt>
                <c:pt idx="627">
                  <c:v>42917</c:v>
                </c:pt>
                <c:pt idx="628">
                  <c:v>42917</c:v>
                </c:pt>
                <c:pt idx="629">
                  <c:v>42917</c:v>
                </c:pt>
                <c:pt idx="630">
                  <c:v>42917</c:v>
                </c:pt>
                <c:pt idx="631">
                  <c:v>42917</c:v>
                </c:pt>
                <c:pt idx="632">
                  <c:v>42917</c:v>
                </c:pt>
                <c:pt idx="633">
                  <c:v>42917</c:v>
                </c:pt>
                <c:pt idx="634">
                  <c:v>42917</c:v>
                </c:pt>
                <c:pt idx="635">
                  <c:v>42917</c:v>
                </c:pt>
                <c:pt idx="636">
                  <c:v>42917</c:v>
                </c:pt>
                <c:pt idx="637">
                  <c:v>42917</c:v>
                </c:pt>
                <c:pt idx="638">
                  <c:v>42917</c:v>
                </c:pt>
                <c:pt idx="639">
                  <c:v>42948</c:v>
                </c:pt>
                <c:pt idx="640">
                  <c:v>42948</c:v>
                </c:pt>
                <c:pt idx="641">
                  <c:v>42948</c:v>
                </c:pt>
                <c:pt idx="642">
                  <c:v>42948</c:v>
                </c:pt>
                <c:pt idx="643">
                  <c:v>42948</c:v>
                </c:pt>
                <c:pt idx="644">
                  <c:v>42948</c:v>
                </c:pt>
                <c:pt idx="645">
                  <c:v>42948</c:v>
                </c:pt>
                <c:pt idx="646">
                  <c:v>42948</c:v>
                </c:pt>
                <c:pt idx="647">
                  <c:v>42948</c:v>
                </c:pt>
                <c:pt idx="648">
                  <c:v>42948</c:v>
                </c:pt>
                <c:pt idx="649">
                  <c:v>42948</c:v>
                </c:pt>
                <c:pt idx="650">
                  <c:v>42948</c:v>
                </c:pt>
                <c:pt idx="651">
                  <c:v>42948</c:v>
                </c:pt>
                <c:pt idx="652">
                  <c:v>42948</c:v>
                </c:pt>
                <c:pt idx="653">
                  <c:v>42948</c:v>
                </c:pt>
                <c:pt idx="654">
                  <c:v>42979</c:v>
                </c:pt>
                <c:pt idx="655">
                  <c:v>42979</c:v>
                </c:pt>
                <c:pt idx="656">
                  <c:v>42979</c:v>
                </c:pt>
                <c:pt idx="657">
                  <c:v>42979</c:v>
                </c:pt>
                <c:pt idx="658">
                  <c:v>42979</c:v>
                </c:pt>
                <c:pt idx="659">
                  <c:v>42979</c:v>
                </c:pt>
                <c:pt idx="660">
                  <c:v>42979</c:v>
                </c:pt>
                <c:pt idx="661">
                  <c:v>42979</c:v>
                </c:pt>
                <c:pt idx="662">
                  <c:v>42979</c:v>
                </c:pt>
                <c:pt idx="663">
                  <c:v>42979</c:v>
                </c:pt>
                <c:pt idx="664">
                  <c:v>42979</c:v>
                </c:pt>
                <c:pt idx="665">
                  <c:v>42979</c:v>
                </c:pt>
                <c:pt idx="666">
                  <c:v>42979</c:v>
                </c:pt>
                <c:pt idx="667">
                  <c:v>42979</c:v>
                </c:pt>
                <c:pt idx="668">
                  <c:v>43009</c:v>
                </c:pt>
                <c:pt idx="669">
                  <c:v>43009</c:v>
                </c:pt>
                <c:pt idx="670">
                  <c:v>43009</c:v>
                </c:pt>
                <c:pt idx="671">
                  <c:v>43009</c:v>
                </c:pt>
                <c:pt idx="672">
                  <c:v>43009</c:v>
                </c:pt>
                <c:pt idx="673">
                  <c:v>43009</c:v>
                </c:pt>
                <c:pt idx="674">
                  <c:v>43009</c:v>
                </c:pt>
                <c:pt idx="675">
                  <c:v>43009</c:v>
                </c:pt>
                <c:pt idx="676">
                  <c:v>43009</c:v>
                </c:pt>
                <c:pt idx="677">
                  <c:v>43009</c:v>
                </c:pt>
                <c:pt idx="678">
                  <c:v>43009</c:v>
                </c:pt>
                <c:pt idx="679">
                  <c:v>43009</c:v>
                </c:pt>
                <c:pt idx="680">
                  <c:v>43009</c:v>
                </c:pt>
                <c:pt idx="681">
                  <c:v>43009</c:v>
                </c:pt>
                <c:pt idx="682">
                  <c:v>43009</c:v>
                </c:pt>
                <c:pt idx="683">
                  <c:v>43009</c:v>
                </c:pt>
                <c:pt idx="684">
                  <c:v>43040</c:v>
                </c:pt>
                <c:pt idx="685">
                  <c:v>43040</c:v>
                </c:pt>
                <c:pt idx="686">
                  <c:v>43040</c:v>
                </c:pt>
                <c:pt idx="687">
                  <c:v>43040</c:v>
                </c:pt>
                <c:pt idx="688">
                  <c:v>43040</c:v>
                </c:pt>
                <c:pt idx="689">
                  <c:v>43040</c:v>
                </c:pt>
                <c:pt idx="690">
                  <c:v>43040</c:v>
                </c:pt>
                <c:pt idx="691">
                  <c:v>43040</c:v>
                </c:pt>
                <c:pt idx="692">
                  <c:v>43040</c:v>
                </c:pt>
                <c:pt idx="693">
                  <c:v>43040</c:v>
                </c:pt>
                <c:pt idx="694">
                  <c:v>43040</c:v>
                </c:pt>
                <c:pt idx="695">
                  <c:v>43040</c:v>
                </c:pt>
                <c:pt idx="696">
                  <c:v>43040</c:v>
                </c:pt>
                <c:pt idx="697">
                  <c:v>43040</c:v>
                </c:pt>
                <c:pt idx="698">
                  <c:v>43040</c:v>
                </c:pt>
                <c:pt idx="699">
                  <c:v>43070</c:v>
                </c:pt>
                <c:pt idx="700">
                  <c:v>43070</c:v>
                </c:pt>
                <c:pt idx="701">
                  <c:v>43070</c:v>
                </c:pt>
                <c:pt idx="702">
                  <c:v>43070</c:v>
                </c:pt>
                <c:pt idx="703">
                  <c:v>43070</c:v>
                </c:pt>
                <c:pt idx="704">
                  <c:v>43070</c:v>
                </c:pt>
                <c:pt idx="705">
                  <c:v>43070</c:v>
                </c:pt>
                <c:pt idx="706">
                  <c:v>43070</c:v>
                </c:pt>
                <c:pt idx="707">
                  <c:v>43070</c:v>
                </c:pt>
                <c:pt idx="708">
                  <c:v>43070</c:v>
                </c:pt>
                <c:pt idx="709">
                  <c:v>43070</c:v>
                </c:pt>
                <c:pt idx="710">
                  <c:v>43070</c:v>
                </c:pt>
                <c:pt idx="711">
                  <c:v>43070</c:v>
                </c:pt>
                <c:pt idx="712">
                  <c:v>43070</c:v>
                </c:pt>
                <c:pt idx="713">
                  <c:v>43101</c:v>
                </c:pt>
                <c:pt idx="714">
                  <c:v>43101</c:v>
                </c:pt>
                <c:pt idx="715">
                  <c:v>43101</c:v>
                </c:pt>
                <c:pt idx="716">
                  <c:v>43101</c:v>
                </c:pt>
                <c:pt idx="717">
                  <c:v>43101</c:v>
                </c:pt>
                <c:pt idx="718">
                  <c:v>43101</c:v>
                </c:pt>
                <c:pt idx="719">
                  <c:v>43101</c:v>
                </c:pt>
                <c:pt idx="720">
                  <c:v>43101</c:v>
                </c:pt>
                <c:pt idx="721">
                  <c:v>43101</c:v>
                </c:pt>
                <c:pt idx="722">
                  <c:v>43101</c:v>
                </c:pt>
                <c:pt idx="723">
                  <c:v>43101</c:v>
                </c:pt>
                <c:pt idx="724">
                  <c:v>43101</c:v>
                </c:pt>
                <c:pt idx="725">
                  <c:v>43101</c:v>
                </c:pt>
                <c:pt idx="726">
                  <c:v>43101</c:v>
                </c:pt>
                <c:pt idx="727">
                  <c:v>43132</c:v>
                </c:pt>
                <c:pt idx="728">
                  <c:v>43132</c:v>
                </c:pt>
                <c:pt idx="729">
                  <c:v>43132</c:v>
                </c:pt>
                <c:pt idx="730">
                  <c:v>43132</c:v>
                </c:pt>
                <c:pt idx="731">
                  <c:v>43132</c:v>
                </c:pt>
                <c:pt idx="732">
                  <c:v>43132</c:v>
                </c:pt>
                <c:pt idx="733">
                  <c:v>43132</c:v>
                </c:pt>
                <c:pt idx="734">
                  <c:v>43132</c:v>
                </c:pt>
                <c:pt idx="735">
                  <c:v>43132</c:v>
                </c:pt>
                <c:pt idx="736">
                  <c:v>43132</c:v>
                </c:pt>
                <c:pt idx="737">
                  <c:v>43132</c:v>
                </c:pt>
                <c:pt idx="738">
                  <c:v>43132</c:v>
                </c:pt>
                <c:pt idx="739">
                  <c:v>43132</c:v>
                </c:pt>
                <c:pt idx="740">
                  <c:v>43132</c:v>
                </c:pt>
                <c:pt idx="741">
                  <c:v>43160</c:v>
                </c:pt>
                <c:pt idx="742">
                  <c:v>43160</c:v>
                </c:pt>
                <c:pt idx="743">
                  <c:v>43160</c:v>
                </c:pt>
                <c:pt idx="744">
                  <c:v>43160</c:v>
                </c:pt>
                <c:pt idx="745">
                  <c:v>43160</c:v>
                </c:pt>
                <c:pt idx="746">
                  <c:v>43160</c:v>
                </c:pt>
                <c:pt idx="747">
                  <c:v>43160</c:v>
                </c:pt>
                <c:pt idx="748">
                  <c:v>43160</c:v>
                </c:pt>
                <c:pt idx="749">
                  <c:v>43160</c:v>
                </c:pt>
                <c:pt idx="750">
                  <c:v>43160</c:v>
                </c:pt>
                <c:pt idx="751">
                  <c:v>43160</c:v>
                </c:pt>
                <c:pt idx="752">
                  <c:v>43160</c:v>
                </c:pt>
                <c:pt idx="753">
                  <c:v>43160</c:v>
                </c:pt>
                <c:pt idx="754">
                  <c:v>43160</c:v>
                </c:pt>
                <c:pt idx="755">
                  <c:v>43160</c:v>
                </c:pt>
                <c:pt idx="756">
                  <c:v>43191</c:v>
                </c:pt>
                <c:pt idx="757">
                  <c:v>43191</c:v>
                </c:pt>
                <c:pt idx="758">
                  <c:v>43191</c:v>
                </c:pt>
                <c:pt idx="759">
                  <c:v>43191</c:v>
                </c:pt>
                <c:pt idx="760">
                  <c:v>43191</c:v>
                </c:pt>
                <c:pt idx="761">
                  <c:v>43191</c:v>
                </c:pt>
                <c:pt idx="762">
                  <c:v>43191</c:v>
                </c:pt>
                <c:pt idx="763">
                  <c:v>43191</c:v>
                </c:pt>
                <c:pt idx="764">
                  <c:v>43191</c:v>
                </c:pt>
                <c:pt idx="765">
                  <c:v>43191</c:v>
                </c:pt>
                <c:pt idx="766">
                  <c:v>43191</c:v>
                </c:pt>
                <c:pt idx="767">
                  <c:v>43191</c:v>
                </c:pt>
                <c:pt idx="768">
                  <c:v>43191</c:v>
                </c:pt>
                <c:pt idx="769">
                  <c:v>43191</c:v>
                </c:pt>
                <c:pt idx="770">
                  <c:v>43221</c:v>
                </c:pt>
                <c:pt idx="771">
                  <c:v>43221</c:v>
                </c:pt>
                <c:pt idx="772">
                  <c:v>43221</c:v>
                </c:pt>
                <c:pt idx="773">
                  <c:v>43221</c:v>
                </c:pt>
                <c:pt idx="774">
                  <c:v>43221</c:v>
                </c:pt>
                <c:pt idx="775">
                  <c:v>43221</c:v>
                </c:pt>
                <c:pt idx="776">
                  <c:v>43221</c:v>
                </c:pt>
                <c:pt idx="777">
                  <c:v>43221</c:v>
                </c:pt>
                <c:pt idx="778">
                  <c:v>43221</c:v>
                </c:pt>
                <c:pt idx="779">
                  <c:v>43221</c:v>
                </c:pt>
                <c:pt idx="780">
                  <c:v>43221</c:v>
                </c:pt>
                <c:pt idx="781">
                  <c:v>43221</c:v>
                </c:pt>
                <c:pt idx="782">
                  <c:v>43221</c:v>
                </c:pt>
                <c:pt idx="783">
                  <c:v>43221</c:v>
                </c:pt>
                <c:pt idx="784">
                  <c:v>43221</c:v>
                </c:pt>
                <c:pt idx="785">
                  <c:v>43252</c:v>
                </c:pt>
                <c:pt idx="786">
                  <c:v>43252</c:v>
                </c:pt>
                <c:pt idx="787">
                  <c:v>43252</c:v>
                </c:pt>
                <c:pt idx="788">
                  <c:v>43252</c:v>
                </c:pt>
                <c:pt idx="789">
                  <c:v>43252</c:v>
                </c:pt>
                <c:pt idx="790">
                  <c:v>43252</c:v>
                </c:pt>
                <c:pt idx="791">
                  <c:v>43252</c:v>
                </c:pt>
                <c:pt idx="792">
                  <c:v>43252</c:v>
                </c:pt>
                <c:pt idx="793">
                  <c:v>43252</c:v>
                </c:pt>
                <c:pt idx="794">
                  <c:v>43252</c:v>
                </c:pt>
                <c:pt idx="795">
                  <c:v>43252</c:v>
                </c:pt>
                <c:pt idx="796">
                  <c:v>43252</c:v>
                </c:pt>
                <c:pt idx="797">
                  <c:v>43252</c:v>
                </c:pt>
                <c:pt idx="798">
                  <c:v>43252</c:v>
                </c:pt>
                <c:pt idx="799">
                  <c:v>43282</c:v>
                </c:pt>
                <c:pt idx="800">
                  <c:v>43282</c:v>
                </c:pt>
                <c:pt idx="801">
                  <c:v>43282</c:v>
                </c:pt>
                <c:pt idx="802">
                  <c:v>43282</c:v>
                </c:pt>
                <c:pt idx="803">
                  <c:v>43282</c:v>
                </c:pt>
                <c:pt idx="804">
                  <c:v>43282</c:v>
                </c:pt>
                <c:pt idx="805">
                  <c:v>43282</c:v>
                </c:pt>
                <c:pt idx="806">
                  <c:v>43282</c:v>
                </c:pt>
                <c:pt idx="807">
                  <c:v>43282</c:v>
                </c:pt>
                <c:pt idx="808">
                  <c:v>43282</c:v>
                </c:pt>
                <c:pt idx="809">
                  <c:v>43282</c:v>
                </c:pt>
                <c:pt idx="810">
                  <c:v>43282</c:v>
                </c:pt>
                <c:pt idx="811">
                  <c:v>43282</c:v>
                </c:pt>
                <c:pt idx="812">
                  <c:v>43282</c:v>
                </c:pt>
                <c:pt idx="813">
                  <c:v>43282</c:v>
                </c:pt>
                <c:pt idx="814">
                  <c:v>43313</c:v>
                </c:pt>
                <c:pt idx="815">
                  <c:v>43313</c:v>
                </c:pt>
                <c:pt idx="816">
                  <c:v>43313</c:v>
                </c:pt>
                <c:pt idx="817">
                  <c:v>43313</c:v>
                </c:pt>
                <c:pt idx="818">
                  <c:v>43313</c:v>
                </c:pt>
                <c:pt idx="819">
                  <c:v>43313</c:v>
                </c:pt>
                <c:pt idx="820">
                  <c:v>43313</c:v>
                </c:pt>
                <c:pt idx="821">
                  <c:v>43313</c:v>
                </c:pt>
                <c:pt idx="822">
                  <c:v>43313</c:v>
                </c:pt>
                <c:pt idx="823">
                  <c:v>43313</c:v>
                </c:pt>
                <c:pt idx="824">
                  <c:v>43313</c:v>
                </c:pt>
                <c:pt idx="825">
                  <c:v>43313</c:v>
                </c:pt>
                <c:pt idx="826">
                  <c:v>43313</c:v>
                </c:pt>
                <c:pt idx="827">
                  <c:v>43313</c:v>
                </c:pt>
                <c:pt idx="828">
                  <c:v>43313</c:v>
                </c:pt>
                <c:pt idx="829">
                  <c:v>43344</c:v>
                </c:pt>
                <c:pt idx="830">
                  <c:v>43344</c:v>
                </c:pt>
                <c:pt idx="831">
                  <c:v>43344</c:v>
                </c:pt>
                <c:pt idx="832">
                  <c:v>43344</c:v>
                </c:pt>
                <c:pt idx="833">
                  <c:v>43344</c:v>
                </c:pt>
                <c:pt idx="834">
                  <c:v>43344</c:v>
                </c:pt>
                <c:pt idx="835">
                  <c:v>43344</c:v>
                </c:pt>
                <c:pt idx="836">
                  <c:v>43344</c:v>
                </c:pt>
                <c:pt idx="837">
                  <c:v>43344</c:v>
                </c:pt>
                <c:pt idx="838">
                  <c:v>43344</c:v>
                </c:pt>
                <c:pt idx="839">
                  <c:v>43344</c:v>
                </c:pt>
                <c:pt idx="840">
                  <c:v>43344</c:v>
                </c:pt>
                <c:pt idx="841">
                  <c:v>43344</c:v>
                </c:pt>
                <c:pt idx="842">
                  <c:v>43344</c:v>
                </c:pt>
                <c:pt idx="843">
                  <c:v>43344</c:v>
                </c:pt>
                <c:pt idx="844">
                  <c:v>43374</c:v>
                </c:pt>
                <c:pt idx="845">
                  <c:v>43374</c:v>
                </c:pt>
                <c:pt idx="846">
                  <c:v>43374</c:v>
                </c:pt>
                <c:pt idx="847">
                  <c:v>43374</c:v>
                </c:pt>
                <c:pt idx="848">
                  <c:v>43374</c:v>
                </c:pt>
                <c:pt idx="849">
                  <c:v>43374</c:v>
                </c:pt>
                <c:pt idx="850">
                  <c:v>43374</c:v>
                </c:pt>
                <c:pt idx="851">
                  <c:v>43374</c:v>
                </c:pt>
                <c:pt idx="852">
                  <c:v>43374</c:v>
                </c:pt>
                <c:pt idx="853">
                  <c:v>43374</c:v>
                </c:pt>
                <c:pt idx="854">
                  <c:v>43374</c:v>
                </c:pt>
                <c:pt idx="855">
                  <c:v>43374</c:v>
                </c:pt>
                <c:pt idx="856">
                  <c:v>43374</c:v>
                </c:pt>
                <c:pt idx="857">
                  <c:v>43374</c:v>
                </c:pt>
                <c:pt idx="858">
                  <c:v>43405</c:v>
                </c:pt>
                <c:pt idx="859">
                  <c:v>43405</c:v>
                </c:pt>
                <c:pt idx="860">
                  <c:v>43405</c:v>
                </c:pt>
                <c:pt idx="861">
                  <c:v>43405</c:v>
                </c:pt>
                <c:pt idx="862">
                  <c:v>43405</c:v>
                </c:pt>
                <c:pt idx="863">
                  <c:v>43405</c:v>
                </c:pt>
                <c:pt idx="864">
                  <c:v>43405</c:v>
                </c:pt>
                <c:pt idx="865">
                  <c:v>43405</c:v>
                </c:pt>
                <c:pt idx="866">
                  <c:v>43405</c:v>
                </c:pt>
                <c:pt idx="867">
                  <c:v>43405</c:v>
                </c:pt>
                <c:pt idx="868">
                  <c:v>43405</c:v>
                </c:pt>
                <c:pt idx="869">
                  <c:v>43405</c:v>
                </c:pt>
                <c:pt idx="870">
                  <c:v>43405</c:v>
                </c:pt>
                <c:pt idx="871">
                  <c:v>43405</c:v>
                </c:pt>
                <c:pt idx="872">
                  <c:v>43435</c:v>
                </c:pt>
                <c:pt idx="873">
                  <c:v>43435</c:v>
                </c:pt>
                <c:pt idx="874">
                  <c:v>43435</c:v>
                </c:pt>
                <c:pt idx="875">
                  <c:v>43435</c:v>
                </c:pt>
                <c:pt idx="876">
                  <c:v>43435</c:v>
                </c:pt>
                <c:pt idx="877">
                  <c:v>43435</c:v>
                </c:pt>
                <c:pt idx="878">
                  <c:v>43435</c:v>
                </c:pt>
                <c:pt idx="879">
                  <c:v>43435</c:v>
                </c:pt>
                <c:pt idx="880">
                  <c:v>43435</c:v>
                </c:pt>
                <c:pt idx="881">
                  <c:v>43435</c:v>
                </c:pt>
                <c:pt idx="882">
                  <c:v>43435</c:v>
                </c:pt>
                <c:pt idx="883">
                  <c:v>43435</c:v>
                </c:pt>
                <c:pt idx="884">
                  <c:v>43435</c:v>
                </c:pt>
                <c:pt idx="885">
                  <c:v>43435</c:v>
                </c:pt>
                <c:pt idx="886">
                  <c:v>43435</c:v>
                </c:pt>
                <c:pt idx="887">
                  <c:v>43466</c:v>
                </c:pt>
                <c:pt idx="888">
                  <c:v>43466</c:v>
                </c:pt>
                <c:pt idx="889">
                  <c:v>43466</c:v>
                </c:pt>
                <c:pt idx="890">
                  <c:v>43466</c:v>
                </c:pt>
                <c:pt idx="891">
                  <c:v>43466</c:v>
                </c:pt>
                <c:pt idx="892">
                  <c:v>43466</c:v>
                </c:pt>
                <c:pt idx="893">
                  <c:v>43466</c:v>
                </c:pt>
                <c:pt idx="894">
                  <c:v>43466</c:v>
                </c:pt>
                <c:pt idx="895">
                  <c:v>43466</c:v>
                </c:pt>
                <c:pt idx="896">
                  <c:v>43466</c:v>
                </c:pt>
                <c:pt idx="897">
                  <c:v>43466</c:v>
                </c:pt>
                <c:pt idx="898">
                  <c:v>43466</c:v>
                </c:pt>
                <c:pt idx="899">
                  <c:v>43466</c:v>
                </c:pt>
                <c:pt idx="900">
                  <c:v>43466</c:v>
                </c:pt>
                <c:pt idx="901">
                  <c:v>43466</c:v>
                </c:pt>
                <c:pt idx="902">
                  <c:v>43466</c:v>
                </c:pt>
                <c:pt idx="903">
                  <c:v>43497</c:v>
                </c:pt>
                <c:pt idx="904">
                  <c:v>43497</c:v>
                </c:pt>
                <c:pt idx="905">
                  <c:v>43497</c:v>
                </c:pt>
                <c:pt idx="906">
                  <c:v>43497</c:v>
                </c:pt>
                <c:pt idx="907">
                  <c:v>43497</c:v>
                </c:pt>
                <c:pt idx="908">
                  <c:v>43497</c:v>
                </c:pt>
                <c:pt idx="909">
                  <c:v>43497</c:v>
                </c:pt>
                <c:pt idx="910">
                  <c:v>43497</c:v>
                </c:pt>
                <c:pt idx="911">
                  <c:v>43497</c:v>
                </c:pt>
                <c:pt idx="912">
                  <c:v>43497</c:v>
                </c:pt>
                <c:pt idx="913">
                  <c:v>43497</c:v>
                </c:pt>
                <c:pt idx="914">
                  <c:v>43497</c:v>
                </c:pt>
                <c:pt idx="915">
                  <c:v>43497</c:v>
                </c:pt>
                <c:pt idx="916">
                  <c:v>43497</c:v>
                </c:pt>
                <c:pt idx="917">
                  <c:v>43497</c:v>
                </c:pt>
                <c:pt idx="918">
                  <c:v>43525</c:v>
                </c:pt>
                <c:pt idx="919">
                  <c:v>43525</c:v>
                </c:pt>
                <c:pt idx="920">
                  <c:v>43525</c:v>
                </c:pt>
                <c:pt idx="921">
                  <c:v>43525</c:v>
                </c:pt>
                <c:pt idx="922">
                  <c:v>43525</c:v>
                </c:pt>
                <c:pt idx="923">
                  <c:v>43525</c:v>
                </c:pt>
                <c:pt idx="924">
                  <c:v>43525</c:v>
                </c:pt>
                <c:pt idx="925">
                  <c:v>43525</c:v>
                </c:pt>
                <c:pt idx="926">
                  <c:v>43525</c:v>
                </c:pt>
                <c:pt idx="927">
                  <c:v>43525</c:v>
                </c:pt>
                <c:pt idx="928">
                  <c:v>43525</c:v>
                </c:pt>
                <c:pt idx="929">
                  <c:v>43525</c:v>
                </c:pt>
                <c:pt idx="930">
                  <c:v>43525</c:v>
                </c:pt>
                <c:pt idx="931">
                  <c:v>43525</c:v>
                </c:pt>
                <c:pt idx="932">
                  <c:v>43525</c:v>
                </c:pt>
                <c:pt idx="933">
                  <c:v>43525</c:v>
                </c:pt>
                <c:pt idx="934">
                  <c:v>43556</c:v>
                </c:pt>
                <c:pt idx="935">
                  <c:v>43556</c:v>
                </c:pt>
                <c:pt idx="936">
                  <c:v>43556</c:v>
                </c:pt>
                <c:pt idx="937">
                  <c:v>43556</c:v>
                </c:pt>
                <c:pt idx="938">
                  <c:v>43556</c:v>
                </c:pt>
                <c:pt idx="939">
                  <c:v>43556</c:v>
                </c:pt>
                <c:pt idx="940">
                  <c:v>43556</c:v>
                </c:pt>
                <c:pt idx="941">
                  <c:v>43556</c:v>
                </c:pt>
                <c:pt idx="942">
                  <c:v>43556</c:v>
                </c:pt>
                <c:pt idx="943">
                  <c:v>43556</c:v>
                </c:pt>
                <c:pt idx="944">
                  <c:v>43556</c:v>
                </c:pt>
                <c:pt idx="945">
                  <c:v>43556</c:v>
                </c:pt>
                <c:pt idx="946">
                  <c:v>43556</c:v>
                </c:pt>
                <c:pt idx="947">
                  <c:v>43556</c:v>
                </c:pt>
                <c:pt idx="948">
                  <c:v>43556</c:v>
                </c:pt>
                <c:pt idx="949">
                  <c:v>43586</c:v>
                </c:pt>
                <c:pt idx="950">
                  <c:v>43586</c:v>
                </c:pt>
                <c:pt idx="951">
                  <c:v>43586</c:v>
                </c:pt>
                <c:pt idx="952">
                  <c:v>43586</c:v>
                </c:pt>
                <c:pt idx="953">
                  <c:v>43586</c:v>
                </c:pt>
                <c:pt idx="954">
                  <c:v>43586</c:v>
                </c:pt>
                <c:pt idx="955">
                  <c:v>43586</c:v>
                </c:pt>
                <c:pt idx="956">
                  <c:v>43586</c:v>
                </c:pt>
                <c:pt idx="957">
                  <c:v>43586</c:v>
                </c:pt>
                <c:pt idx="958">
                  <c:v>43586</c:v>
                </c:pt>
                <c:pt idx="959">
                  <c:v>43586</c:v>
                </c:pt>
                <c:pt idx="960">
                  <c:v>43586</c:v>
                </c:pt>
                <c:pt idx="961">
                  <c:v>43586</c:v>
                </c:pt>
                <c:pt idx="962">
                  <c:v>43586</c:v>
                </c:pt>
                <c:pt idx="963">
                  <c:v>43617</c:v>
                </c:pt>
                <c:pt idx="964">
                  <c:v>43617</c:v>
                </c:pt>
                <c:pt idx="965">
                  <c:v>43617</c:v>
                </c:pt>
                <c:pt idx="966">
                  <c:v>43617</c:v>
                </c:pt>
                <c:pt idx="967">
                  <c:v>43617</c:v>
                </c:pt>
                <c:pt idx="968">
                  <c:v>43617</c:v>
                </c:pt>
                <c:pt idx="969">
                  <c:v>43617</c:v>
                </c:pt>
                <c:pt idx="970">
                  <c:v>43617</c:v>
                </c:pt>
                <c:pt idx="971">
                  <c:v>43617</c:v>
                </c:pt>
                <c:pt idx="972">
                  <c:v>43617</c:v>
                </c:pt>
                <c:pt idx="973">
                  <c:v>43617</c:v>
                </c:pt>
                <c:pt idx="974">
                  <c:v>43617</c:v>
                </c:pt>
                <c:pt idx="975">
                  <c:v>43617</c:v>
                </c:pt>
                <c:pt idx="976">
                  <c:v>43617</c:v>
                </c:pt>
                <c:pt idx="977">
                  <c:v>43617</c:v>
                </c:pt>
                <c:pt idx="978">
                  <c:v>43647</c:v>
                </c:pt>
                <c:pt idx="979">
                  <c:v>43647</c:v>
                </c:pt>
                <c:pt idx="980">
                  <c:v>43647</c:v>
                </c:pt>
                <c:pt idx="981">
                  <c:v>43647</c:v>
                </c:pt>
                <c:pt idx="982">
                  <c:v>43647</c:v>
                </c:pt>
                <c:pt idx="983">
                  <c:v>43647</c:v>
                </c:pt>
                <c:pt idx="984">
                  <c:v>43647</c:v>
                </c:pt>
                <c:pt idx="985">
                  <c:v>43647</c:v>
                </c:pt>
                <c:pt idx="986">
                  <c:v>43647</c:v>
                </c:pt>
                <c:pt idx="987">
                  <c:v>43647</c:v>
                </c:pt>
                <c:pt idx="988">
                  <c:v>43647</c:v>
                </c:pt>
                <c:pt idx="989">
                  <c:v>43647</c:v>
                </c:pt>
                <c:pt idx="990">
                  <c:v>43647</c:v>
                </c:pt>
                <c:pt idx="991">
                  <c:v>43647</c:v>
                </c:pt>
                <c:pt idx="992">
                  <c:v>43647</c:v>
                </c:pt>
                <c:pt idx="993">
                  <c:v>43647</c:v>
                </c:pt>
                <c:pt idx="994">
                  <c:v>43678</c:v>
                </c:pt>
                <c:pt idx="995">
                  <c:v>43678</c:v>
                </c:pt>
                <c:pt idx="996">
                  <c:v>43678</c:v>
                </c:pt>
                <c:pt idx="997">
                  <c:v>43678</c:v>
                </c:pt>
                <c:pt idx="998">
                  <c:v>43678</c:v>
                </c:pt>
                <c:pt idx="999">
                  <c:v>43678</c:v>
                </c:pt>
                <c:pt idx="1000">
                  <c:v>43678</c:v>
                </c:pt>
                <c:pt idx="1001">
                  <c:v>43678</c:v>
                </c:pt>
                <c:pt idx="1002">
                  <c:v>43678</c:v>
                </c:pt>
                <c:pt idx="1003">
                  <c:v>43678</c:v>
                </c:pt>
                <c:pt idx="1004">
                  <c:v>43678</c:v>
                </c:pt>
                <c:pt idx="1005">
                  <c:v>43678</c:v>
                </c:pt>
                <c:pt idx="1006">
                  <c:v>43678</c:v>
                </c:pt>
                <c:pt idx="1007">
                  <c:v>43678</c:v>
                </c:pt>
                <c:pt idx="1008">
                  <c:v>43678</c:v>
                </c:pt>
                <c:pt idx="1009">
                  <c:v>43709</c:v>
                </c:pt>
                <c:pt idx="1010">
                  <c:v>43709</c:v>
                </c:pt>
                <c:pt idx="1011">
                  <c:v>43709</c:v>
                </c:pt>
                <c:pt idx="1012">
                  <c:v>43709</c:v>
                </c:pt>
                <c:pt idx="1013">
                  <c:v>43709</c:v>
                </c:pt>
                <c:pt idx="1014">
                  <c:v>43709</c:v>
                </c:pt>
                <c:pt idx="1015">
                  <c:v>43709</c:v>
                </c:pt>
                <c:pt idx="1016">
                  <c:v>43709</c:v>
                </c:pt>
                <c:pt idx="1017">
                  <c:v>43709</c:v>
                </c:pt>
                <c:pt idx="1018">
                  <c:v>43709</c:v>
                </c:pt>
                <c:pt idx="1019">
                  <c:v>43709</c:v>
                </c:pt>
                <c:pt idx="1020">
                  <c:v>43709</c:v>
                </c:pt>
                <c:pt idx="1021">
                  <c:v>43709</c:v>
                </c:pt>
                <c:pt idx="1022">
                  <c:v>43709</c:v>
                </c:pt>
                <c:pt idx="1023">
                  <c:v>43709</c:v>
                </c:pt>
                <c:pt idx="1024">
                  <c:v>43709</c:v>
                </c:pt>
                <c:pt idx="1025">
                  <c:v>43739</c:v>
                </c:pt>
                <c:pt idx="1026">
                  <c:v>43739</c:v>
                </c:pt>
                <c:pt idx="1027">
                  <c:v>43739</c:v>
                </c:pt>
                <c:pt idx="1028">
                  <c:v>43739</c:v>
                </c:pt>
                <c:pt idx="1029">
                  <c:v>43739</c:v>
                </c:pt>
                <c:pt idx="1030">
                  <c:v>43739</c:v>
                </c:pt>
                <c:pt idx="1031">
                  <c:v>43739</c:v>
                </c:pt>
                <c:pt idx="1032">
                  <c:v>43739</c:v>
                </c:pt>
                <c:pt idx="1033">
                  <c:v>43739</c:v>
                </c:pt>
                <c:pt idx="1034">
                  <c:v>43739</c:v>
                </c:pt>
                <c:pt idx="1035">
                  <c:v>43739</c:v>
                </c:pt>
                <c:pt idx="1036">
                  <c:v>43739</c:v>
                </c:pt>
                <c:pt idx="1037">
                  <c:v>43739</c:v>
                </c:pt>
                <c:pt idx="1038">
                  <c:v>43739</c:v>
                </c:pt>
                <c:pt idx="1039">
                  <c:v>43770</c:v>
                </c:pt>
                <c:pt idx="1040">
                  <c:v>43770</c:v>
                </c:pt>
                <c:pt idx="1041">
                  <c:v>43770</c:v>
                </c:pt>
                <c:pt idx="1042">
                  <c:v>43770</c:v>
                </c:pt>
                <c:pt idx="1043">
                  <c:v>43770</c:v>
                </c:pt>
                <c:pt idx="1044">
                  <c:v>43770</c:v>
                </c:pt>
                <c:pt idx="1045">
                  <c:v>43770</c:v>
                </c:pt>
                <c:pt idx="1046">
                  <c:v>43770</c:v>
                </c:pt>
                <c:pt idx="1047">
                  <c:v>43770</c:v>
                </c:pt>
                <c:pt idx="1048">
                  <c:v>43770</c:v>
                </c:pt>
                <c:pt idx="1049">
                  <c:v>43770</c:v>
                </c:pt>
                <c:pt idx="1050">
                  <c:v>43770</c:v>
                </c:pt>
                <c:pt idx="1051">
                  <c:v>43770</c:v>
                </c:pt>
                <c:pt idx="1052">
                  <c:v>43770</c:v>
                </c:pt>
                <c:pt idx="1053">
                  <c:v>43770</c:v>
                </c:pt>
                <c:pt idx="1054">
                  <c:v>43770</c:v>
                </c:pt>
                <c:pt idx="1055">
                  <c:v>43800</c:v>
                </c:pt>
                <c:pt idx="1056">
                  <c:v>43800</c:v>
                </c:pt>
                <c:pt idx="1057">
                  <c:v>43800</c:v>
                </c:pt>
                <c:pt idx="1058">
                  <c:v>43800</c:v>
                </c:pt>
                <c:pt idx="1059">
                  <c:v>43800</c:v>
                </c:pt>
                <c:pt idx="1060">
                  <c:v>43800</c:v>
                </c:pt>
                <c:pt idx="1061">
                  <c:v>43800</c:v>
                </c:pt>
                <c:pt idx="1062">
                  <c:v>43800</c:v>
                </c:pt>
                <c:pt idx="1063">
                  <c:v>43800</c:v>
                </c:pt>
                <c:pt idx="1064">
                  <c:v>43800</c:v>
                </c:pt>
                <c:pt idx="1065">
                  <c:v>43800</c:v>
                </c:pt>
                <c:pt idx="1066">
                  <c:v>43800</c:v>
                </c:pt>
                <c:pt idx="1067">
                  <c:v>43800</c:v>
                </c:pt>
                <c:pt idx="1068">
                  <c:v>43800</c:v>
                </c:pt>
                <c:pt idx="1069">
                  <c:v>43800</c:v>
                </c:pt>
                <c:pt idx="1070">
                  <c:v>43800</c:v>
                </c:pt>
                <c:pt idx="1071">
                  <c:v>43831</c:v>
                </c:pt>
                <c:pt idx="1072">
                  <c:v>43831</c:v>
                </c:pt>
                <c:pt idx="1073">
                  <c:v>43831</c:v>
                </c:pt>
                <c:pt idx="1074">
                  <c:v>43831</c:v>
                </c:pt>
                <c:pt idx="1075">
                  <c:v>43831</c:v>
                </c:pt>
                <c:pt idx="1076">
                  <c:v>43831</c:v>
                </c:pt>
                <c:pt idx="1077">
                  <c:v>43831</c:v>
                </c:pt>
                <c:pt idx="1078">
                  <c:v>43831</c:v>
                </c:pt>
                <c:pt idx="1079">
                  <c:v>43831</c:v>
                </c:pt>
                <c:pt idx="1080">
                  <c:v>43831</c:v>
                </c:pt>
                <c:pt idx="1081">
                  <c:v>43831</c:v>
                </c:pt>
                <c:pt idx="1082">
                  <c:v>43831</c:v>
                </c:pt>
                <c:pt idx="1083">
                  <c:v>43831</c:v>
                </c:pt>
                <c:pt idx="1084">
                  <c:v>43831</c:v>
                </c:pt>
                <c:pt idx="1085">
                  <c:v>43831</c:v>
                </c:pt>
                <c:pt idx="1086">
                  <c:v>43862</c:v>
                </c:pt>
                <c:pt idx="1087">
                  <c:v>43862</c:v>
                </c:pt>
                <c:pt idx="1088">
                  <c:v>43862</c:v>
                </c:pt>
                <c:pt idx="1089">
                  <c:v>43862</c:v>
                </c:pt>
                <c:pt idx="1090">
                  <c:v>43862</c:v>
                </c:pt>
                <c:pt idx="1091">
                  <c:v>43862</c:v>
                </c:pt>
                <c:pt idx="1092">
                  <c:v>43862</c:v>
                </c:pt>
                <c:pt idx="1093">
                  <c:v>43862</c:v>
                </c:pt>
                <c:pt idx="1094">
                  <c:v>43862</c:v>
                </c:pt>
                <c:pt idx="1095">
                  <c:v>43862</c:v>
                </c:pt>
                <c:pt idx="1096">
                  <c:v>43862</c:v>
                </c:pt>
                <c:pt idx="1097">
                  <c:v>43862</c:v>
                </c:pt>
                <c:pt idx="1098">
                  <c:v>43862</c:v>
                </c:pt>
                <c:pt idx="1099">
                  <c:v>43862</c:v>
                </c:pt>
                <c:pt idx="1100">
                  <c:v>43891</c:v>
                </c:pt>
                <c:pt idx="1101">
                  <c:v>43891</c:v>
                </c:pt>
                <c:pt idx="1102">
                  <c:v>43891</c:v>
                </c:pt>
                <c:pt idx="1103">
                  <c:v>43891</c:v>
                </c:pt>
                <c:pt idx="1104">
                  <c:v>43891</c:v>
                </c:pt>
                <c:pt idx="1105">
                  <c:v>43891</c:v>
                </c:pt>
                <c:pt idx="1106">
                  <c:v>43891</c:v>
                </c:pt>
                <c:pt idx="1107">
                  <c:v>43891</c:v>
                </c:pt>
                <c:pt idx="1108">
                  <c:v>43891</c:v>
                </c:pt>
                <c:pt idx="1109">
                  <c:v>43891</c:v>
                </c:pt>
                <c:pt idx="1110">
                  <c:v>43891</c:v>
                </c:pt>
                <c:pt idx="1111">
                  <c:v>43891</c:v>
                </c:pt>
                <c:pt idx="1112">
                  <c:v>43891</c:v>
                </c:pt>
                <c:pt idx="1113">
                  <c:v>43891</c:v>
                </c:pt>
                <c:pt idx="1114">
                  <c:v>43922</c:v>
                </c:pt>
                <c:pt idx="1115">
                  <c:v>43922</c:v>
                </c:pt>
                <c:pt idx="1116">
                  <c:v>43922</c:v>
                </c:pt>
                <c:pt idx="1117">
                  <c:v>43922</c:v>
                </c:pt>
                <c:pt idx="1118">
                  <c:v>43922</c:v>
                </c:pt>
                <c:pt idx="1119">
                  <c:v>43922</c:v>
                </c:pt>
                <c:pt idx="1120">
                  <c:v>43922</c:v>
                </c:pt>
                <c:pt idx="1121">
                  <c:v>43922</c:v>
                </c:pt>
                <c:pt idx="1122">
                  <c:v>43922</c:v>
                </c:pt>
                <c:pt idx="1123">
                  <c:v>43922</c:v>
                </c:pt>
                <c:pt idx="1124">
                  <c:v>43922</c:v>
                </c:pt>
                <c:pt idx="1125">
                  <c:v>43922</c:v>
                </c:pt>
                <c:pt idx="1126">
                  <c:v>43922</c:v>
                </c:pt>
                <c:pt idx="1127">
                  <c:v>43922</c:v>
                </c:pt>
                <c:pt idx="1128">
                  <c:v>43922</c:v>
                </c:pt>
                <c:pt idx="1129">
                  <c:v>43952</c:v>
                </c:pt>
                <c:pt idx="1130">
                  <c:v>43952</c:v>
                </c:pt>
                <c:pt idx="1131">
                  <c:v>43952</c:v>
                </c:pt>
                <c:pt idx="1132">
                  <c:v>43952</c:v>
                </c:pt>
                <c:pt idx="1133">
                  <c:v>43952</c:v>
                </c:pt>
                <c:pt idx="1134">
                  <c:v>43952</c:v>
                </c:pt>
                <c:pt idx="1135">
                  <c:v>43952</c:v>
                </c:pt>
                <c:pt idx="1136">
                  <c:v>43952</c:v>
                </c:pt>
                <c:pt idx="1137">
                  <c:v>43952</c:v>
                </c:pt>
                <c:pt idx="1138">
                  <c:v>43952</c:v>
                </c:pt>
                <c:pt idx="1139">
                  <c:v>43952</c:v>
                </c:pt>
                <c:pt idx="1140">
                  <c:v>43952</c:v>
                </c:pt>
                <c:pt idx="1141">
                  <c:v>43952</c:v>
                </c:pt>
                <c:pt idx="1142">
                  <c:v>43952</c:v>
                </c:pt>
                <c:pt idx="1143">
                  <c:v>43983</c:v>
                </c:pt>
                <c:pt idx="1144">
                  <c:v>43983</c:v>
                </c:pt>
                <c:pt idx="1145">
                  <c:v>43983</c:v>
                </c:pt>
                <c:pt idx="1146">
                  <c:v>43983</c:v>
                </c:pt>
                <c:pt idx="1147">
                  <c:v>43983</c:v>
                </c:pt>
                <c:pt idx="1148">
                  <c:v>43983</c:v>
                </c:pt>
                <c:pt idx="1149">
                  <c:v>43983</c:v>
                </c:pt>
                <c:pt idx="1150">
                  <c:v>43983</c:v>
                </c:pt>
                <c:pt idx="1151">
                  <c:v>43983</c:v>
                </c:pt>
                <c:pt idx="1152">
                  <c:v>43983</c:v>
                </c:pt>
                <c:pt idx="1153">
                  <c:v>43983</c:v>
                </c:pt>
                <c:pt idx="1154">
                  <c:v>43983</c:v>
                </c:pt>
                <c:pt idx="1155">
                  <c:v>43983</c:v>
                </c:pt>
                <c:pt idx="1156">
                  <c:v>43983</c:v>
                </c:pt>
                <c:pt idx="1157">
                  <c:v>43983</c:v>
                </c:pt>
                <c:pt idx="1158">
                  <c:v>44013</c:v>
                </c:pt>
                <c:pt idx="1159">
                  <c:v>44013</c:v>
                </c:pt>
                <c:pt idx="1160">
                  <c:v>44013</c:v>
                </c:pt>
                <c:pt idx="1161">
                  <c:v>44013</c:v>
                </c:pt>
                <c:pt idx="1162">
                  <c:v>44013</c:v>
                </c:pt>
                <c:pt idx="1163">
                  <c:v>44013</c:v>
                </c:pt>
                <c:pt idx="1164">
                  <c:v>44013</c:v>
                </c:pt>
                <c:pt idx="1165">
                  <c:v>44013</c:v>
                </c:pt>
                <c:pt idx="1166">
                  <c:v>44013</c:v>
                </c:pt>
                <c:pt idx="1167">
                  <c:v>44013</c:v>
                </c:pt>
                <c:pt idx="1168">
                  <c:v>44013</c:v>
                </c:pt>
                <c:pt idx="1169">
                  <c:v>44013</c:v>
                </c:pt>
                <c:pt idx="1170">
                  <c:v>44013</c:v>
                </c:pt>
                <c:pt idx="1171">
                  <c:v>44013</c:v>
                </c:pt>
                <c:pt idx="1172">
                  <c:v>44013</c:v>
                </c:pt>
                <c:pt idx="1173">
                  <c:v>44013</c:v>
                </c:pt>
                <c:pt idx="1174">
                  <c:v>44044</c:v>
                </c:pt>
                <c:pt idx="1175">
                  <c:v>44044</c:v>
                </c:pt>
                <c:pt idx="1176">
                  <c:v>44044</c:v>
                </c:pt>
                <c:pt idx="1177">
                  <c:v>44044</c:v>
                </c:pt>
                <c:pt idx="1178">
                  <c:v>44044</c:v>
                </c:pt>
                <c:pt idx="1179">
                  <c:v>44044</c:v>
                </c:pt>
                <c:pt idx="1180">
                  <c:v>44044</c:v>
                </c:pt>
                <c:pt idx="1181">
                  <c:v>44044</c:v>
                </c:pt>
                <c:pt idx="1182">
                  <c:v>44044</c:v>
                </c:pt>
                <c:pt idx="1183">
                  <c:v>44044</c:v>
                </c:pt>
                <c:pt idx="1184">
                  <c:v>44044</c:v>
                </c:pt>
                <c:pt idx="1185">
                  <c:v>44044</c:v>
                </c:pt>
                <c:pt idx="1186">
                  <c:v>44044</c:v>
                </c:pt>
                <c:pt idx="1187">
                  <c:v>44044</c:v>
                </c:pt>
                <c:pt idx="1188">
                  <c:v>44044</c:v>
                </c:pt>
                <c:pt idx="1189">
                  <c:v>44075</c:v>
                </c:pt>
                <c:pt idx="1190">
                  <c:v>44075</c:v>
                </c:pt>
                <c:pt idx="1191">
                  <c:v>44075</c:v>
                </c:pt>
                <c:pt idx="1192">
                  <c:v>44075</c:v>
                </c:pt>
                <c:pt idx="1193">
                  <c:v>44075</c:v>
                </c:pt>
                <c:pt idx="1194">
                  <c:v>44075</c:v>
                </c:pt>
                <c:pt idx="1195">
                  <c:v>44075</c:v>
                </c:pt>
                <c:pt idx="1196">
                  <c:v>44075</c:v>
                </c:pt>
                <c:pt idx="1197">
                  <c:v>44075</c:v>
                </c:pt>
                <c:pt idx="1198">
                  <c:v>44075</c:v>
                </c:pt>
                <c:pt idx="1199">
                  <c:v>44075</c:v>
                </c:pt>
                <c:pt idx="1200">
                  <c:v>44075</c:v>
                </c:pt>
                <c:pt idx="1201">
                  <c:v>44075</c:v>
                </c:pt>
                <c:pt idx="1202">
                  <c:v>44075</c:v>
                </c:pt>
                <c:pt idx="1203">
                  <c:v>44075</c:v>
                </c:pt>
                <c:pt idx="1204">
                  <c:v>44105</c:v>
                </c:pt>
                <c:pt idx="1205">
                  <c:v>44105</c:v>
                </c:pt>
                <c:pt idx="1206">
                  <c:v>44105</c:v>
                </c:pt>
                <c:pt idx="1207">
                  <c:v>44105</c:v>
                </c:pt>
                <c:pt idx="1208">
                  <c:v>44105</c:v>
                </c:pt>
                <c:pt idx="1209">
                  <c:v>44105</c:v>
                </c:pt>
                <c:pt idx="1210">
                  <c:v>44105</c:v>
                </c:pt>
                <c:pt idx="1211">
                  <c:v>44105</c:v>
                </c:pt>
                <c:pt idx="1212">
                  <c:v>44105</c:v>
                </c:pt>
                <c:pt idx="1213">
                  <c:v>44105</c:v>
                </c:pt>
                <c:pt idx="1214">
                  <c:v>44105</c:v>
                </c:pt>
                <c:pt idx="1215">
                  <c:v>44105</c:v>
                </c:pt>
                <c:pt idx="1216">
                  <c:v>44105</c:v>
                </c:pt>
                <c:pt idx="1217">
                  <c:v>44105</c:v>
                </c:pt>
                <c:pt idx="1218">
                  <c:v>44105</c:v>
                </c:pt>
                <c:pt idx="1219">
                  <c:v>44136</c:v>
                </c:pt>
                <c:pt idx="1220">
                  <c:v>44136</c:v>
                </c:pt>
                <c:pt idx="1221">
                  <c:v>44136</c:v>
                </c:pt>
                <c:pt idx="1222">
                  <c:v>44136</c:v>
                </c:pt>
                <c:pt idx="1223">
                  <c:v>44136</c:v>
                </c:pt>
                <c:pt idx="1224">
                  <c:v>44136</c:v>
                </c:pt>
                <c:pt idx="1225">
                  <c:v>44136</c:v>
                </c:pt>
                <c:pt idx="1226">
                  <c:v>44136</c:v>
                </c:pt>
                <c:pt idx="1227">
                  <c:v>44136</c:v>
                </c:pt>
                <c:pt idx="1228">
                  <c:v>44136</c:v>
                </c:pt>
                <c:pt idx="1229">
                  <c:v>44136</c:v>
                </c:pt>
                <c:pt idx="1230">
                  <c:v>44136</c:v>
                </c:pt>
                <c:pt idx="1231">
                  <c:v>44136</c:v>
                </c:pt>
                <c:pt idx="1232">
                  <c:v>44136</c:v>
                </c:pt>
                <c:pt idx="1233">
                  <c:v>44136</c:v>
                </c:pt>
                <c:pt idx="1234">
                  <c:v>44136</c:v>
                </c:pt>
                <c:pt idx="1235">
                  <c:v>44166</c:v>
                </c:pt>
                <c:pt idx="1236">
                  <c:v>44166</c:v>
                </c:pt>
                <c:pt idx="1237">
                  <c:v>44166</c:v>
                </c:pt>
                <c:pt idx="1238">
                  <c:v>44166</c:v>
                </c:pt>
                <c:pt idx="1239">
                  <c:v>44166</c:v>
                </c:pt>
                <c:pt idx="1240">
                  <c:v>44166</c:v>
                </c:pt>
                <c:pt idx="1241">
                  <c:v>44166</c:v>
                </c:pt>
                <c:pt idx="1242">
                  <c:v>44166</c:v>
                </c:pt>
                <c:pt idx="1243">
                  <c:v>44166</c:v>
                </c:pt>
                <c:pt idx="1244">
                  <c:v>44166</c:v>
                </c:pt>
                <c:pt idx="1245">
                  <c:v>44166</c:v>
                </c:pt>
                <c:pt idx="1246">
                  <c:v>44166</c:v>
                </c:pt>
                <c:pt idx="1247">
                  <c:v>44166</c:v>
                </c:pt>
                <c:pt idx="1248">
                  <c:v>44166</c:v>
                </c:pt>
                <c:pt idx="1249">
                  <c:v>44166</c:v>
                </c:pt>
                <c:pt idx="1250">
                  <c:v>44166</c:v>
                </c:pt>
                <c:pt idx="1251">
                  <c:v>44197</c:v>
                </c:pt>
                <c:pt idx="1252">
                  <c:v>44197</c:v>
                </c:pt>
                <c:pt idx="1253">
                  <c:v>44197</c:v>
                </c:pt>
                <c:pt idx="1254">
                  <c:v>44197</c:v>
                </c:pt>
                <c:pt idx="1255">
                  <c:v>44197</c:v>
                </c:pt>
                <c:pt idx="1256">
                  <c:v>44197</c:v>
                </c:pt>
                <c:pt idx="1257">
                  <c:v>44197</c:v>
                </c:pt>
                <c:pt idx="1258">
                  <c:v>44197</c:v>
                </c:pt>
                <c:pt idx="1259">
                  <c:v>44197</c:v>
                </c:pt>
                <c:pt idx="1260">
                  <c:v>44197</c:v>
                </c:pt>
                <c:pt idx="1261">
                  <c:v>44197</c:v>
                </c:pt>
                <c:pt idx="1262">
                  <c:v>44197</c:v>
                </c:pt>
                <c:pt idx="1263">
                  <c:v>44197</c:v>
                </c:pt>
                <c:pt idx="1264">
                  <c:v>44228</c:v>
                </c:pt>
                <c:pt idx="1265">
                  <c:v>44228</c:v>
                </c:pt>
                <c:pt idx="1266">
                  <c:v>44228</c:v>
                </c:pt>
                <c:pt idx="1267">
                  <c:v>44228</c:v>
                </c:pt>
                <c:pt idx="1268">
                  <c:v>44228</c:v>
                </c:pt>
                <c:pt idx="1269">
                  <c:v>44228</c:v>
                </c:pt>
                <c:pt idx="1270">
                  <c:v>44228</c:v>
                </c:pt>
                <c:pt idx="1271">
                  <c:v>44228</c:v>
                </c:pt>
                <c:pt idx="1272">
                  <c:v>44228</c:v>
                </c:pt>
                <c:pt idx="1273">
                  <c:v>44228</c:v>
                </c:pt>
                <c:pt idx="1274">
                  <c:v>44228</c:v>
                </c:pt>
                <c:pt idx="1275">
                  <c:v>44228</c:v>
                </c:pt>
                <c:pt idx="1276">
                  <c:v>44228</c:v>
                </c:pt>
                <c:pt idx="1277">
                  <c:v>44228</c:v>
                </c:pt>
                <c:pt idx="1278">
                  <c:v>44228</c:v>
                </c:pt>
                <c:pt idx="1279">
                  <c:v>44228</c:v>
                </c:pt>
                <c:pt idx="1280">
                  <c:v>44256</c:v>
                </c:pt>
                <c:pt idx="1281">
                  <c:v>44256</c:v>
                </c:pt>
                <c:pt idx="1282">
                  <c:v>44256</c:v>
                </c:pt>
                <c:pt idx="1283">
                  <c:v>44256</c:v>
                </c:pt>
                <c:pt idx="1284">
                  <c:v>44256</c:v>
                </c:pt>
                <c:pt idx="1285">
                  <c:v>44256</c:v>
                </c:pt>
                <c:pt idx="1286">
                  <c:v>44256</c:v>
                </c:pt>
                <c:pt idx="1287">
                  <c:v>44256</c:v>
                </c:pt>
                <c:pt idx="1288">
                  <c:v>44256</c:v>
                </c:pt>
                <c:pt idx="1289">
                  <c:v>44256</c:v>
                </c:pt>
                <c:pt idx="1290">
                  <c:v>44256</c:v>
                </c:pt>
                <c:pt idx="1291">
                  <c:v>44256</c:v>
                </c:pt>
                <c:pt idx="1292">
                  <c:v>44256</c:v>
                </c:pt>
                <c:pt idx="1293">
                  <c:v>44256</c:v>
                </c:pt>
                <c:pt idx="1294">
                  <c:v>44256</c:v>
                </c:pt>
                <c:pt idx="1295">
                  <c:v>44256</c:v>
                </c:pt>
                <c:pt idx="1296">
                  <c:v>44287</c:v>
                </c:pt>
                <c:pt idx="1297">
                  <c:v>44287</c:v>
                </c:pt>
                <c:pt idx="1298">
                  <c:v>44287</c:v>
                </c:pt>
                <c:pt idx="1299">
                  <c:v>44287</c:v>
                </c:pt>
                <c:pt idx="1300">
                  <c:v>44287</c:v>
                </c:pt>
                <c:pt idx="1301">
                  <c:v>44287</c:v>
                </c:pt>
                <c:pt idx="1302">
                  <c:v>44287</c:v>
                </c:pt>
                <c:pt idx="1303">
                  <c:v>44287</c:v>
                </c:pt>
                <c:pt idx="1304">
                  <c:v>44287</c:v>
                </c:pt>
                <c:pt idx="1305">
                  <c:v>44287</c:v>
                </c:pt>
                <c:pt idx="1306">
                  <c:v>44287</c:v>
                </c:pt>
                <c:pt idx="1307">
                  <c:v>44287</c:v>
                </c:pt>
                <c:pt idx="1308">
                  <c:v>44287</c:v>
                </c:pt>
                <c:pt idx="1309">
                  <c:v>44287</c:v>
                </c:pt>
                <c:pt idx="1310">
                  <c:v>44287</c:v>
                </c:pt>
                <c:pt idx="1311">
                  <c:v>44317</c:v>
                </c:pt>
                <c:pt idx="1312">
                  <c:v>44317</c:v>
                </c:pt>
                <c:pt idx="1313">
                  <c:v>44317</c:v>
                </c:pt>
                <c:pt idx="1314">
                  <c:v>44317</c:v>
                </c:pt>
                <c:pt idx="1315">
                  <c:v>44317</c:v>
                </c:pt>
                <c:pt idx="1316">
                  <c:v>44317</c:v>
                </c:pt>
                <c:pt idx="1317">
                  <c:v>44317</c:v>
                </c:pt>
                <c:pt idx="1318">
                  <c:v>44317</c:v>
                </c:pt>
                <c:pt idx="1319">
                  <c:v>44317</c:v>
                </c:pt>
                <c:pt idx="1320">
                  <c:v>44317</c:v>
                </c:pt>
                <c:pt idx="1321">
                  <c:v>44317</c:v>
                </c:pt>
                <c:pt idx="1322">
                  <c:v>44317</c:v>
                </c:pt>
                <c:pt idx="1323">
                  <c:v>44317</c:v>
                </c:pt>
                <c:pt idx="1324">
                  <c:v>44317</c:v>
                </c:pt>
                <c:pt idx="1325">
                  <c:v>44317</c:v>
                </c:pt>
                <c:pt idx="1326">
                  <c:v>44348</c:v>
                </c:pt>
                <c:pt idx="1327">
                  <c:v>44348</c:v>
                </c:pt>
                <c:pt idx="1328">
                  <c:v>44348</c:v>
                </c:pt>
                <c:pt idx="1329">
                  <c:v>44348</c:v>
                </c:pt>
                <c:pt idx="1330">
                  <c:v>44348</c:v>
                </c:pt>
                <c:pt idx="1331">
                  <c:v>44348</c:v>
                </c:pt>
                <c:pt idx="1332">
                  <c:v>44348</c:v>
                </c:pt>
                <c:pt idx="1333">
                  <c:v>44348</c:v>
                </c:pt>
                <c:pt idx="1334">
                  <c:v>44348</c:v>
                </c:pt>
                <c:pt idx="1335">
                  <c:v>44348</c:v>
                </c:pt>
                <c:pt idx="1336">
                  <c:v>44348</c:v>
                </c:pt>
                <c:pt idx="1337">
                  <c:v>44348</c:v>
                </c:pt>
                <c:pt idx="1338">
                  <c:v>44348</c:v>
                </c:pt>
                <c:pt idx="1339">
                  <c:v>44348</c:v>
                </c:pt>
                <c:pt idx="1340">
                  <c:v>44348</c:v>
                </c:pt>
                <c:pt idx="1341">
                  <c:v>44348</c:v>
                </c:pt>
                <c:pt idx="1342">
                  <c:v>44378</c:v>
                </c:pt>
                <c:pt idx="1343">
                  <c:v>44378</c:v>
                </c:pt>
                <c:pt idx="1344">
                  <c:v>44378</c:v>
                </c:pt>
                <c:pt idx="1345">
                  <c:v>44378</c:v>
                </c:pt>
                <c:pt idx="1346">
                  <c:v>44378</c:v>
                </c:pt>
                <c:pt idx="1347">
                  <c:v>44378</c:v>
                </c:pt>
                <c:pt idx="1348">
                  <c:v>44378</c:v>
                </c:pt>
                <c:pt idx="1349">
                  <c:v>44378</c:v>
                </c:pt>
                <c:pt idx="1350">
                  <c:v>44378</c:v>
                </c:pt>
                <c:pt idx="1351">
                  <c:v>44378</c:v>
                </c:pt>
                <c:pt idx="1352">
                  <c:v>44378</c:v>
                </c:pt>
                <c:pt idx="1353">
                  <c:v>44378</c:v>
                </c:pt>
                <c:pt idx="1354">
                  <c:v>44378</c:v>
                </c:pt>
                <c:pt idx="1355">
                  <c:v>44378</c:v>
                </c:pt>
                <c:pt idx="1356">
                  <c:v>44409</c:v>
                </c:pt>
                <c:pt idx="1357">
                  <c:v>44409</c:v>
                </c:pt>
                <c:pt idx="1358">
                  <c:v>44409</c:v>
                </c:pt>
                <c:pt idx="1359">
                  <c:v>44409</c:v>
                </c:pt>
                <c:pt idx="1360">
                  <c:v>44409</c:v>
                </c:pt>
                <c:pt idx="1361">
                  <c:v>44409</c:v>
                </c:pt>
                <c:pt idx="1362">
                  <c:v>44409</c:v>
                </c:pt>
                <c:pt idx="1363">
                  <c:v>44409</c:v>
                </c:pt>
                <c:pt idx="1364">
                  <c:v>44409</c:v>
                </c:pt>
                <c:pt idx="1365">
                  <c:v>44409</c:v>
                </c:pt>
                <c:pt idx="1366">
                  <c:v>44409</c:v>
                </c:pt>
                <c:pt idx="1367">
                  <c:v>44409</c:v>
                </c:pt>
                <c:pt idx="1368">
                  <c:v>44409</c:v>
                </c:pt>
                <c:pt idx="1369">
                  <c:v>44409</c:v>
                </c:pt>
                <c:pt idx="1370">
                  <c:v>44409</c:v>
                </c:pt>
                <c:pt idx="1371">
                  <c:v>44409</c:v>
                </c:pt>
                <c:pt idx="1372">
                  <c:v>44440</c:v>
                </c:pt>
                <c:pt idx="1373">
                  <c:v>44440</c:v>
                </c:pt>
                <c:pt idx="1374">
                  <c:v>44440</c:v>
                </c:pt>
                <c:pt idx="1375">
                  <c:v>44440</c:v>
                </c:pt>
                <c:pt idx="1376">
                  <c:v>44440</c:v>
                </c:pt>
                <c:pt idx="1377">
                  <c:v>44440</c:v>
                </c:pt>
                <c:pt idx="1378">
                  <c:v>44440</c:v>
                </c:pt>
                <c:pt idx="1379">
                  <c:v>44440</c:v>
                </c:pt>
                <c:pt idx="1380">
                  <c:v>44440</c:v>
                </c:pt>
                <c:pt idx="1381">
                  <c:v>44440</c:v>
                </c:pt>
                <c:pt idx="1382">
                  <c:v>44440</c:v>
                </c:pt>
                <c:pt idx="1383">
                  <c:v>44440</c:v>
                </c:pt>
                <c:pt idx="1384">
                  <c:v>44440</c:v>
                </c:pt>
                <c:pt idx="1385">
                  <c:v>44440</c:v>
                </c:pt>
                <c:pt idx="1386">
                  <c:v>44440</c:v>
                </c:pt>
                <c:pt idx="1387">
                  <c:v>44440</c:v>
                </c:pt>
                <c:pt idx="1388">
                  <c:v>44470</c:v>
                </c:pt>
                <c:pt idx="1389">
                  <c:v>44470</c:v>
                </c:pt>
                <c:pt idx="1390">
                  <c:v>44470</c:v>
                </c:pt>
                <c:pt idx="1391">
                  <c:v>44470</c:v>
                </c:pt>
                <c:pt idx="1392">
                  <c:v>44470</c:v>
                </c:pt>
                <c:pt idx="1393">
                  <c:v>44470</c:v>
                </c:pt>
                <c:pt idx="1394">
                  <c:v>44470</c:v>
                </c:pt>
                <c:pt idx="1395">
                  <c:v>44470</c:v>
                </c:pt>
                <c:pt idx="1396">
                  <c:v>44470</c:v>
                </c:pt>
                <c:pt idx="1397">
                  <c:v>44470</c:v>
                </c:pt>
                <c:pt idx="1398">
                  <c:v>44470</c:v>
                </c:pt>
                <c:pt idx="1399">
                  <c:v>44470</c:v>
                </c:pt>
                <c:pt idx="1400">
                  <c:v>44470</c:v>
                </c:pt>
                <c:pt idx="1401">
                  <c:v>44470</c:v>
                </c:pt>
                <c:pt idx="1402">
                  <c:v>44470</c:v>
                </c:pt>
                <c:pt idx="1403">
                  <c:v>44501</c:v>
                </c:pt>
                <c:pt idx="1404">
                  <c:v>44501</c:v>
                </c:pt>
                <c:pt idx="1405">
                  <c:v>44501</c:v>
                </c:pt>
                <c:pt idx="1406">
                  <c:v>44501</c:v>
                </c:pt>
                <c:pt idx="1407">
                  <c:v>44501</c:v>
                </c:pt>
                <c:pt idx="1408">
                  <c:v>44501</c:v>
                </c:pt>
                <c:pt idx="1409">
                  <c:v>44501</c:v>
                </c:pt>
                <c:pt idx="1410">
                  <c:v>44501</c:v>
                </c:pt>
                <c:pt idx="1411">
                  <c:v>44501</c:v>
                </c:pt>
                <c:pt idx="1412">
                  <c:v>44501</c:v>
                </c:pt>
                <c:pt idx="1413">
                  <c:v>44501</c:v>
                </c:pt>
                <c:pt idx="1414">
                  <c:v>44501</c:v>
                </c:pt>
                <c:pt idx="1415">
                  <c:v>44501</c:v>
                </c:pt>
                <c:pt idx="1416">
                  <c:v>44501</c:v>
                </c:pt>
                <c:pt idx="1417">
                  <c:v>44501</c:v>
                </c:pt>
                <c:pt idx="1418">
                  <c:v>44531</c:v>
                </c:pt>
                <c:pt idx="1419">
                  <c:v>44531</c:v>
                </c:pt>
                <c:pt idx="1420">
                  <c:v>44531</c:v>
                </c:pt>
                <c:pt idx="1421">
                  <c:v>44531</c:v>
                </c:pt>
                <c:pt idx="1422">
                  <c:v>44531</c:v>
                </c:pt>
                <c:pt idx="1423">
                  <c:v>44531</c:v>
                </c:pt>
                <c:pt idx="1424">
                  <c:v>44531</c:v>
                </c:pt>
                <c:pt idx="1425">
                  <c:v>44531</c:v>
                </c:pt>
                <c:pt idx="1426">
                  <c:v>44531</c:v>
                </c:pt>
                <c:pt idx="1427">
                  <c:v>44531</c:v>
                </c:pt>
                <c:pt idx="1428">
                  <c:v>44531</c:v>
                </c:pt>
                <c:pt idx="1429">
                  <c:v>44531</c:v>
                </c:pt>
                <c:pt idx="1430">
                  <c:v>44531</c:v>
                </c:pt>
                <c:pt idx="1431">
                  <c:v>44531</c:v>
                </c:pt>
                <c:pt idx="1432">
                  <c:v>44531</c:v>
                </c:pt>
                <c:pt idx="1433">
                  <c:v>44927</c:v>
                </c:pt>
                <c:pt idx="1434">
                  <c:v>44927</c:v>
                </c:pt>
                <c:pt idx="1435">
                  <c:v>44927</c:v>
                </c:pt>
                <c:pt idx="1436">
                  <c:v>44927</c:v>
                </c:pt>
                <c:pt idx="1437">
                  <c:v>44927</c:v>
                </c:pt>
                <c:pt idx="1438">
                  <c:v>44927</c:v>
                </c:pt>
                <c:pt idx="1439">
                  <c:v>44927</c:v>
                </c:pt>
                <c:pt idx="1440">
                  <c:v>44927</c:v>
                </c:pt>
                <c:pt idx="1441">
                  <c:v>44927</c:v>
                </c:pt>
                <c:pt idx="1442">
                  <c:v>44927</c:v>
                </c:pt>
                <c:pt idx="1443">
                  <c:v>44927</c:v>
                </c:pt>
                <c:pt idx="1444">
                  <c:v>44927</c:v>
                </c:pt>
                <c:pt idx="1445">
                  <c:v>44927</c:v>
                </c:pt>
                <c:pt idx="1446">
                  <c:v>44958</c:v>
                </c:pt>
                <c:pt idx="1447">
                  <c:v>44958</c:v>
                </c:pt>
                <c:pt idx="1448">
                  <c:v>44958</c:v>
                </c:pt>
                <c:pt idx="1449">
                  <c:v>44958</c:v>
                </c:pt>
                <c:pt idx="1450">
                  <c:v>44958</c:v>
                </c:pt>
                <c:pt idx="1451">
                  <c:v>44958</c:v>
                </c:pt>
                <c:pt idx="1452">
                  <c:v>44958</c:v>
                </c:pt>
                <c:pt idx="1453">
                  <c:v>44958</c:v>
                </c:pt>
                <c:pt idx="1454">
                  <c:v>44958</c:v>
                </c:pt>
                <c:pt idx="1455">
                  <c:v>44958</c:v>
                </c:pt>
                <c:pt idx="1456">
                  <c:v>44958</c:v>
                </c:pt>
                <c:pt idx="1457">
                  <c:v>44958</c:v>
                </c:pt>
                <c:pt idx="1458">
                  <c:v>44958</c:v>
                </c:pt>
                <c:pt idx="1459">
                  <c:v>44958</c:v>
                </c:pt>
                <c:pt idx="1460">
                  <c:v>44986</c:v>
                </c:pt>
                <c:pt idx="1461">
                  <c:v>44986</c:v>
                </c:pt>
                <c:pt idx="1462">
                  <c:v>44986</c:v>
                </c:pt>
                <c:pt idx="1463">
                  <c:v>44986</c:v>
                </c:pt>
                <c:pt idx="1464">
                  <c:v>44986</c:v>
                </c:pt>
                <c:pt idx="1465">
                  <c:v>44986</c:v>
                </c:pt>
                <c:pt idx="1466">
                  <c:v>44986</c:v>
                </c:pt>
                <c:pt idx="1467">
                  <c:v>44986</c:v>
                </c:pt>
                <c:pt idx="1468">
                  <c:v>44986</c:v>
                </c:pt>
                <c:pt idx="1469">
                  <c:v>44986</c:v>
                </c:pt>
                <c:pt idx="1470">
                  <c:v>44986</c:v>
                </c:pt>
                <c:pt idx="1471">
                  <c:v>44986</c:v>
                </c:pt>
                <c:pt idx="1472">
                  <c:v>44986</c:v>
                </c:pt>
                <c:pt idx="1473">
                  <c:v>44986</c:v>
                </c:pt>
                <c:pt idx="1474">
                  <c:v>45017</c:v>
                </c:pt>
                <c:pt idx="1475">
                  <c:v>45017</c:v>
                </c:pt>
                <c:pt idx="1476">
                  <c:v>45017</c:v>
                </c:pt>
                <c:pt idx="1477">
                  <c:v>45017</c:v>
                </c:pt>
                <c:pt idx="1478">
                  <c:v>45017</c:v>
                </c:pt>
                <c:pt idx="1479">
                  <c:v>45017</c:v>
                </c:pt>
                <c:pt idx="1480">
                  <c:v>45017</c:v>
                </c:pt>
                <c:pt idx="1481">
                  <c:v>45017</c:v>
                </c:pt>
                <c:pt idx="1482">
                  <c:v>45017</c:v>
                </c:pt>
                <c:pt idx="1483">
                  <c:v>45017</c:v>
                </c:pt>
                <c:pt idx="1484">
                  <c:v>45017</c:v>
                </c:pt>
                <c:pt idx="1485">
                  <c:v>45017</c:v>
                </c:pt>
                <c:pt idx="1486">
                  <c:v>45017</c:v>
                </c:pt>
                <c:pt idx="1487">
                  <c:v>45017</c:v>
                </c:pt>
                <c:pt idx="1488">
                  <c:v>45017</c:v>
                </c:pt>
                <c:pt idx="1489">
                  <c:v>45047</c:v>
                </c:pt>
                <c:pt idx="1490">
                  <c:v>45047</c:v>
                </c:pt>
                <c:pt idx="1491">
                  <c:v>45047</c:v>
                </c:pt>
                <c:pt idx="1492">
                  <c:v>45047</c:v>
                </c:pt>
                <c:pt idx="1493">
                  <c:v>45047</c:v>
                </c:pt>
                <c:pt idx="1494">
                  <c:v>45047</c:v>
                </c:pt>
                <c:pt idx="1495">
                  <c:v>45047</c:v>
                </c:pt>
                <c:pt idx="1496">
                  <c:v>45047</c:v>
                </c:pt>
                <c:pt idx="1497">
                  <c:v>45047</c:v>
                </c:pt>
                <c:pt idx="1498">
                  <c:v>45047</c:v>
                </c:pt>
                <c:pt idx="1499">
                  <c:v>45047</c:v>
                </c:pt>
                <c:pt idx="1500">
                  <c:v>45047</c:v>
                </c:pt>
                <c:pt idx="1501">
                  <c:v>45047</c:v>
                </c:pt>
                <c:pt idx="1502">
                  <c:v>45047</c:v>
                </c:pt>
                <c:pt idx="1503">
                  <c:v>45047</c:v>
                </c:pt>
                <c:pt idx="1504">
                  <c:v>45047</c:v>
                </c:pt>
                <c:pt idx="1505">
                  <c:v>45078</c:v>
                </c:pt>
                <c:pt idx="1506">
                  <c:v>45078</c:v>
                </c:pt>
                <c:pt idx="1507">
                  <c:v>45078</c:v>
                </c:pt>
                <c:pt idx="1508">
                  <c:v>45078</c:v>
                </c:pt>
                <c:pt idx="1509">
                  <c:v>45078</c:v>
                </c:pt>
                <c:pt idx="1510">
                  <c:v>45078</c:v>
                </c:pt>
                <c:pt idx="1511">
                  <c:v>45078</c:v>
                </c:pt>
                <c:pt idx="1512">
                  <c:v>45078</c:v>
                </c:pt>
                <c:pt idx="1513">
                  <c:v>45078</c:v>
                </c:pt>
                <c:pt idx="1514">
                  <c:v>45078</c:v>
                </c:pt>
                <c:pt idx="1515">
                  <c:v>45078</c:v>
                </c:pt>
                <c:pt idx="1516">
                  <c:v>45078</c:v>
                </c:pt>
                <c:pt idx="1517">
                  <c:v>45078</c:v>
                </c:pt>
                <c:pt idx="1518">
                  <c:v>45078</c:v>
                </c:pt>
                <c:pt idx="1519">
                  <c:v>45078</c:v>
                </c:pt>
                <c:pt idx="1520">
                  <c:v>45078</c:v>
                </c:pt>
                <c:pt idx="1521">
                  <c:v>45108</c:v>
                </c:pt>
                <c:pt idx="1522">
                  <c:v>45108</c:v>
                </c:pt>
                <c:pt idx="1523">
                  <c:v>45108</c:v>
                </c:pt>
                <c:pt idx="1524">
                  <c:v>45108</c:v>
                </c:pt>
                <c:pt idx="1525">
                  <c:v>45108</c:v>
                </c:pt>
                <c:pt idx="1526">
                  <c:v>45108</c:v>
                </c:pt>
                <c:pt idx="1527">
                  <c:v>45108</c:v>
                </c:pt>
                <c:pt idx="1528">
                  <c:v>45108</c:v>
                </c:pt>
                <c:pt idx="1529">
                  <c:v>45108</c:v>
                </c:pt>
                <c:pt idx="1530">
                  <c:v>45108</c:v>
                </c:pt>
                <c:pt idx="1531">
                  <c:v>45108</c:v>
                </c:pt>
                <c:pt idx="1532">
                  <c:v>45108</c:v>
                </c:pt>
                <c:pt idx="1533">
                  <c:v>45108</c:v>
                </c:pt>
                <c:pt idx="1534">
                  <c:v>45108</c:v>
                </c:pt>
                <c:pt idx="1535">
                  <c:v>45108</c:v>
                </c:pt>
                <c:pt idx="1536">
                  <c:v>45108</c:v>
                </c:pt>
                <c:pt idx="1537">
                  <c:v>45139</c:v>
                </c:pt>
                <c:pt idx="1538">
                  <c:v>45139</c:v>
                </c:pt>
                <c:pt idx="1539">
                  <c:v>45139</c:v>
                </c:pt>
                <c:pt idx="1540">
                  <c:v>45139</c:v>
                </c:pt>
                <c:pt idx="1541">
                  <c:v>45139</c:v>
                </c:pt>
                <c:pt idx="1542">
                  <c:v>45139</c:v>
                </c:pt>
                <c:pt idx="1543">
                  <c:v>45139</c:v>
                </c:pt>
                <c:pt idx="1544">
                  <c:v>45139</c:v>
                </c:pt>
                <c:pt idx="1545">
                  <c:v>45139</c:v>
                </c:pt>
                <c:pt idx="1546">
                  <c:v>45139</c:v>
                </c:pt>
                <c:pt idx="1547">
                  <c:v>45139</c:v>
                </c:pt>
                <c:pt idx="1548">
                  <c:v>45139</c:v>
                </c:pt>
                <c:pt idx="1549">
                  <c:v>45139</c:v>
                </c:pt>
                <c:pt idx="1550">
                  <c:v>45139</c:v>
                </c:pt>
                <c:pt idx="1551">
                  <c:v>45139</c:v>
                </c:pt>
                <c:pt idx="1552">
                  <c:v>45170</c:v>
                </c:pt>
                <c:pt idx="1553">
                  <c:v>45170</c:v>
                </c:pt>
                <c:pt idx="1554">
                  <c:v>45170</c:v>
                </c:pt>
                <c:pt idx="1555">
                  <c:v>45170</c:v>
                </c:pt>
                <c:pt idx="1556">
                  <c:v>45170</c:v>
                </c:pt>
                <c:pt idx="1557">
                  <c:v>45170</c:v>
                </c:pt>
                <c:pt idx="1558">
                  <c:v>45170</c:v>
                </c:pt>
                <c:pt idx="1559">
                  <c:v>45170</c:v>
                </c:pt>
                <c:pt idx="1560">
                  <c:v>45170</c:v>
                </c:pt>
                <c:pt idx="1561">
                  <c:v>45170</c:v>
                </c:pt>
                <c:pt idx="1562">
                  <c:v>45170</c:v>
                </c:pt>
                <c:pt idx="1563">
                  <c:v>45170</c:v>
                </c:pt>
                <c:pt idx="1564">
                  <c:v>45170</c:v>
                </c:pt>
                <c:pt idx="1565">
                  <c:v>45170</c:v>
                </c:pt>
                <c:pt idx="1566">
                  <c:v>45170</c:v>
                </c:pt>
                <c:pt idx="1567">
                  <c:v>45200</c:v>
                </c:pt>
                <c:pt idx="1568">
                  <c:v>45200</c:v>
                </c:pt>
                <c:pt idx="1569">
                  <c:v>45200</c:v>
                </c:pt>
                <c:pt idx="1570">
                  <c:v>45200</c:v>
                </c:pt>
                <c:pt idx="1571">
                  <c:v>45200</c:v>
                </c:pt>
                <c:pt idx="1572">
                  <c:v>45200</c:v>
                </c:pt>
                <c:pt idx="1573">
                  <c:v>45200</c:v>
                </c:pt>
                <c:pt idx="1574">
                  <c:v>45200</c:v>
                </c:pt>
                <c:pt idx="1575">
                  <c:v>45200</c:v>
                </c:pt>
                <c:pt idx="1576">
                  <c:v>45200</c:v>
                </c:pt>
                <c:pt idx="1577">
                  <c:v>45200</c:v>
                </c:pt>
                <c:pt idx="1578">
                  <c:v>45200</c:v>
                </c:pt>
                <c:pt idx="1579">
                  <c:v>45200</c:v>
                </c:pt>
                <c:pt idx="1580">
                  <c:v>45200</c:v>
                </c:pt>
                <c:pt idx="1581">
                  <c:v>45200</c:v>
                </c:pt>
                <c:pt idx="1582">
                  <c:v>45200</c:v>
                </c:pt>
              </c:numCache>
            </c:numRef>
          </c:xVal>
          <c:yVal>
            <c:numRef>
              <c:f>ImportsChartData!$B$2:$B$1584</c:f>
              <c:numCache>
                <c:formatCode>General</c:formatCode>
                <c:ptCount val="1583"/>
                <c:pt idx="0">
                  <c:v>4.2157840728759766</c:v>
                </c:pt>
                <c:pt idx="1">
                  <c:v>5.7657656669616699</c:v>
                </c:pt>
                <c:pt idx="2">
                  <c:v>5.772946834564209</c:v>
                </c:pt>
                <c:pt idx="3">
                  <c:v>6.0526318550109863</c:v>
                </c:pt>
                <c:pt idx="4">
                  <c:v>13.333333015441889</c:v>
                </c:pt>
                <c:pt idx="5">
                  <c:v>14.07692337036133</c:v>
                </c:pt>
                <c:pt idx="6">
                  <c:v>14.794189453125</c:v>
                </c:pt>
                <c:pt idx="7">
                  <c:v>16.354166030883789</c:v>
                </c:pt>
                <c:pt idx="8">
                  <c:v>16.67192459106445</c:v>
                </c:pt>
                <c:pt idx="9">
                  <c:v>20</c:v>
                </c:pt>
                <c:pt idx="10">
                  <c:v>22.678571701049801</c:v>
                </c:pt>
                <c:pt idx="11">
                  <c:v>24.87013053894043</c:v>
                </c:pt>
                <c:pt idx="12">
                  <c:v>25</c:v>
                </c:pt>
                <c:pt idx="13">
                  <c:v>26.25</c:v>
                </c:pt>
                <c:pt idx="14">
                  <c:v>28.87387657165527</c:v>
                </c:pt>
                <c:pt idx="15">
                  <c:v>4.4083771705627441</c:v>
                </c:pt>
                <c:pt idx="16">
                  <c:v>5.036348819732666</c:v>
                </c:pt>
                <c:pt idx="17">
                  <c:v>5.2631583213806152</c:v>
                </c:pt>
                <c:pt idx="18">
                  <c:v>5.4375</c:v>
                </c:pt>
                <c:pt idx="19">
                  <c:v>12.20312595367432</c:v>
                </c:pt>
                <c:pt idx="20">
                  <c:v>12.857142448425289</c:v>
                </c:pt>
                <c:pt idx="21">
                  <c:v>13.928571701049799</c:v>
                </c:pt>
                <c:pt idx="22">
                  <c:v>16.610738754272461</c:v>
                </c:pt>
                <c:pt idx="23">
                  <c:v>17.727273941040039</c:v>
                </c:pt>
                <c:pt idx="24">
                  <c:v>20</c:v>
                </c:pt>
                <c:pt idx="25">
                  <c:v>23.216081619262699</c:v>
                </c:pt>
                <c:pt idx="26">
                  <c:v>26.21212196350098</c:v>
                </c:pt>
                <c:pt idx="27">
                  <c:v>26.219512939453129</c:v>
                </c:pt>
                <c:pt idx="28">
                  <c:v>29.157304763793949</c:v>
                </c:pt>
                <c:pt idx="29">
                  <c:v>30.000001907348629</c:v>
                </c:pt>
                <c:pt idx="30">
                  <c:v>3.8860888481140141</c:v>
                </c:pt>
                <c:pt idx="31">
                  <c:v>4.765625</c:v>
                </c:pt>
                <c:pt idx="32">
                  <c:v>5.212766170501709</c:v>
                </c:pt>
                <c:pt idx="33">
                  <c:v>5.8585858345031738</c:v>
                </c:pt>
                <c:pt idx="34">
                  <c:v>10.325778961181641</c:v>
                </c:pt>
                <c:pt idx="35">
                  <c:v>15.18518543243408</c:v>
                </c:pt>
                <c:pt idx="36">
                  <c:v>15.512821197509769</c:v>
                </c:pt>
                <c:pt idx="37">
                  <c:v>15.59649181365967</c:v>
                </c:pt>
                <c:pt idx="38">
                  <c:v>17.27272796630859</c:v>
                </c:pt>
                <c:pt idx="39">
                  <c:v>20</c:v>
                </c:pt>
                <c:pt idx="40">
                  <c:v>23.116592407226559</c:v>
                </c:pt>
                <c:pt idx="41">
                  <c:v>25.555557250976559</c:v>
                </c:pt>
                <c:pt idx="42">
                  <c:v>27.066667556762699</c:v>
                </c:pt>
                <c:pt idx="43">
                  <c:v>29.117649078369141</c:v>
                </c:pt>
                <c:pt idx="44">
                  <c:v>0</c:v>
                </c:pt>
                <c:pt idx="45">
                  <c:v>3.4375</c:v>
                </c:pt>
                <c:pt idx="46">
                  <c:v>4.3173761367797852</c:v>
                </c:pt>
                <c:pt idx="47">
                  <c:v>5.3630576133728027</c:v>
                </c:pt>
                <c:pt idx="48">
                  <c:v>5.4368929862976074</c:v>
                </c:pt>
                <c:pt idx="49">
                  <c:v>8.6006832122802734</c:v>
                </c:pt>
                <c:pt idx="50">
                  <c:v>13.723404884338381</c:v>
                </c:pt>
                <c:pt idx="51">
                  <c:v>13.75</c:v>
                </c:pt>
                <c:pt idx="52">
                  <c:v>15.612245559692379</c:v>
                </c:pt>
                <c:pt idx="53">
                  <c:v>16.318328857421879</c:v>
                </c:pt>
                <c:pt idx="54">
                  <c:v>20</c:v>
                </c:pt>
                <c:pt idx="55">
                  <c:v>22.339902877807621</c:v>
                </c:pt>
                <c:pt idx="56">
                  <c:v>24.736843109130859</c:v>
                </c:pt>
                <c:pt idx="57">
                  <c:v>25.000001907348629</c:v>
                </c:pt>
                <c:pt idx="58">
                  <c:v>26.666667938232418</c:v>
                </c:pt>
                <c:pt idx="59">
                  <c:v>29.02439117431641</c:v>
                </c:pt>
                <c:pt idx="60">
                  <c:v>2.8571429252624512</c:v>
                </c:pt>
                <c:pt idx="61">
                  <c:v>3.7696578502655029</c:v>
                </c:pt>
                <c:pt idx="62">
                  <c:v>5.7567229270935059</c:v>
                </c:pt>
                <c:pt idx="63">
                  <c:v>6.6111111640930176</c:v>
                </c:pt>
                <c:pt idx="64">
                  <c:v>9.3046360015869141</c:v>
                </c:pt>
                <c:pt idx="65">
                  <c:v>14.61538505554199</c:v>
                </c:pt>
                <c:pt idx="66">
                  <c:v>15.1713399887085</c:v>
                </c:pt>
                <c:pt idx="67">
                  <c:v>15.230770111083981</c:v>
                </c:pt>
                <c:pt idx="68">
                  <c:v>15.263157844543461</c:v>
                </c:pt>
                <c:pt idx="69">
                  <c:v>20</c:v>
                </c:pt>
                <c:pt idx="70">
                  <c:v>20</c:v>
                </c:pt>
                <c:pt idx="71">
                  <c:v>21.666666030883789</c:v>
                </c:pt>
                <c:pt idx="72">
                  <c:v>22.5</c:v>
                </c:pt>
                <c:pt idx="73">
                  <c:v>24.318181991577148</c:v>
                </c:pt>
                <c:pt idx="74">
                  <c:v>29.090909957885739</c:v>
                </c:pt>
                <c:pt idx="75">
                  <c:v>0</c:v>
                </c:pt>
                <c:pt idx="76">
                  <c:v>4.2000002861022949</c:v>
                </c:pt>
                <c:pt idx="77">
                  <c:v>4.3125</c:v>
                </c:pt>
                <c:pt idx="78">
                  <c:v>5.5535283088684082</c:v>
                </c:pt>
                <c:pt idx="79">
                  <c:v>5.6989245414733887</c:v>
                </c:pt>
                <c:pt idx="80">
                  <c:v>9.7872343063354492</c:v>
                </c:pt>
                <c:pt idx="81">
                  <c:v>13.333333015441889</c:v>
                </c:pt>
                <c:pt idx="82">
                  <c:v>14.716981887817379</c:v>
                </c:pt>
                <c:pt idx="83">
                  <c:v>15.05000019073486</c:v>
                </c:pt>
                <c:pt idx="84">
                  <c:v>15.71672439575195</c:v>
                </c:pt>
                <c:pt idx="85">
                  <c:v>23.129922866821289</c:v>
                </c:pt>
                <c:pt idx="86">
                  <c:v>23.333333969116211</c:v>
                </c:pt>
                <c:pt idx="87">
                  <c:v>26</c:v>
                </c:pt>
                <c:pt idx="88">
                  <c:v>28.555557250976559</c:v>
                </c:pt>
                <c:pt idx="89">
                  <c:v>30.000001907348629</c:v>
                </c:pt>
                <c:pt idx="90">
                  <c:v>0</c:v>
                </c:pt>
                <c:pt idx="91">
                  <c:v>4.2173914909362793</c:v>
                </c:pt>
                <c:pt idx="92">
                  <c:v>5.1785717010498047</c:v>
                </c:pt>
                <c:pt idx="93">
                  <c:v>5.7225432395935059</c:v>
                </c:pt>
                <c:pt idx="94">
                  <c:v>5.7619047164916992</c:v>
                </c:pt>
                <c:pt idx="95">
                  <c:v>8.6419754028320313</c:v>
                </c:pt>
                <c:pt idx="96">
                  <c:v>14.23076915740967</c:v>
                </c:pt>
                <c:pt idx="97">
                  <c:v>14.41489410400391</c:v>
                </c:pt>
                <c:pt idx="98">
                  <c:v>15.553797721862789</c:v>
                </c:pt>
                <c:pt idx="99">
                  <c:v>15.566038131713871</c:v>
                </c:pt>
                <c:pt idx="100">
                  <c:v>22.468086242675781</c:v>
                </c:pt>
                <c:pt idx="101">
                  <c:v>24.736843109130859</c:v>
                </c:pt>
                <c:pt idx="102">
                  <c:v>26.304347991943359</c:v>
                </c:pt>
                <c:pt idx="103">
                  <c:v>29.122138977050781</c:v>
                </c:pt>
                <c:pt idx="104">
                  <c:v>30.000001907348629</c:v>
                </c:pt>
                <c:pt idx="105">
                  <c:v>3.8232722282409668</c:v>
                </c:pt>
                <c:pt idx="106">
                  <c:v>5.2941179275512704</c:v>
                </c:pt>
                <c:pt idx="107">
                  <c:v>6.0978450775146484</c:v>
                </c:pt>
                <c:pt idx="108">
                  <c:v>6.2916665077209473</c:v>
                </c:pt>
                <c:pt idx="109">
                  <c:v>9.0348100662231445</c:v>
                </c:pt>
                <c:pt idx="110">
                  <c:v>14.695121765136721</c:v>
                </c:pt>
                <c:pt idx="111">
                  <c:v>15</c:v>
                </c:pt>
                <c:pt idx="112">
                  <c:v>15.541311264038089</c:v>
                </c:pt>
                <c:pt idx="113">
                  <c:v>15.833333015441889</c:v>
                </c:pt>
                <c:pt idx="114">
                  <c:v>20</c:v>
                </c:pt>
                <c:pt idx="115">
                  <c:v>22.321430206298832</c:v>
                </c:pt>
                <c:pt idx="116">
                  <c:v>25.307693481445309</c:v>
                </c:pt>
                <c:pt idx="117">
                  <c:v>25.555557250976559</c:v>
                </c:pt>
                <c:pt idx="118">
                  <c:v>29.619049072265629</c:v>
                </c:pt>
                <c:pt idx="119">
                  <c:v>30.000001907348629</c:v>
                </c:pt>
                <c:pt idx="120">
                  <c:v>3.8333334922790532</c:v>
                </c:pt>
                <c:pt idx="121">
                  <c:v>4.1964287757873544</c:v>
                </c:pt>
                <c:pt idx="122">
                  <c:v>5.2325582504272461</c:v>
                </c:pt>
                <c:pt idx="123">
                  <c:v>6.1100387573242188</c:v>
                </c:pt>
                <c:pt idx="124">
                  <c:v>10</c:v>
                </c:pt>
                <c:pt idx="125">
                  <c:v>14.25</c:v>
                </c:pt>
                <c:pt idx="126">
                  <c:v>15.572916984558111</c:v>
                </c:pt>
                <c:pt idx="127">
                  <c:v>17.318059921264648</c:v>
                </c:pt>
                <c:pt idx="128">
                  <c:v>17.5</c:v>
                </c:pt>
                <c:pt idx="129">
                  <c:v>20</c:v>
                </c:pt>
                <c:pt idx="130">
                  <c:v>22.321428298950199</c:v>
                </c:pt>
                <c:pt idx="131">
                  <c:v>24.1489372253418</c:v>
                </c:pt>
                <c:pt idx="132">
                  <c:v>26.250001907348629</c:v>
                </c:pt>
                <c:pt idx="133">
                  <c:v>27.14285850524902</c:v>
                </c:pt>
                <c:pt idx="134">
                  <c:v>30.000001907348629</c:v>
                </c:pt>
                <c:pt idx="135">
                  <c:v>4.1906781196594238</c:v>
                </c:pt>
                <c:pt idx="136">
                  <c:v>4.4767441749572754</c:v>
                </c:pt>
                <c:pt idx="137">
                  <c:v>5.9259257316589364</c:v>
                </c:pt>
                <c:pt idx="138">
                  <c:v>5.95355224609375</c:v>
                </c:pt>
                <c:pt idx="139">
                  <c:v>9.9016399383544922</c:v>
                </c:pt>
                <c:pt idx="140">
                  <c:v>15.36697292327881</c:v>
                </c:pt>
                <c:pt idx="141">
                  <c:v>15.653951644897459</c:v>
                </c:pt>
                <c:pt idx="142">
                  <c:v>16.25</c:v>
                </c:pt>
                <c:pt idx="143">
                  <c:v>17.63157844543457</c:v>
                </c:pt>
                <c:pt idx="144">
                  <c:v>20</c:v>
                </c:pt>
                <c:pt idx="145">
                  <c:v>22.22748947143555</c:v>
                </c:pt>
                <c:pt idx="146">
                  <c:v>23.611112594604489</c:v>
                </c:pt>
                <c:pt idx="147">
                  <c:v>25.227273941040039</c:v>
                </c:pt>
                <c:pt idx="148">
                  <c:v>27.43589973449707</c:v>
                </c:pt>
                <c:pt idx="149">
                  <c:v>30.000001907348629</c:v>
                </c:pt>
                <c:pt idx="150">
                  <c:v>0</c:v>
                </c:pt>
                <c:pt idx="151">
                  <c:v>3.9670932292938228</c:v>
                </c:pt>
                <c:pt idx="152">
                  <c:v>5.3472223281860352</c:v>
                </c:pt>
                <c:pt idx="153">
                  <c:v>5.8333334922790527</c:v>
                </c:pt>
                <c:pt idx="154">
                  <c:v>6.2180309295654297</c:v>
                </c:pt>
                <c:pt idx="155">
                  <c:v>9.9818181991577148</c:v>
                </c:pt>
                <c:pt idx="156">
                  <c:v>15.714285850524901</c:v>
                </c:pt>
                <c:pt idx="157">
                  <c:v>16.77419471740723</c:v>
                </c:pt>
                <c:pt idx="158">
                  <c:v>17.1315803527832</c:v>
                </c:pt>
                <c:pt idx="159">
                  <c:v>17.307693481445309</c:v>
                </c:pt>
                <c:pt idx="160">
                  <c:v>20</c:v>
                </c:pt>
                <c:pt idx="161">
                  <c:v>22.378049850463871</c:v>
                </c:pt>
                <c:pt idx="162">
                  <c:v>23.51351356506348</c:v>
                </c:pt>
                <c:pt idx="163">
                  <c:v>25.416667938232418</c:v>
                </c:pt>
                <c:pt idx="164">
                  <c:v>28.970590591430661</c:v>
                </c:pt>
                <c:pt idx="165">
                  <c:v>30.000001907348629</c:v>
                </c:pt>
                <c:pt idx="166">
                  <c:v>0</c:v>
                </c:pt>
                <c:pt idx="167">
                  <c:v>4.0045871734619141</c:v>
                </c:pt>
                <c:pt idx="168">
                  <c:v>5.4081630706787109</c:v>
                </c:pt>
                <c:pt idx="169">
                  <c:v>5.8860764503479004</c:v>
                </c:pt>
                <c:pt idx="170">
                  <c:v>6.2932181358337402</c:v>
                </c:pt>
                <c:pt idx="171">
                  <c:v>9.8767604827880859</c:v>
                </c:pt>
                <c:pt idx="172">
                  <c:v>15</c:v>
                </c:pt>
                <c:pt idx="173">
                  <c:v>17.396694183349609</c:v>
                </c:pt>
                <c:pt idx="174">
                  <c:v>17.672956466674801</c:v>
                </c:pt>
                <c:pt idx="175">
                  <c:v>19.259260177612301</c:v>
                </c:pt>
                <c:pt idx="176">
                  <c:v>20</c:v>
                </c:pt>
                <c:pt idx="177">
                  <c:v>22.53554534912109</c:v>
                </c:pt>
                <c:pt idx="178">
                  <c:v>23.235294342041019</c:v>
                </c:pt>
                <c:pt idx="179">
                  <c:v>27.659576416015629</c:v>
                </c:pt>
                <c:pt idx="180">
                  <c:v>28.962265014648441</c:v>
                </c:pt>
                <c:pt idx="181">
                  <c:v>30.000001907348629</c:v>
                </c:pt>
                <c:pt idx="182">
                  <c:v>4.1917672157287598</c:v>
                </c:pt>
                <c:pt idx="183">
                  <c:v>5.7432432174682617</c:v>
                </c:pt>
                <c:pt idx="184">
                  <c:v>6.121495246887207</c:v>
                </c:pt>
                <c:pt idx="185">
                  <c:v>6.2264156341552734</c:v>
                </c:pt>
                <c:pt idx="186">
                  <c:v>9.9118947982788086</c:v>
                </c:pt>
                <c:pt idx="187">
                  <c:v>13.37209320068359</c:v>
                </c:pt>
                <c:pt idx="188">
                  <c:v>14.269662857055661</c:v>
                </c:pt>
                <c:pt idx="189">
                  <c:v>16.640378952026371</c:v>
                </c:pt>
                <c:pt idx="190">
                  <c:v>19.117647171020511</c:v>
                </c:pt>
                <c:pt idx="191">
                  <c:v>22.827005386352539</c:v>
                </c:pt>
                <c:pt idx="192">
                  <c:v>23.48484992980957</c:v>
                </c:pt>
                <c:pt idx="193">
                  <c:v>27.14285850524902</c:v>
                </c:pt>
                <c:pt idx="194">
                  <c:v>29.43548583984375</c:v>
                </c:pt>
                <c:pt idx="195">
                  <c:v>4.0750527381896973</c:v>
                </c:pt>
                <c:pt idx="196">
                  <c:v>4.4029850959777832</c:v>
                </c:pt>
                <c:pt idx="197">
                  <c:v>6.4117646217346191</c:v>
                </c:pt>
                <c:pt idx="198">
                  <c:v>6.5798735618591309</c:v>
                </c:pt>
                <c:pt idx="199">
                  <c:v>10.32894802093506</c:v>
                </c:pt>
                <c:pt idx="200">
                  <c:v>14.816850662231451</c:v>
                </c:pt>
                <c:pt idx="201">
                  <c:v>15.9523811340332</c:v>
                </c:pt>
                <c:pt idx="202">
                  <c:v>17.14285850524902</c:v>
                </c:pt>
                <c:pt idx="203">
                  <c:v>20</c:v>
                </c:pt>
                <c:pt idx="204">
                  <c:v>20</c:v>
                </c:pt>
                <c:pt idx="205">
                  <c:v>22.391305923461911</c:v>
                </c:pt>
                <c:pt idx="206">
                  <c:v>23.333333969116211</c:v>
                </c:pt>
                <c:pt idx="207">
                  <c:v>23.983051300048832</c:v>
                </c:pt>
                <c:pt idx="208">
                  <c:v>26.75</c:v>
                </c:pt>
                <c:pt idx="209">
                  <c:v>28.823532104492191</c:v>
                </c:pt>
                <c:pt idx="210">
                  <c:v>0</c:v>
                </c:pt>
                <c:pt idx="211">
                  <c:v>3.5000002384185791</c:v>
                </c:pt>
                <c:pt idx="212">
                  <c:v>4.0560998916625977</c:v>
                </c:pt>
                <c:pt idx="213">
                  <c:v>5.7203388214111328</c:v>
                </c:pt>
                <c:pt idx="214">
                  <c:v>6.2899265289306641</c:v>
                </c:pt>
                <c:pt idx="215">
                  <c:v>10.15306186676025</c:v>
                </c:pt>
                <c:pt idx="216">
                  <c:v>15.20000076293945</c:v>
                </c:pt>
                <c:pt idx="217">
                  <c:v>15.550458908081049</c:v>
                </c:pt>
                <c:pt idx="218">
                  <c:v>15.92705249786377</c:v>
                </c:pt>
                <c:pt idx="219">
                  <c:v>17.89473724365234</c:v>
                </c:pt>
                <c:pt idx="220">
                  <c:v>20</c:v>
                </c:pt>
                <c:pt idx="221">
                  <c:v>21.902439117431641</c:v>
                </c:pt>
                <c:pt idx="222">
                  <c:v>23.289474487304691</c:v>
                </c:pt>
                <c:pt idx="223">
                  <c:v>26.71875</c:v>
                </c:pt>
                <c:pt idx="224">
                  <c:v>28.050849914550781</c:v>
                </c:pt>
                <c:pt idx="225">
                  <c:v>28.571430206298832</c:v>
                </c:pt>
                <c:pt idx="226">
                  <c:v>0</c:v>
                </c:pt>
                <c:pt idx="227">
                  <c:v>3.828125</c:v>
                </c:pt>
                <c:pt idx="228">
                  <c:v>4.0666666030883789</c:v>
                </c:pt>
                <c:pt idx="229">
                  <c:v>6</c:v>
                </c:pt>
                <c:pt idx="230">
                  <c:v>6.5369429588317871</c:v>
                </c:pt>
                <c:pt idx="231">
                  <c:v>7.7137551307678223</c:v>
                </c:pt>
                <c:pt idx="232">
                  <c:v>12.903225898742679</c:v>
                </c:pt>
                <c:pt idx="233">
                  <c:v>15</c:v>
                </c:pt>
                <c:pt idx="234">
                  <c:v>16.354167938232418</c:v>
                </c:pt>
                <c:pt idx="235">
                  <c:v>16.773162841796879</c:v>
                </c:pt>
                <c:pt idx="236">
                  <c:v>21.331169128417969</c:v>
                </c:pt>
                <c:pt idx="237">
                  <c:v>22.43243408203125</c:v>
                </c:pt>
                <c:pt idx="238">
                  <c:v>27.35294151306152</c:v>
                </c:pt>
                <c:pt idx="239">
                  <c:v>28.208957672119141</c:v>
                </c:pt>
                <c:pt idx="240">
                  <c:v>30.000001907348629</c:v>
                </c:pt>
                <c:pt idx="241">
                  <c:v>3.6986303329467769</c:v>
                </c:pt>
                <c:pt idx="242">
                  <c:v>3.941605806350708</c:v>
                </c:pt>
                <c:pt idx="243">
                  <c:v>6.1881189346313477</c:v>
                </c:pt>
                <c:pt idx="244">
                  <c:v>6.3474526405334473</c:v>
                </c:pt>
                <c:pt idx="245">
                  <c:v>7.8685259819030762</c:v>
                </c:pt>
                <c:pt idx="246">
                  <c:v>13.392857551574711</c:v>
                </c:pt>
                <c:pt idx="247">
                  <c:v>15.60241031646729</c:v>
                </c:pt>
                <c:pt idx="248">
                  <c:v>16.528240203857418</c:v>
                </c:pt>
                <c:pt idx="249">
                  <c:v>17.27272796630859</c:v>
                </c:pt>
                <c:pt idx="250">
                  <c:v>21.360946655273441</c:v>
                </c:pt>
                <c:pt idx="251">
                  <c:v>22.79069900512695</c:v>
                </c:pt>
                <c:pt idx="252">
                  <c:v>25.55555534362793</c:v>
                </c:pt>
                <c:pt idx="253">
                  <c:v>28.220340728759769</c:v>
                </c:pt>
                <c:pt idx="254">
                  <c:v>0</c:v>
                </c:pt>
                <c:pt idx="255">
                  <c:v>3.2432434558868408</c:v>
                </c:pt>
                <c:pt idx="256">
                  <c:v>3.633776187896729</c:v>
                </c:pt>
                <c:pt idx="257">
                  <c:v>5.1599998474121094</c:v>
                </c:pt>
                <c:pt idx="258">
                  <c:v>5.9554333686828613</c:v>
                </c:pt>
                <c:pt idx="259">
                  <c:v>9.325657844543457</c:v>
                </c:pt>
                <c:pt idx="260">
                  <c:v>15.428571701049799</c:v>
                </c:pt>
                <c:pt idx="261">
                  <c:v>16.280120849609379</c:v>
                </c:pt>
                <c:pt idx="262">
                  <c:v>16.94444465637207</c:v>
                </c:pt>
                <c:pt idx="263">
                  <c:v>17.69230842590332</c:v>
                </c:pt>
                <c:pt idx="264">
                  <c:v>20</c:v>
                </c:pt>
                <c:pt idx="265">
                  <c:v>22.925764083862301</c:v>
                </c:pt>
                <c:pt idx="266">
                  <c:v>24.222223281860352</c:v>
                </c:pt>
                <c:pt idx="267">
                  <c:v>25.576923370361332</c:v>
                </c:pt>
                <c:pt idx="268">
                  <c:v>26.88679313659668</c:v>
                </c:pt>
                <c:pt idx="269">
                  <c:v>30.000001907348629</c:v>
                </c:pt>
                <c:pt idx="270">
                  <c:v>0</c:v>
                </c:pt>
                <c:pt idx="271">
                  <c:v>3.1764707565307622</c:v>
                </c:pt>
                <c:pt idx="272">
                  <c:v>3.7569315433502202</c:v>
                </c:pt>
                <c:pt idx="273">
                  <c:v>5.721153736114502</c:v>
                </c:pt>
                <c:pt idx="274">
                  <c:v>6</c:v>
                </c:pt>
                <c:pt idx="275">
                  <c:v>8.7323942184448242</c:v>
                </c:pt>
                <c:pt idx="276">
                  <c:v>14.5121955871582</c:v>
                </c:pt>
                <c:pt idx="277">
                  <c:v>16.403226852416989</c:v>
                </c:pt>
                <c:pt idx="278">
                  <c:v>16.5625</c:v>
                </c:pt>
                <c:pt idx="279">
                  <c:v>18.164556503295898</c:v>
                </c:pt>
                <c:pt idx="280">
                  <c:v>21.182266235351559</c:v>
                </c:pt>
                <c:pt idx="281">
                  <c:v>25.638299942016602</c:v>
                </c:pt>
                <c:pt idx="282">
                  <c:v>26.538461685180661</c:v>
                </c:pt>
                <c:pt idx="283">
                  <c:v>28.839286804199219</c:v>
                </c:pt>
                <c:pt idx="284">
                  <c:v>30.000001907348629</c:v>
                </c:pt>
                <c:pt idx="285">
                  <c:v>3.7868020534515381</c:v>
                </c:pt>
                <c:pt idx="286">
                  <c:v>4.3636364936828613</c:v>
                </c:pt>
                <c:pt idx="287">
                  <c:v>5.8400001525878906</c:v>
                </c:pt>
                <c:pt idx="288">
                  <c:v>6.0359759330749512</c:v>
                </c:pt>
                <c:pt idx="289">
                  <c:v>8.9788732528686523</c:v>
                </c:pt>
                <c:pt idx="290">
                  <c:v>14.53125</c:v>
                </c:pt>
                <c:pt idx="291">
                  <c:v>16.058282852172852</c:v>
                </c:pt>
                <c:pt idx="292">
                  <c:v>17.619047164916989</c:v>
                </c:pt>
                <c:pt idx="293">
                  <c:v>18.916667938232418</c:v>
                </c:pt>
                <c:pt idx="294">
                  <c:v>20</c:v>
                </c:pt>
                <c:pt idx="295">
                  <c:v>22.449495315551761</c:v>
                </c:pt>
                <c:pt idx="296">
                  <c:v>25.803571701049801</c:v>
                </c:pt>
                <c:pt idx="297">
                  <c:v>28.098592758178711</c:v>
                </c:pt>
                <c:pt idx="298">
                  <c:v>28.750001907348629</c:v>
                </c:pt>
                <c:pt idx="299">
                  <c:v>30.000001907348629</c:v>
                </c:pt>
                <c:pt idx="300">
                  <c:v>0</c:v>
                </c:pt>
                <c:pt idx="301">
                  <c:v>3.6740331649780269</c:v>
                </c:pt>
                <c:pt idx="302">
                  <c:v>3.9189190864562988</c:v>
                </c:pt>
                <c:pt idx="303">
                  <c:v>5.6818180084228516</c:v>
                </c:pt>
                <c:pt idx="304">
                  <c:v>6.1266293525695801</c:v>
                </c:pt>
                <c:pt idx="305">
                  <c:v>8.950617790222168</c:v>
                </c:pt>
                <c:pt idx="306">
                  <c:v>15.384615898132321</c:v>
                </c:pt>
                <c:pt idx="307">
                  <c:v>16.071428298950199</c:v>
                </c:pt>
                <c:pt idx="308">
                  <c:v>17.840909957885739</c:v>
                </c:pt>
                <c:pt idx="309">
                  <c:v>17.93729400634766</c:v>
                </c:pt>
                <c:pt idx="310">
                  <c:v>22.180850982666019</c:v>
                </c:pt>
                <c:pt idx="311">
                  <c:v>24.574468612670898</c:v>
                </c:pt>
                <c:pt idx="312">
                  <c:v>26.923078536987301</c:v>
                </c:pt>
                <c:pt idx="313">
                  <c:v>28.40000152587891</c:v>
                </c:pt>
                <c:pt idx="314">
                  <c:v>30.000001907348629</c:v>
                </c:pt>
                <c:pt idx="315">
                  <c:v>0</c:v>
                </c:pt>
                <c:pt idx="316">
                  <c:v>3.5010941028594971</c:v>
                </c:pt>
                <c:pt idx="317">
                  <c:v>4.0721650123596191</c:v>
                </c:pt>
                <c:pt idx="318">
                  <c:v>5.769230842590332</c:v>
                </c:pt>
                <c:pt idx="319">
                  <c:v>6.2846803665161133</c:v>
                </c:pt>
                <c:pt idx="320">
                  <c:v>10.143885612487789</c:v>
                </c:pt>
                <c:pt idx="321">
                  <c:v>15</c:v>
                </c:pt>
                <c:pt idx="322">
                  <c:v>15.384615898132321</c:v>
                </c:pt>
                <c:pt idx="323">
                  <c:v>16.33012771606445</c:v>
                </c:pt>
                <c:pt idx="324">
                  <c:v>19.71831130981445</c:v>
                </c:pt>
                <c:pt idx="325">
                  <c:v>21.983695983886719</c:v>
                </c:pt>
                <c:pt idx="326">
                  <c:v>25.14285850524902</c:v>
                </c:pt>
                <c:pt idx="327">
                  <c:v>25.666667938232418</c:v>
                </c:pt>
                <c:pt idx="328">
                  <c:v>28.20000076293945</c:v>
                </c:pt>
                <c:pt idx="329">
                  <c:v>30.000001907348629</c:v>
                </c:pt>
                <c:pt idx="330">
                  <c:v>3.788037776947021</c:v>
                </c:pt>
                <c:pt idx="331">
                  <c:v>5.9027776718139648</c:v>
                </c:pt>
                <c:pt idx="332">
                  <c:v>6.0937504768371582</c:v>
                </c:pt>
                <c:pt idx="333">
                  <c:v>6.159947395324707</c:v>
                </c:pt>
                <c:pt idx="334">
                  <c:v>9.9631004333496094</c:v>
                </c:pt>
                <c:pt idx="335">
                  <c:v>14.23076915740967</c:v>
                </c:pt>
                <c:pt idx="336">
                  <c:v>15.0168924331665</c:v>
                </c:pt>
                <c:pt idx="337">
                  <c:v>18.888889312744141</c:v>
                </c:pt>
                <c:pt idx="338">
                  <c:v>19.259260177612301</c:v>
                </c:pt>
                <c:pt idx="339">
                  <c:v>20</c:v>
                </c:pt>
                <c:pt idx="340">
                  <c:v>23.391960144042969</c:v>
                </c:pt>
                <c:pt idx="341">
                  <c:v>24.516130447387699</c:v>
                </c:pt>
                <c:pt idx="342">
                  <c:v>26.60000038146973</c:v>
                </c:pt>
                <c:pt idx="343">
                  <c:v>28.617023468017582</c:v>
                </c:pt>
                <c:pt idx="344">
                  <c:v>0</c:v>
                </c:pt>
                <c:pt idx="345">
                  <c:v>3.733009815216064</c:v>
                </c:pt>
                <c:pt idx="346">
                  <c:v>6.1728396415710449</c:v>
                </c:pt>
                <c:pt idx="347">
                  <c:v>6.2004327774047852</c:v>
                </c:pt>
                <c:pt idx="348">
                  <c:v>7.0987658500671387</c:v>
                </c:pt>
                <c:pt idx="349">
                  <c:v>8.7137680053710938</c:v>
                </c:pt>
                <c:pt idx="350">
                  <c:v>16.111112594604489</c:v>
                </c:pt>
                <c:pt idx="351">
                  <c:v>17.941177368164059</c:v>
                </c:pt>
                <c:pt idx="352">
                  <c:v>18.811882019042969</c:v>
                </c:pt>
                <c:pt idx="353">
                  <c:v>20</c:v>
                </c:pt>
                <c:pt idx="354">
                  <c:v>22.392473220825199</c:v>
                </c:pt>
                <c:pt idx="355">
                  <c:v>25.964914321899411</c:v>
                </c:pt>
                <c:pt idx="356">
                  <c:v>26.1363639831543</c:v>
                </c:pt>
                <c:pt idx="357">
                  <c:v>29.032258987426761</c:v>
                </c:pt>
                <c:pt idx="358">
                  <c:v>30.000001907348629</c:v>
                </c:pt>
                <c:pt idx="359">
                  <c:v>3.519230842590332</c:v>
                </c:pt>
                <c:pt idx="360">
                  <c:v>4.5783133506774902</c:v>
                </c:pt>
                <c:pt idx="361">
                  <c:v>5.4268293380737296</c:v>
                </c:pt>
                <c:pt idx="362">
                  <c:v>6.0248446464538574</c:v>
                </c:pt>
                <c:pt idx="363">
                  <c:v>8.3198385238647461</c:v>
                </c:pt>
                <c:pt idx="364">
                  <c:v>10</c:v>
                </c:pt>
                <c:pt idx="365">
                  <c:v>11.15384578704834</c:v>
                </c:pt>
                <c:pt idx="366">
                  <c:v>14.40000057220459</c:v>
                </c:pt>
                <c:pt idx="367">
                  <c:v>15.65306186676025</c:v>
                </c:pt>
                <c:pt idx="368">
                  <c:v>16.842105865478519</c:v>
                </c:pt>
                <c:pt idx="369">
                  <c:v>21.302083969116211</c:v>
                </c:pt>
                <c:pt idx="370">
                  <c:v>25.357143402099609</c:v>
                </c:pt>
                <c:pt idx="371">
                  <c:v>29.166667938232418</c:v>
                </c:pt>
                <c:pt idx="372">
                  <c:v>30.000001907348629</c:v>
                </c:pt>
                <c:pt idx="373">
                  <c:v>0</c:v>
                </c:pt>
                <c:pt idx="374">
                  <c:v>3.9239001274108891</c:v>
                </c:pt>
                <c:pt idx="375">
                  <c:v>4.8333334922790527</c:v>
                </c:pt>
                <c:pt idx="376">
                  <c:v>5.4166665077209473</c:v>
                </c:pt>
                <c:pt idx="377">
                  <c:v>5.516693115234375</c:v>
                </c:pt>
                <c:pt idx="378">
                  <c:v>11.17063522338867</c:v>
                </c:pt>
                <c:pt idx="379">
                  <c:v>13.42105293273926</c:v>
                </c:pt>
                <c:pt idx="380">
                  <c:v>14.92424297332764</c:v>
                </c:pt>
                <c:pt idx="381">
                  <c:v>18.62068939208984</c:v>
                </c:pt>
                <c:pt idx="382">
                  <c:v>20</c:v>
                </c:pt>
                <c:pt idx="383">
                  <c:v>22.551021575927731</c:v>
                </c:pt>
                <c:pt idx="384">
                  <c:v>24.363637924194339</c:v>
                </c:pt>
                <c:pt idx="385">
                  <c:v>26.1363639831543</c:v>
                </c:pt>
                <c:pt idx="386">
                  <c:v>28.214286804199219</c:v>
                </c:pt>
                <c:pt idx="387">
                  <c:v>3.3132531642913818</c:v>
                </c:pt>
                <c:pt idx="388">
                  <c:v>3.5568668842315669</c:v>
                </c:pt>
                <c:pt idx="389">
                  <c:v>5.9720373153686523</c:v>
                </c:pt>
                <c:pt idx="390">
                  <c:v>6.25</c:v>
                </c:pt>
                <c:pt idx="391">
                  <c:v>7.3897061347961426</c:v>
                </c:pt>
                <c:pt idx="392">
                  <c:v>14.75</c:v>
                </c:pt>
                <c:pt idx="393">
                  <c:v>15.74427509307861</c:v>
                </c:pt>
                <c:pt idx="394">
                  <c:v>18.125</c:v>
                </c:pt>
                <c:pt idx="395">
                  <c:v>18.307693481445309</c:v>
                </c:pt>
                <c:pt idx="396">
                  <c:v>20</c:v>
                </c:pt>
                <c:pt idx="397">
                  <c:v>22.105264663696289</c:v>
                </c:pt>
                <c:pt idx="398">
                  <c:v>25.128206253051761</c:v>
                </c:pt>
                <c:pt idx="399">
                  <c:v>26.818181991577148</c:v>
                </c:pt>
                <c:pt idx="400">
                  <c:v>28.207548141479489</c:v>
                </c:pt>
                <c:pt idx="401">
                  <c:v>30.000001907348629</c:v>
                </c:pt>
                <c:pt idx="402">
                  <c:v>0</c:v>
                </c:pt>
                <c:pt idx="403">
                  <c:v>3.114754199981689</c:v>
                </c:pt>
                <c:pt idx="404">
                  <c:v>3.7545344829559331</c:v>
                </c:pt>
                <c:pt idx="405">
                  <c:v>5.7598567008972168</c:v>
                </c:pt>
                <c:pt idx="406">
                  <c:v>5.876288890838623</c:v>
                </c:pt>
                <c:pt idx="407">
                  <c:v>7.5862069129943848</c:v>
                </c:pt>
                <c:pt idx="408">
                  <c:v>13.68421077728271</c:v>
                </c:pt>
                <c:pt idx="409">
                  <c:v>14</c:v>
                </c:pt>
                <c:pt idx="410">
                  <c:v>16.254901885986332</c:v>
                </c:pt>
                <c:pt idx="411">
                  <c:v>18.059701919555661</c:v>
                </c:pt>
                <c:pt idx="412">
                  <c:v>20</c:v>
                </c:pt>
                <c:pt idx="413">
                  <c:v>22.883213043212891</c:v>
                </c:pt>
                <c:pt idx="414">
                  <c:v>24.393939971923832</c:v>
                </c:pt>
                <c:pt idx="415">
                  <c:v>25</c:v>
                </c:pt>
                <c:pt idx="416">
                  <c:v>27.758623123168949</c:v>
                </c:pt>
                <c:pt idx="417">
                  <c:v>30.000001907348629</c:v>
                </c:pt>
                <c:pt idx="418">
                  <c:v>0</c:v>
                </c:pt>
                <c:pt idx="419">
                  <c:v>3.2786886692047119</c:v>
                </c:pt>
                <c:pt idx="420">
                  <c:v>3.816105842590332</c:v>
                </c:pt>
                <c:pt idx="421">
                  <c:v>5.6989245414733887</c:v>
                </c:pt>
                <c:pt idx="422">
                  <c:v>6.3510785102844238</c:v>
                </c:pt>
                <c:pt idx="423">
                  <c:v>9.5918369293212891</c:v>
                </c:pt>
                <c:pt idx="424">
                  <c:v>13.461538314819339</c:v>
                </c:pt>
                <c:pt idx="425">
                  <c:v>15.90038394927979</c:v>
                </c:pt>
                <c:pt idx="426">
                  <c:v>18.076923370361332</c:v>
                </c:pt>
                <c:pt idx="427">
                  <c:v>18.362070083618161</c:v>
                </c:pt>
                <c:pt idx="428">
                  <c:v>20</c:v>
                </c:pt>
                <c:pt idx="429">
                  <c:v>22.374301910400391</c:v>
                </c:pt>
                <c:pt idx="430">
                  <c:v>23.888889312744141</c:v>
                </c:pt>
                <c:pt idx="431">
                  <c:v>24.000001907348629</c:v>
                </c:pt>
                <c:pt idx="432">
                  <c:v>27.941177368164059</c:v>
                </c:pt>
                <c:pt idx="433">
                  <c:v>30.000001907348629</c:v>
                </c:pt>
                <c:pt idx="434">
                  <c:v>0</c:v>
                </c:pt>
                <c:pt idx="435">
                  <c:v>3.7810385227203369</c:v>
                </c:pt>
                <c:pt idx="436">
                  <c:v>4.0972223281860352</c:v>
                </c:pt>
                <c:pt idx="437">
                  <c:v>5.8366665840148926</c:v>
                </c:pt>
                <c:pt idx="438">
                  <c:v>5.9550561904907227</c:v>
                </c:pt>
                <c:pt idx="439">
                  <c:v>9.4890518188476563</c:v>
                </c:pt>
                <c:pt idx="440">
                  <c:v>15</c:v>
                </c:pt>
                <c:pt idx="441">
                  <c:v>16.616542816162109</c:v>
                </c:pt>
                <c:pt idx="442">
                  <c:v>18.68055534362793</c:v>
                </c:pt>
                <c:pt idx="443">
                  <c:v>19</c:v>
                </c:pt>
                <c:pt idx="444">
                  <c:v>22.157896041870121</c:v>
                </c:pt>
                <c:pt idx="445">
                  <c:v>22.89473724365234</c:v>
                </c:pt>
                <c:pt idx="446">
                  <c:v>27.083333969116211</c:v>
                </c:pt>
                <c:pt idx="447">
                  <c:v>28.33333587646484</c:v>
                </c:pt>
                <c:pt idx="448">
                  <c:v>30.000001907348629</c:v>
                </c:pt>
                <c:pt idx="449">
                  <c:v>3.2352943420410161</c:v>
                </c:pt>
                <c:pt idx="450">
                  <c:v>3.5928809642791748</c:v>
                </c:pt>
                <c:pt idx="451">
                  <c:v>5</c:v>
                </c:pt>
                <c:pt idx="452">
                  <c:v>5.5113635063171387</c:v>
                </c:pt>
                <c:pt idx="453">
                  <c:v>5.6959948539733887</c:v>
                </c:pt>
                <c:pt idx="454">
                  <c:v>9.0416669845581055</c:v>
                </c:pt>
                <c:pt idx="455">
                  <c:v>13.666666984558111</c:v>
                </c:pt>
                <c:pt idx="456">
                  <c:v>16.807693481445309</c:v>
                </c:pt>
                <c:pt idx="457">
                  <c:v>16.875</c:v>
                </c:pt>
                <c:pt idx="458">
                  <c:v>20</c:v>
                </c:pt>
                <c:pt idx="459">
                  <c:v>22.417219161987301</c:v>
                </c:pt>
                <c:pt idx="460">
                  <c:v>24.342105865478519</c:v>
                </c:pt>
                <c:pt idx="461">
                  <c:v>28.500001907348629</c:v>
                </c:pt>
                <c:pt idx="462">
                  <c:v>28.913045883178711</c:v>
                </c:pt>
                <c:pt idx="463">
                  <c:v>30.000001907348629</c:v>
                </c:pt>
                <c:pt idx="464">
                  <c:v>0</c:v>
                </c:pt>
                <c:pt idx="465">
                  <c:v>3.2474226951599121</c:v>
                </c:pt>
                <c:pt idx="466">
                  <c:v>3.9041097164154048</c:v>
                </c:pt>
                <c:pt idx="467">
                  <c:v>6.1009173393249512</c:v>
                </c:pt>
                <c:pt idx="468">
                  <c:v>6.2712397575378418</c:v>
                </c:pt>
                <c:pt idx="469">
                  <c:v>8.3056478500366211</c:v>
                </c:pt>
                <c:pt idx="470">
                  <c:v>14.074074745178221</c:v>
                </c:pt>
                <c:pt idx="471">
                  <c:v>16.470588684082031</c:v>
                </c:pt>
                <c:pt idx="472">
                  <c:v>16.666666030883789</c:v>
                </c:pt>
                <c:pt idx="473">
                  <c:v>17.34568023681641</c:v>
                </c:pt>
                <c:pt idx="474">
                  <c:v>22.083333969116211</c:v>
                </c:pt>
                <c:pt idx="475">
                  <c:v>25.151515960693359</c:v>
                </c:pt>
                <c:pt idx="476">
                  <c:v>27.708333969116211</c:v>
                </c:pt>
                <c:pt idx="477">
                  <c:v>29.28571701049805</c:v>
                </c:pt>
                <c:pt idx="478">
                  <c:v>0</c:v>
                </c:pt>
                <c:pt idx="479">
                  <c:v>3.104611873626709</c:v>
                </c:pt>
                <c:pt idx="480">
                  <c:v>4.2465753555297852</c:v>
                </c:pt>
                <c:pt idx="481">
                  <c:v>6.1224489212036133</c:v>
                </c:pt>
                <c:pt idx="482">
                  <c:v>6.3564167022705078</c:v>
                </c:pt>
                <c:pt idx="483">
                  <c:v>8.3661422729492188</c:v>
                </c:pt>
                <c:pt idx="484">
                  <c:v>14</c:v>
                </c:pt>
                <c:pt idx="485">
                  <c:v>15.878378868103029</c:v>
                </c:pt>
                <c:pt idx="486">
                  <c:v>16.071428298950199</c:v>
                </c:pt>
                <c:pt idx="487">
                  <c:v>17.58620643615723</c:v>
                </c:pt>
                <c:pt idx="488">
                  <c:v>20</c:v>
                </c:pt>
                <c:pt idx="489">
                  <c:v>22.532468795776371</c:v>
                </c:pt>
                <c:pt idx="490">
                  <c:v>25.701755523681641</c:v>
                </c:pt>
                <c:pt idx="491">
                  <c:v>26.90476226806641</c:v>
                </c:pt>
                <c:pt idx="492">
                  <c:v>27</c:v>
                </c:pt>
                <c:pt idx="493">
                  <c:v>28.490568161010739</c:v>
                </c:pt>
                <c:pt idx="494">
                  <c:v>3.3870968818664551</c:v>
                </c:pt>
                <c:pt idx="495">
                  <c:v>3.59218430519104</c:v>
                </c:pt>
                <c:pt idx="496">
                  <c:v>5.2232141494750977</c:v>
                </c:pt>
                <c:pt idx="497">
                  <c:v>6.0072178840637207</c:v>
                </c:pt>
                <c:pt idx="498">
                  <c:v>8.9003438949584961</c:v>
                </c:pt>
                <c:pt idx="499">
                  <c:v>15.29411792755127</c:v>
                </c:pt>
                <c:pt idx="500">
                  <c:v>16.935483932495121</c:v>
                </c:pt>
                <c:pt idx="501">
                  <c:v>17.777778625488281</c:v>
                </c:pt>
                <c:pt idx="502">
                  <c:v>18.947368621826168</c:v>
                </c:pt>
                <c:pt idx="503">
                  <c:v>22.677597045898441</c:v>
                </c:pt>
                <c:pt idx="504">
                  <c:v>24.84848594665527</c:v>
                </c:pt>
                <c:pt idx="505">
                  <c:v>25</c:v>
                </c:pt>
                <c:pt idx="506">
                  <c:v>27.750001907348629</c:v>
                </c:pt>
                <c:pt idx="507">
                  <c:v>3.7053570747375488</c:v>
                </c:pt>
                <c:pt idx="508">
                  <c:v>4.7887325286865234</c:v>
                </c:pt>
                <c:pt idx="509">
                  <c:v>5.2105264663696289</c:v>
                </c:pt>
                <c:pt idx="510">
                  <c:v>5.9625158309936523</c:v>
                </c:pt>
                <c:pt idx="511">
                  <c:v>9.5546560287475586</c:v>
                </c:pt>
                <c:pt idx="512">
                  <c:v>14.77272796630859</c:v>
                </c:pt>
                <c:pt idx="513">
                  <c:v>17.23826789855957</c:v>
                </c:pt>
                <c:pt idx="514">
                  <c:v>18.684209823608398</c:v>
                </c:pt>
                <c:pt idx="515">
                  <c:v>19.038461685180661</c:v>
                </c:pt>
                <c:pt idx="516">
                  <c:v>22.14723968505859</c:v>
                </c:pt>
                <c:pt idx="517">
                  <c:v>25.686275482177731</c:v>
                </c:pt>
                <c:pt idx="518">
                  <c:v>28.529413223266602</c:v>
                </c:pt>
                <c:pt idx="519">
                  <c:v>28.586957931518551</c:v>
                </c:pt>
                <c:pt idx="520">
                  <c:v>0</c:v>
                </c:pt>
                <c:pt idx="521">
                  <c:v>3.5853910446166992</c:v>
                </c:pt>
                <c:pt idx="522">
                  <c:v>5.983309268951416</c:v>
                </c:pt>
                <c:pt idx="523">
                  <c:v>6.0897440910339364</c:v>
                </c:pt>
                <c:pt idx="524">
                  <c:v>6.9523811340332031</c:v>
                </c:pt>
                <c:pt idx="525">
                  <c:v>9.5762710571289063</c:v>
                </c:pt>
                <c:pt idx="526">
                  <c:v>13.75000095367432</c:v>
                </c:pt>
                <c:pt idx="527">
                  <c:v>15.55555629730225</c:v>
                </c:pt>
                <c:pt idx="528">
                  <c:v>16.388889312744141</c:v>
                </c:pt>
                <c:pt idx="529">
                  <c:v>18.988763809204102</c:v>
                </c:pt>
                <c:pt idx="530">
                  <c:v>20</c:v>
                </c:pt>
                <c:pt idx="531">
                  <c:v>22.44252967834473</c:v>
                </c:pt>
                <c:pt idx="532">
                  <c:v>24.34782791137695</c:v>
                </c:pt>
                <c:pt idx="533">
                  <c:v>27.857145309448239</c:v>
                </c:pt>
                <c:pt idx="534">
                  <c:v>28.611112594604489</c:v>
                </c:pt>
                <c:pt idx="535">
                  <c:v>30.000001907348629</c:v>
                </c:pt>
                <c:pt idx="536">
                  <c:v>0</c:v>
                </c:pt>
                <c:pt idx="537">
                  <c:v>0</c:v>
                </c:pt>
                <c:pt idx="538">
                  <c:v>0.50323975086212158</c:v>
                </c:pt>
                <c:pt idx="539">
                  <c:v>1.0947204828262329</c:v>
                </c:pt>
                <c:pt idx="540">
                  <c:v>3.68932032585144</c:v>
                </c:pt>
                <c:pt idx="541">
                  <c:v>4.3545141220092773</c:v>
                </c:pt>
                <c:pt idx="542">
                  <c:v>5.7978725433349609</c:v>
                </c:pt>
                <c:pt idx="543">
                  <c:v>5.9512200355529794</c:v>
                </c:pt>
                <c:pt idx="544">
                  <c:v>6.7500004768371582</c:v>
                </c:pt>
                <c:pt idx="545">
                  <c:v>11.678571701049799</c:v>
                </c:pt>
                <c:pt idx="546">
                  <c:v>12.112612724304199</c:v>
                </c:pt>
                <c:pt idx="547">
                  <c:v>12.549140930175779</c:v>
                </c:pt>
                <c:pt idx="548">
                  <c:v>17.574468612670898</c:v>
                </c:pt>
                <c:pt idx="549">
                  <c:v>21.789474487304691</c:v>
                </c:pt>
                <c:pt idx="550">
                  <c:v>24.25324821472168</c:v>
                </c:pt>
                <c:pt idx="551">
                  <c:v>0</c:v>
                </c:pt>
                <c:pt idx="552">
                  <c:v>0.44605568051338201</c:v>
                </c:pt>
                <c:pt idx="553">
                  <c:v>2.370879173278809</c:v>
                </c:pt>
                <c:pt idx="554">
                  <c:v>3.9431805610656738</c:v>
                </c:pt>
                <c:pt idx="555">
                  <c:v>3.959595918655396</c:v>
                </c:pt>
                <c:pt idx="556">
                  <c:v>6.2796211242675781</c:v>
                </c:pt>
                <c:pt idx="557">
                  <c:v>7.8372097015380859</c:v>
                </c:pt>
                <c:pt idx="558">
                  <c:v>11.12994384765625</c:v>
                </c:pt>
                <c:pt idx="559">
                  <c:v>11.831381797790529</c:v>
                </c:pt>
                <c:pt idx="560">
                  <c:v>11.928571701049799</c:v>
                </c:pt>
                <c:pt idx="561">
                  <c:v>17.792453765869141</c:v>
                </c:pt>
                <c:pt idx="562">
                  <c:v>22.5</c:v>
                </c:pt>
                <c:pt idx="563">
                  <c:v>23.16806793212891</c:v>
                </c:pt>
                <c:pt idx="564">
                  <c:v>23.19230842590332</c:v>
                </c:pt>
                <c:pt idx="565">
                  <c:v>0</c:v>
                </c:pt>
                <c:pt idx="566">
                  <c:v>0.56821829080581665</c:v>
                </c:pt>
                <c:pt idx="567">
                  <c:v>1.557569265365601</c:v>
                </c:pt>
                <c:pt idx="568">
                  <c:v>3.85401463508606</c:v>
                </c:pt>
                <c:pt idx="569">
                  <c:v>4.4132657051086426</c:v>
                </c:pt>
                <c:pt idx="570">
                  <c:v>4.6044406890869141</c:v>
                </c:pt>
                <c:pt idx="571">
                  <c:v>8.418919563293457</c:v>
                </c:pt>
                <c:pt idx="572">
                  <c:v>11.25</c:v>
                </c:pt>
                <c:pt idx="573">
                  <c:v>11.524691581726071</c:v>
                </c:pt>
                <c:pt idx="574">
                  <c:v>12.46727085113525</c:v>
                </c:pt>
                <c:pt idx="575">
                  <c:v>13.283333778381349</c:v>
                </c:pt>
                <c:pt idx="576">
                  <c:v>18</c:v>
                </c:pt>
                <c:pt idx="577">
                  <c:v>18.188285827636719</c:v>
                </c:pt>
                <c:pt idx="578">
                  <c:v>19.424369812011719</c:v>
                </c:pt>
                <c:pt idx="579">
                  <c:v>22.333333969116211</c:v>
                </c:pt>
                <c:pt idx="580">
                  <c:v>0</c:v>
                </c:pt>
                <c:pt idx="581">
                  <c:v>0</c:v>
                </c:pt>
                <c:pt idx="582">
                  <c:v>0.7011866569519043</c:v>
                </c:pt>
                <c:pt idx="583">
                  <c:v>1.3008048534393311</c:v>
                </c:pt>
                <c:pt idx="584">
                  <c:v>4.435185432434082</c:v>
                </c:pt>
                <c:pt idx="585">
                  <c:v>4.592592716217041</c:v>
                </c:pt>
                <c:pt idx="586">
                  <c:v>4.719306468963623</c:v>
                </c:pt>
                <c:pt idx="587">
                  <c:v>7.1940302848815918</c:v>
                </c:pt>
                <c:pt idx="588">
                  <c:v>10.329268455505369</c:v>
                </c:pt>
                <c:pt idx="589">
                  <c:v>12.20588302612305</c:v>
                </c:pt>
                <c:pt idx="590">
                  <c:v>12.47447299957275</c:v>
                </c:pt>
                <c:pt idx="591">
                  <c:v>17.675394058227539</c:v>
                </c:pt>
                <c:pt idx="592">
                  <c:v>21.04255485534668</c:v>
                </c:pt>
                <c:pt idx="593">
                  <c:v>24.7023811340332</c:v>
                </c:pt>
                <c:pt idx="594">
                  <c:v>25.20000076293945</c:v>
                </c:pt>
                <c:pt idx="595">
                  <c:v>0</c:v>
                </c:pt>
                <c:pt idx="596">
                  <c:v>0</c:v>
                </c:pt>
                <c:pt idx="597">
                  <c:v>0.63043481111526489</c:v>
                </c:pt>
                <c:pt idx="598">
                  <c:v>2.894285917282104</c:v>
                </c:pt>
                <c:pt idx="599">
                  <c:v>3.682539701461792</c:v>
                </c:pt>
                <c:pt idx="600">
                  <c:v>4.2042813301086426</c:v>
                </c:pt>
                <c:pt idx="601">
                  <c:v>4.3588852882385254</c:v>
                </c:pt>
                <c:pt idx="602">
                  <c:v>6.5324678421020508</c:v>
                </c:pt>
                <c:pt idx="603">
                  <c:v>11.34906482696533</c:v>
                </c:pt>
                <c:pt idx="604">
                  <c:v>12.69444465637207</c:v>
                </c:pt>
                <c:pt idx="605">
                  <c:v>12.93738460540771</c:v>
                </c:pt>
                <c:pt idx="606">
                  <c:v>18.679105758666989</c:v>
                </c:pt>
                <c:pt idx="607">
                  <c:v>22.591836929321289</c:v>
                </c:pt>
                <c:pt idx="608">
                  <c:v>23.433963775634769</c:v>
                </c:pt>
                <c:pt idx="609">
                  <c:v>27.000001907348629</c:v>
                </c:pt>
                <c:pt idx="610">
                  <c:v>0</c:v>
                </c:pt>
                <c:pt idx="611">
                  <c:v>0.82708531618118286</c:v>
                </c:pt>
                <c:pt idx="612">
                  <c:v>2.0550351142883301</c:v>
                </c:pt>
                <c:pt idx="613">
                  <c:v>4</c:v>
                </c:pt>
                <c:pt idx="614">
                  <c:v>4.6578001976013184</c:v>
                </c:pt>
                <c:pt idx="615">
                  <c:v>5.0246710777282706</c:v>
                </c:pt>
                <c:pt idx="616">
                  <c:v>8.3709678649902344</c:v>
                </c:pt>
                <c:pt idx="617">
                  <c:v>12.357142448425289</c:v>
                </c:pt>
                <c:pt idx="618">
                  <c:v>13.33679294586182</c:v>
                </c:pt>
                <c:pt idx="619">
                  <c:v>13.50000095367432</c:v>
                </c:pt>
                <c:pt idx="620">
                  <c:v>16.46875</c:v>
                </c:pt>
                <c:pt idx="621">
                  <c:v>18</c:v>
                </c:pt>
                <c:pt idx="622">
                  <c:v>18.25</c:v>
                </c:pt>
                <c:pt idx="623">
                  <c:v>22.421052932739261</c:v>
                </c:pt>
                <c:pt idx="624">
                  <c:v>25.647785186767582</c:v>
                </c:pt>
                <c:pt idx="625">
                  <c:v>0</c:v>
                </c:pt>
                <c:pt idx="626">
                  <c:v>0.87082207202911377</c:v>
                </c:pt>
                <c:pt idx="627">
                  <c:v>2.6892857551574711</c:v>
                </c:pt>
                <c:pt idx="628">
                  <c:v>3.4545454978942871</c:v>
                </c:pt>
                <c:pt idx="629">
                  <c:v>4.6150412559509277</c:v>
                </c:pt>
                <c:pt idx="630">
                  <c:v>4.8795623779296884</c:v>
                </c:pt>
                <c:pt idx="631">
                  <c:v>8.1343288421630859</c:v>
                </c:pt>
                <c:pt idx="632">
                  <c:v>9.6148147583007813</c:v>
                </c:pt>
                <c:pt idx="633">
                  <c:v>13.50000095367432</c:v>
                </c:pt>
                <c:pt idx="634">
                  <c:v>14.20000076293945</c:v>
                </c:pt>
                <c:pt idx="635">
                  <c:v>14.789474487304689</c:v>
                </c:pt>
                <c:pt idx="636">
                  <c:v>18.277202606201168</c:v>
                </c:pt>
                <c:pt idx="637">
                  <c:v>22.10294151306152</c:v>
                </c:pt>
                <c:pt idx="638">
                  <c:v>23.511905670166019</c:v>
                </c:pt>
                <c:pt idx="639">
                  <c:v>0</c:v>
                </c:pt>
                <c:pt idx="640">
                  <c:v>0</c:v>
                </c:pt>
                <c:pt idx="641">
                  <c:v>0.80581295490264893</c:v>
                </c:pt>
                <c:pt idx="642">
                  <c:v>1.901785731315613</c:v>
                </c:pt>
                <c:pt idx="643">
                  <c:v>4.1311473846435547</c:v>
                </c:pt>
                <c:pt idx="644">
                  <c:v>4.4468202590942383</c:v>
                </c:pt>
                <c:pt idx="645">
                  <c:v>5.6097927093505859</c:v>
                </c:pt>
                <c:pt idx="646">
                  <c:v>7.2363638877868652</c:v>
                </c:pt>
                <c:pt idx="647">
                  <c:v>10.36533355712891</c:v>
                </c:pt>
                <c:pt idx="648">
                  <c:v>11.84285736083984</c:v>
                </c:pt>
                <c:pt idx="649">
                  <c:v>14.14039421081543</c:v>
                </c:pt>
                <c:pt idx="650">
                  <c:v>18</c:v>
                </c:pt>
                <c:pt idx="651">
                  <c:v>18.769927978515629</c:v>
                </c:pt>
                <c:pt idx="652">
                  <c:v>22.15822792053223</c:v>
                </c:pt>
                <c:pt idx="653">
                  <c:v>22.853572845458981</c:v>
                </c:pt>
                <c:pt idx="654">
                  <c:v>0.62068963050842285</c:v>
                </c:pt>
                <c:pt idx="655">
                  <c:v>0.62523812055587769</c:v>
                </c:pt>
                <c:pt idx="656">
                  <c:v>1.680672287940979</c:v>
                </c:pt>
                <c:pt idx="657">
                  <c:v>3.1711711883544922</c:v>
                </c:pt>
                <c:pt idx="658">
                  <c:v>5.2287378311157227</c:v>
                </c:pt>
                <c:pt idx="659">
                  <c:v>6.181495189666748</c:v>
                </c:pt>
                <c:pt idx="660">
                  <c:v>7.4571433067321777</c:v>
                </c:pt>
                <c:pt idx="661">
                  <c:v>9.6005077362060547</c:v>
                </c:pt>
                <c:pt idx="662">
                  <c:v>11.454545974731451</c:v>
                </c:pt>
                <c:pt idx="663">
                  <c:v>12.994613647460939</c:v>
                </c:pt>
                <c:pt idx="664">
                  <c:v>18</c:v>
                </c:pt>
                <c:pt idx="665">
                  <c:v>18.857143402099609</c:v>
                </c:pt>
                <c:pt idx="666">
                  <c:v>21.05660438537598</c:v>
                </c:pt>
                <c:pt idx="667">
                  <c:v>25.157144546508789</c:v>
                </c:pt>
                <c:pt idx="668">
                  <c:v>0</c:v>
                </c:pt>
                <c:pt idx="669">
                  <c:v>0</c:v>
                </c:pt>
                <c:pt idx="670">
                  <c:v>0.69524616003036499</c:v>
                </c:pt>
                <c:pt idx="671">
                  <c:v>2.342615127563477</c:v>
                </c:pt>
                <c:pt idx="672">
                  <c:v>3.9379844665527339</c:v>
                </c:pt>
                <c:pt idx="673">
                  <c:v>4.8521199226379386</c:v>
                </c:pt>
                <c:pt idx="674">
                  <c:v>5.9712462425231934</c:v>
                </c:pt>
                <c:pt idx="675">
                  <c:v>6.9157900810241699</c:v>
                </c:pt>
                <c:pt idx="676">
                  <c:v>11.131894111633301</c:v>
                </c:pt>
                <c:pt idx="677">
                  <c:v>11.26315879821777</c:v>
                </c:pt>
                <c:pt idx="678">
                  <c:v>11.78999042510986</c:v>
                </c:pt>
                <c:pt idx="679">
                  <c:v>18</c:v>
                </c:pt>
                <c:pt idx="680">
                  <c:v>18.141078948974609</c:v>
                </c:pt>
                <c:pt idx="681">
                  <c:v>23.645456314086911</c:v>
                </c:pt>
                <c:pt idx="682">
                  <c:v>23.919643402099609</c:v>
                </c:pt>
                <c:pt idx="683">
                  <c:v>27.000001907348629</c:v>
                </c:pt>
                <c:pt idx="684">
                  <c:v>0</c:v>
                </c:pt>
                <c:pt idx="685">
                  <c:v>0</c:v>
                </c:pt>
                <c:pt idx="686">
                  <c:v>0.75618809461593628</c:v>
                </c:pt>
                <c:pt idx="687">
                  <c:v>1.198051929473877</c:v>
                </c:pt>
                <c:pt idx="688">
                  <c:v>3.21875</c:v>
                </c:pt>
                <c:pt idx="689">
                  <c:v>4.8509068489074707</c:v>
                </c:pt>
                <c:pt idx="690">
                  <c:v>6.9015626907348633</c:v>
                </c:pt>
                <c:pt idx="691">
                  <c:v>7.1690144538879386</c:v>
                </c:pt>
                <c:pt idx="692">
                  <c:v>10.123106002807621</c:v>
                </c:pt>
                <c:pt idx="693">
                  <c:v>13.610649108886721</c:v>
                </c:pt>
                <c:pt idx="694">
                  <c:v>14.70000076293945</c:v>
                </c:pt>
                <c:pt idx="695">
                  <c:v>18</c:v>
                </c:pt>
                <c:pt idx="696">
                  <c:v>20.056047439575199</c:v>
                </c:pt>
                <c:pt idx="697">
                  <c:v>21.658334732055661</c:v>
                </c:pt>
                <c:pt idx="698">
                  <c:v>24.4523811340332</c:v>
                </c:pt>
                <c:pt idx="699">
                  <c:v>0</c:v>
                </c:pt>
                <c:pt idx="700">
                  <c:v>0</c:v>
                </c:pt>
                <c:pt idx="701">
                  <c:v>0.85700386762619019</c:v>
                </c:pt>
                <c:pt idx="702">
                  <c:v>2.9179332256317139</c:v>
                </c:pt>
                <c:pt idx="703">
                  <c:v>4.3122658729553223</c:v>
                </c:pt>
                <c:pt idx="704">
                  <c:v>4.8598132133483887</c:v>
                </c:pt>
                <c:pt idx="705">
                  <c:v>6.5595240592956543</c:v>
                </c:pt>
                <c:pt idx="706">
                  <c:v>6.8772244453430176</c:v>
                </c:pt>
                <c:pt idx="707">
                  <c:v>9.9190473556518555</c:v>
                </c:pt>
                <c:pt idx="708">
                  <c:v>10.630434989929199</c:v>
                </c:pt>
                <c:pt idx="709">
                  <c:v>12.44177913665771</c:v>
                </c:pt>
                <c:pt idx="710">
                  <c:v>18.67839241027832</c:v>
                </c:pt>
                <c:pt idx="711">
                  <c:v>22.586540222167969</c:v>
                </c:pt>
                <c:pt idx="712">
                  <c:v>22.596939086914059</c:v>
                </c:pt>
                <c:pt idx="713">
                  <c:v>0</c:v>
                </c:pt>
                <c:pt idx="714">
                  <c:v>0</c:v>
                </c:pt>
                <c:pt idx="715">
                  <c:v>0.53113555908203125</c:v>
                </c:pt>
                <c:pt idx="716">
                  <c:v>1.9492063522338869</c:v>
                </c:pt>
                <c:pt idx="717">
                  <c:v>2.5078125</c:v>
                </c:pt>
                <c:pt idx="718">
                  <c:v>3.9130434989929199</c:v>
                </c:pt>
                <c:pt idx="719">
                  <c:v>3.9921214580535889</c:v>
                </c:pt>
                <c:pt idx="720">
                  <c:v>5.1895909309387207</c:v>
                </c:pt>
                <c:pt idx="721">
                  <c:v>7.9915966987609863</c:v>
                </c:pt>
                <c:pt idx="722">
                  <c:v>10.75198459625244</c:v>
                </c:pt>
                <c:pt idx="723">
                  <c:v>13.344827651977541</c:v>
                </c:pt>
                <c:pt idx="724">
                  <c:v>16.20000076293945</c:v>
                </c:pt>
                <c:pt idx="725">
                  <c:v>19.317073822021481</c:v>
                </c:pt>
                <c:pt idx="726">
                  <c:v>20.021429061889648</c:v>
                </c:pt>
                <c:pt idx="727">
                  <c:v>0</c:v>
                </c:pt>
                <c:pt idx="728">
                  <c:v>0</c:v>
                </c:pt>
                <c:pt idx="729">
                  <c:v>0.59905213117599487</c:v>
                </c:pt>
                <c:pt idx="730">
                  <c:v>1.775747537612915</c:v>
                </c:pt>
                <c:pt idx="731">
                  <c:v>2.70588231086731</c:v>
                </c:pt>
                <c:pt idx="732">
                  <c:v>3.7989790439605708</c:v>
                </c:pt>
                <c:pt idx="733">
                  <c:v>5.2876105308532706</c:v>
                </c:pt>
                <c:pt idx="734">
                  <c:v>6.9583334922790527</c:v>
                </c:pt>
                <c:pt idx="735">
                  <c:v>7.3809523582458496</c:v>
                </c:pt>
                <c:pt idx="736">
                  <c:v>10.94946956634521</c:v>
                </c:pt>
                <c:pt idx="737">
                  <c:v>12.235294342041019</c:v>
                </c:pt>
                <c:pt idx="738">
                  <c:v>16.764398574829102</c:v>
                </c:pt>
                <c:pt idx="739">
                  <c:v>18.79999923706055</c:v>
                </c:pt>
                <c:pt idx="740">
                  <c:v>19.523809432983398</c:v>
                </c:pt>
                <c:pt idx="741">
                  <c:v>0</c:v>
                </c:pt>
                <c:pt idx="742">
                  <c:v>0</c:v>
                </c:pt>
                <c:pt idx="743">
                  <c:v>0.60270267724990845</c:v>
                </c:pt>
                <c:pt idx="744">
                  <c:v>2.3758242130279541</c:v>
                </c:pt>
                <c:pt idx="745">
                  <c:v>3.3644859790802002</c:v>
                </c:pt>
                <c:pt idx="746">
                  <c:v>3.7091572284698491</c:v>
                </c:pt>
                <c:pt idx="747">
                  <c:v>5.8499999046325684</c:v>
                </c:pt>
                <c:pt idx="748">
                  <c:v>5.9762711524963379</c:v>
                </c:pt>
                <c:pt idx="749">
                  <c:v>7.4968252182006836</c:v>
                </c:pt>
                <c:pt idx="750">
                  <c:v>9.8449611663818359</c:v>
                </c:pt>
                <c:pt idx="751">
                  <c:v>10.75</c:v>
                </c:pt>
                <c:pt idx="752">
                  <c:v>16</c:v>
                </c:pt>
                <c:pt idx="753">
                  <c:v>16.976743698120121</c:v>
                </c:pt>
                <c:pt idx="754">
                  <c:v>19.46341514587402</c:v>
                </c:pt>
                <c:pt idx="755">
                  <c:v>20.842365264892582</c:v>
                </c:pt>
                <c:pt idx="756">
                  <c:v>0</c:v>
                </c:pt>
                <c:pt idx="757">
                  <c:v>0</c:v>
                </c:pt>
                <c:pt idx="758">
                  <c:v>0.68465429544448853</c:v>
                </c:pt>
                <c:pt idx="759">
                  <c:v>1.321880698204041</c:v>
                </c:pt>
                <c:pt idx="760">
                  <c:v>3.0708661079406738</c:v>
                </c:pt>
                <c:pt idx="761">
                  <c:v>4.5011682510375977</c:v>
                </c:pt>
                <c:pt idx="762">
                  <c:v>4.8729643821716309</c:v>
                </c:pt>
                <c:pt idx="763">
                  <c:v>5.1935482025146484</c:v>
                </c:pt>
                <c:pt idx="764">
                  <c:v>7.5390071868896484</c:v>
                </c:pt>
                <c:pt idx="765">
                  <c:v>10.555984497070311</c:v>
                </c:pt>
                <c:pt idx="766">
                  <c:v>12.34285736083984</c:v>
                </c:pt>
                <c:pt idx="767">
                  <c:v>16.421319961547852</c:v>
                </c:pt>
                <c:pt idx="768">
                  <c:v>19.27272796630859</c:v>
                </c:pt>
                <c:pt idx="769">
                  <c:v>19.419643402099609</c:v>
                </c:pt>
                <c:pt idx="770">
                  <c:v>0</c:v>
                </c:pt>
                <c:pt idx="771">
                  <c:v>0</c:v>
                </c:pt>
                <c:pt idx="772">
                  <c:v>0.70133113861083984</c:v>
                </c:pt>
                <c:pt idx="773">
                  <c:v>1.3732719421386721</c:v>
                </c:pt>
                <c:pt idx="774">
                  <c:v>2.932330846786499</c:v>
                </c:pt>
                <c:pt idx="775">
                  <c:v>3.8229203224182129</c:v>
                </c:pt>
                <c:pt idx="776">
                  <c:v>5.9125876426696777</c:v>
                </c:pt>
                <c:pt idx="777">
                  <c:v>7.8389725685119629</c:v>
                </c:pt>
                <c:pt idx="778">
                  <c:v>9.3243246078491211</c:v>
                </c:pt>
                <c:pt idx="779">
                  <c:v>10.01913642883301</c:v>
                </c:pt>
                <c:pt idx="780">
                  <c:v>12.80000019073486</c:v>
                </c:pt>
                <c:pt idx="781">
                  <c:v>16</c:v>
                </c:pt>
                <c:pt idx="782">
                  <c:v>17.827272415161129</c:v>
                </c:pt>
                <c:pt idx="783">
                  <c:v>20</c:v>
                </c:pt>
                <c:pt idx="784">
                  <c:v>20.076923370361332</c:v>
                </c:pt>
                <c:pt idx="785">
                  <c:v>0</c:v>
                </c:pt>
                <c:pt idx="786">
                  <c:v>0.77799415588378906</c:v>
                </c:pt>
                <c:pt idx="787">
                  <c:v>2.2413792610168461</c:v>
                </c:pt>
                <c:pt idx="788">
                  <c:v>2.2610230445861821</c:v>
                </c:pt>
                <c:pt idx="789">
                  <c:v>3.6054515838623051</c:v>
                </c:pt>
                <c:pt idx="790">
                  <c:v>5.785407543182373</c:v>
                </c:pt>
                <c:pt idx="791">
                  <c:v>6.6344084739685059</c:v>
                </c:pt>
                <c:pt idx="792">
                  <c:v>7.6909089088439941</c:v>
                </c:pt>
                <c:pt idx="793">
                  <c:v>9.9583330154418945</c:v>
                </c:pt>
                <c:pt idx="794">
                  <c:v>11.33233070373535</c:v>
                </c:pt>
                <c:pt idx="795">
                  <c:v>16</c:v>
                </c:pt>
                <c:pt idx="796">
                  <c:v>17.574380874633789</c:v>
                </c:pt>
                <c:pt idx="797">
                  <c:v>20.786884307861332</c:v>
                </c:pt>
                <c:pt idx="798">
                  <c:v>20.863096237182621</c:v>
                </c:pt>
                <c:pt idx="799">
                  <c:v>0</c:v>
                </c:pt>
                <c:pt idx="800">
                  <c:v>0</c:v>
                </c:pt>
                <c:pt idx="801">
                  <c:v>0.79199373722076416</c:v>
                </c:pt>
                <c:pt idx="802">
                  <c:v>2.0328185558319092</c:v>
                </c:pt>
                <c:pt idx="803">
                  <c:v>2.8297872543334961</c:v>
                </c:pt>
                <c:pt idx="804">
                  <c:v>4.0652456283569336</c:v>
                </c:pt>
                <c:pt idx="805">
                  <c:v>4.7294521331787109</c:v>
                </c:pt>
                <c:pt idx="806">
                  <c:v>7.2321839332580566</c:v>
                </c:pt>
                <c:pt idx="807">
                  <c:v>7.6184210777282706</c:v>
                </c:pt>
                <c:pt idx="808">
                  <c:v>11.37133121490479</c:v>
                </c:pt>
                <c:pt idx="809">
                  <c:v>13.939393997192379</c:v>
                </c:pt>
                <c:pt idx="810">
                  <c:v>17.15267181396484</c:v>
                </c:pt>
                <c:pt idx="811">
                  <c:v>18.876190185546879</c:v>
                </c:pt>
                <c:pt idx="812">
                  <c:v>19.261537551879879</c:v>
                </c:pt>
                <c:pt idx="813">
                  <c:v>24</c:v>
                </c:pt>
                <c:pt idx="814">
                  <c:v>0</c:v>
                </c:pt>
                <c:pt idx="815">
                  <c:v>0.54681646823883057</c:v>
                </c:pt>
                <c:pt idx="816">
                  <c:v>0.85587865114212036</c:v>
                </c:pt>
                <c:pt idx="817">
                  <c:v>2.5348837375640869</c:v>
                </c:pt>
                <c:pt idx="818">
                  <c:v>3.6342658996582031</c:v>
                </c:pt>
                <c:pt idx="819">
                  <c:v>4.5779814720153809</c:v>
                </c:pt>
                <c:pt idx="820">
                  <c:v>5.2889518737792969</c:v>
                </c:pt>
                <c:pt idx="821">
                  <c:v>7.2696390151977539</c:v>
                </c:pt>
                <c:pt idx="822">
                  <c:v>12.031129837036129</c:v>
                </c:pt>
                <c:pt idx="823">
                  <c:v>12.217391014099119</c:v>
                </c:pt>
                <c:pt idx="824">
                  <c:v>16</c:v>
                </c:pt>
                <c:pt idx="825">
                  <c:v>16.485713958740231</c:v>
                </c:pt>
                <c:pt idx="826">
                  <c:v>19.440475463867191</c:v>
                </c:pt>
                <c:pt idx="827">
                  <c:v>19.95000076293945</c:v>
                </c:pt>
                <c:pt idx="828">
                  <c:v>24</c:v>
                </c:pt>
                <c:pt idx="829">
                  <c:v>0</c:v>
                </c:pt>
                <c:pt idx="830">
                  <c:v>0</c:v>
                </c:pt>
                <c:pt idx="831">
                  <c:v>0.658599853515625</c:v>
                </c:pt>
                <c:pt idx="832">
                  <c:v>3.085403680801392</c:v>
                </c:pt>
                <c:pt idx="833">
                  <c:v>3.105263233184814</c:v>
                </c:pt>
                <c:pt idx="834">
                  <c:v>4.0581941604614258</c:v>
                </c:pt>
                <c:pt idx="835">
                  <c:v>5.2830190658569336</c:v>
                </c:pt>
                <c:pt idx="836">
                  <c:v>6.5581393241882324</c:v>
                </c:pt>
                <c:pt idx="837">
                  <c:v>6.6923074722290039</c:v>
                </c:pt>
                <c:pt idx="838">
                  <c:v>11.32352924346924</c:v>
                </c:pt>
                <c:pt idx="839">
                  <c:v>12.383645057678221</c:v>
                </c:pt>
                <c:pt idx="840">
                  <c:v>16</c:v>
                </c:pt>
                <c:pt idx="841">
                  <c:v>17.218486785888668</c:v>
                </c:pt>
                <c:pt idx="842">
                  <c:v>17.986063003540039</c:v>
                </c:pt>
                <c:pt idx="843">
                  <c:v>19.39999961853027</c:v>
                </c:pt>
                <c:pt idx="844">
                  <c:v>0</c:v>
                </c:pt>
                <c:pt idx="845">
                  <c:v>0</c:v>
                </c:pt>
                <c:pt idx="846">
                  <c:v>0.73960614204406738</c:v>
                </c:pt>
                <c:pt idx="847">
                  <c:v>1.3025209903717041</c:v>
                </c:pt>
                <c:pt idx="848">
                  <c:v>2.6357142925262451</c:v>
                </c:pt>
                <c:pt idx="849">
                  <c:v>3.7790477275848389</c:v>
                </c:pt>
                <c:pt idx="850">
                  <c:v>5.9905362129211426</c:v>
                </c:pt>
                <c:pt idx="851">
                  <c:v>6.4512591361999512</c:v>
                </c:pt>
                <c:pt idx="852">
                  <c:v>7.7272725105285636</c:v>
                </c:pt>
                <c:pt idx="853">
                  <c:v>10.969987869262701</c:v>
                </c:pt>
                <c:pt idx="854">
                  <c:v>11.60000038146973</c:v>
                </c:pt>
                <c:pt idx="855">
                  <c:v>17.443635940551761</c:v>
                </c:pt>
                <c:pt idx="856">
                  <c:v>17.94285774230957</c:v>
                </c:pt>
                <c:pt idx="857">
                  <c:v>19.183673858642582</c:v>
                </c:pt>
                <c:pt idx="858">
                  <c:v>0</c:v>
                </c:pt>
                <c:pt idx="859">
                  <c:v>0.75038522481918335</c:v>
                </c:pt>
                <c:pt idx="860">
                  <c:v>1.3319327831268311</c:v>
                </c:pt>
                <c:pt idx="861">
                  <c:v>2.3571429252624512</c:v>
                </c:pt>
                <c:pt idx="862">
                  <c:v>4.0471696853637704</c:v>
                </c:pt>
                <c:pt idx="863">
                  <c:v>4.0805745124816886</c:v>
                </c:pt>
                <c:pt idx="864">
                  <c:v>5.6835017204284668</c:v>
                </c:pt>
                <c:pt idx="865">
                  <c:v>7.2517967224121094</c:v>
                </c:pt>
                <c:pt idx="866">
                  <c:v>11.47603797912598</c:v>
                </c:pt>
                <c:pt idx="867">
                  <c:v>11.666666984558111</c:v>
                </c:pt>
                <c:pt idx="868">
                  <c:v>16</c:v>
                </c:pt>
                <c:pt idx="869">
                  <c:v>17.298892974853519</c:v>
                </c:pt>
                <c:pt idx="870">
                  <c:v>20</c:v>
                </c:pt>
                <c:pt idx="871">
                  <c:v>20.659341812133789</c:v>
                </c:pt>
                <c:pt idx="872">
                  <c:v>0</c:v>
                </c:pt>
                <c:pt idx="873">
                  <c:v>0.68755596876144409</c:v>
                </c:pt>
                <c:pt idx="874">
                  <c:v>0.69565218687057495</c:v>
                </c:pt>
                <c:pt idx="875">
                  <c:v>1.9442509412765501</c:v>
                </c:pt>
                <c:pt idx="876">
                  <c:v>2.3135592937469478</c:v>
                </c:pt>
                <c:pt idx="877">
                  <c:v>3.711241483688354</c:v>
                </c:pt>
                <c:pt idx="878">
                  <c:v>5.0920000076293954</c:v>
                </c:pt>
                <c:pt idx="879">
                  <c:v>5.9600000381469727</c:v>
                </c:pt>
                <c:pt idx="880">
                  <c:v>7.6031746864318848</c:v>
                </c:pt>
                <c:pt idx="881">
                  <c:v>11.127040863037109</c:v>
                </c:pt>
                <c:pt idx="882">
                  <c:v>14.11999988555908</c:v>
                </c:pt>
                <c:pt idx="883">
                  <c:v>16</c:v>
                </c:pt>
                <c:pt idx="884">
                  <c:v>16.703863143920898</c:v>
                </c:pt>
                <c:pt idx="885">
                  <c:v>19.32512283325195</c:v>
                </c:pt>
                <c:pt idx="886">
                  <c:v>19.436618804931641</c:v>
                </c:pt>
                <c:pt idx="887">
                  <c:v>0</c:v>
                </c:pt>
                <c:pt idx="888">
                  <c:v>0</c:v>
                </c:pt>
                <c:pt idx="889">
                  <c:v>0</c:v>
                </c:pt>
                <c:pt idx="890">
                  <c:v>0.51129704713821411</c:v>
                </c:pt>
                <c:pt idx="891">
                  <c:v>0.6366158127784729</c:v>
                </c:pt>
                <c:pt idx="892">
                  <c:v>1.894737124443054</c:v>
                </c:pt>
                <c:pt idx="893">
                  <c:v>3.008084774017334</c:v>
                </c:pt>
                <c:pt idx="894">
                  <c:v>4.7915310859680176</c:v>
                </c:pt>
                <c:pt idx="895">
                  <c:v>5.0363636016845703</c:v>
                </c:pt>
                <c:pt idx="896">
                  <c:v>5.1341462135314941</c:v>
                </c:pt>
                <c:pt idx="897">
                  <c:v>8.3624763488769531</c:v>
                </c:pt>
                <c:pt idx="898">
                  <c:v>10.958333015441889</c:v>
                </c:pt>
                <c:pt idx="899">
                  <c:v>13.828512191772459</c:v>
                </c:pt>
                <c:pt idx="900">
                  <c:v>14</c:v>
                </c:pt>
                <c:pt idx="901">
                  <c:v>16.433671951293949</c:v>
                </c:pt>
                <c:pt idx="902">
                  <c:v>16.723880767822269</c:v>
                </c:pt>
                <c:pt idx="903">
                  <c:v>0</c:v>
                </c:pt>
                <c:pt idx="904">
                  <c:v>0</c:v>
                </c:pt>
                <c:pt idx="905">
                  <c:v>0</c:v>
                </c:pt>
                <c:pt idx="906">
                  <c:v>0.49383258819580078</c:v>
                </c:pt>
                <c:pt idx="907">
                  <c:v>1.576379060745239</c:v>
                </c:pt>
                <c:pt idx="908">
                  <c:v>1.6302522420883181</c:v>
                </c:pt>
                <c:pt idx="909">
                  <c:v>2.6933848857879639</c:v>
                </c:pt>
                <c:pt idx="910">
                  <c:v>4.867088794708252</c:v>
                </c:pt>
                <c:pt idx="911">
                  <c:v>4.9166669845581046</c:v>
                </c:pt>
                <c:pt idx="912">
                  <c:v>5.4109587669372559</c:v>
                </c:pt>
                <c:pt idx="913">
                  <c:v>9.5249996185302734</c:v>
                </c:pt>
                <c:pt idx="914">
                  <c:v>9.9834527969360352</c:v>
                </c:pt>
                <c:pt idx="915">
                  <c:v>14.382857322692869</c:v>
                </c:pt>
                <c:pt idx="916">
                  <c:v>16.409090042114261</c:v>
                </c:pt>
                <c:pt idx="917">
                  <c:v>17.558332443237301</c:v>
                </c:pt>
                <c:pt idx="918">
                  <c:v>0</c:v>
                </c:pt>
                <c:pt idx="919">
                  <c:v>0</c:v>
                </c:pt>
                <c:pt idx="920">
                  <c:v>0.46167248487472529</c:v>
                </c:pt>
                <c:pt idx="921">
                  <c:v>1.377049326896667</c:v>
                </c:pt>
                <c:pt idx="922">
                  <c:v>1.5944700241088869</c:v>
                </c:pt>
                <c:pt idx="923">
                  <c:v>3.327004194259644</c:v>
                </c:pt>
                <c:pt idx="924">
                  <c:v>4.3788342475891113</c:v>
                </c:pt>
                <c:pt idx="925">
                  <c:v>5.3774833679199219</c:v>
                </c:pt>
                <c:pt idx="926">
                  <c:v>5.9358973503112793</c:v>
                </c:pt>
                <c:pt idx="927">
                  <c:v>8.8023138046264648</c:v>
                </c:pt>
                <c:pt idx="928">
                  <c:v>10.5</c:v>
                </c:pt>
                <c:pt idx="929">
                  <c:v>10.92105293273926</c:v>
                </c:pt>
                <c:pt idx="930">
                  <c:v>14</c:v>
                </c:pt>
                <c:pt idx="931">
                  <c:v>14.281954765319821</c:v>
                </c:pt>
                <c:pt idx="932">
                  <c:v>16.30769157409668</c:v>
                </c:pt>
                <c:pt idx="933">
                  <c:v>16.515625</c:v>
                </c:pt>
                <c:pt idx="934">
                  <c:v>0</c:v>
                </c:pt>
                <c:pt idx="935">
                  <c:v>0.466269850730896</c:v>
                </c:pt>
                <c:pt idx="936">
                  <c:v>1.9166668653488159</c:v>
                </c:pt>
                <c:pt idx="937">
                  <c:v>2</c:v>
                </c:pt>
                <c:pt idx="938">
                  <c:v>2.251661062240601</c:v>
                </c:pt>
                <c:pt idx="939">
                  <c:v>2.9295070171356201</c:v>
                </c:pt>
                <c:pt idx="940">
                  <c:v>4.9557929039001456</c:v>
                </c:pt>
                <c:pt idx="941">
                  <c:v>5.6160712242126456</c:v>
                </c:pt>
                <c:pt idx="942">
                  <c:v>5.6809525489807129</c:v>
                </c:pt>
                <c:pt idx="943">
                  <c:v>8.2527055740356445</c:v>
                </c:pt>
                <c:pt idx="944">
                  <c:v>10.079999923706049</c:v>
                </c:pt>
                <c:pt idx="945">
                  <c:v>14</c:v>
                </c:pt>
                <c:pt idx="946">
                  <c:v>15.12020874023438</c:v>
                </c:pt>
                <c:pt idx="947">
                  <c:v>15.35614013671875</c:v>
                </c:pt>
                <c:pt idx="948">
                  <c:v>17.266666412353519</c:v>
                </c:pt>
                <c:pt idx="949">
                  <c:v>0</c:v>
                </c:pt>
                <c:pt idx="950">
                  <c:v>0.49051383137702942</c:v>
                </c:pt>
                <c:pt idx="951">
                  <c:v>1.6615386009216311</c:v>
                </c:pt>
                <c:pt idx="952">
                  <c:v>2.2621428966522221</c:v>
                </c:pt>
                <c:pt idx="953">
                  <c:v>3.2498598098754878</c:v>
                </c:pt>
                <c:pt idx="954">
                  <c:v>4.8711538314819336</c:v>
                </c:pt>
                <c:pt idx="955">
                  <c:v>5.4745173454284668</c:v>
                </c:pt>
                <c:pt idx="956">
                  <c:v>5.5333333015441886</c:v>
                </c:pt>
                <c:pt idx="957">
                  <c:v>9.5208330154418945</c:v>
                </c:pt>
                <c:pt idx="958">
                  <c:v>9.6934137344360352</c:v>
                </c:pt>
                <c:pt idx="959">
                  <c:v>13.86462879180908</c:v>
                </c:pt>
                <c:pt idx="960">
                  <c:v>14</c:v>
                </c:pt>
                <c:pt idx="961">
                  <c:v>16.819999694824219</c:v>
                </c:pt>
                <c:pt idx="962">
                  <c:v>17.230770111083981</c:v>
                </c:pt>
                <c:pt idx="963">
                  <c:v>0</c:v>
                </c:pt>
                <c:pt idx="964">
                  <c:v>0</c:v>
                </c:pt>
                <c:pt idx="965">
                  <c:v>0</c:v>
                </c:pt>
                <c:pt idx="966">
                  <c:v>0.49518072605133062</c:v>
                </c:pt>
                <c:pt idx="967">
                  <c:v>1.591241121292114</c:v>
                </c:pt>
                <c:pt idx="968">
                  <c:v>2.763677835464478</c:v>
                </c:pt>
                <c:pt idx="969">
                  <c:v>2.774107694625854</c:v>
                </c:pt>
                <c:pt idx="970">
                  <c:v>4.5675678253173828</c:v>
                </c:pt>
                <c:pt idx="971">
                  <c:v>5.1172161102294922</c:v>
                </c:pt>
                <c:pt idx="972">
                  <c:v>5.3714284896850586</c:v>
                </c:pt>
                <c:pt idx="973">
                  <c:v>9.8663415908813477</c:v>
                </c:pt>
                <c:pt idx="974">
                  <c:v>11.111110687255859</c:v>
                </c:pt>
                <c:pt idx="975">
                  <c:v>15.5546875</c:v>
                </c:pt>
                <c:pt idx="976">
                  <c:v>17.069231033325199</c:v>
                </c:pt>
                <c:pt idx="977">
                  <c:v>17.117856979370121</c:v>
                </c:pt>
                <c:pt idx="978">
                  <c:v>0</c:v>
                </c:pt>
                <c:pt idx="979">
                  <c:v>0</c:v>
                </c:pt>
                <c:pt idx="980">
                  <c:v>0.42231222987174988</c:v>
                </c:pt>
                <c:pt idx="981">
                  <c:v>0.6904761791229248</c:v>
                </c:pt>
                <c:pt idx="982">
                  <c:v>0.82352942228317261</c:v>
                </c:pt>
                <c:pt idx="983">
                  <c:v>2.0972225666046138</c:v>
                </c:pt>
                <c:pt idx="984">
                  <c:v>3.435650110244751</c:v>
                </c:pt>
                <c:pt idx="985">
                  <c:v>5.3689761161804199</c:v>
                </c:pt>
                <c:pt idx="986">
                  <c:v>5.9545454978942871</c:v>
                </c:pt>
                <c:pt idx="987">
                  <c:v>6.3529410362243652</c:v>
                </c:pt>
                <c:pt idx="988">
                  <c:v>9.6060609817504883</c:v>
                </c:pt>
                <c:pt idx="989">
                  <c:v>9.9961071014404297</c:v>
                </c:pt>
                <c:pt idx="990">
                  <c:v>13.70643901824951</c:v>
                </c:pt>
                <c:pt idx="991">
                  <c:v>14</c:v>
                </c:pt>
                <c:pt idx="992">
                  <c:v>16.30555534362793</c:v>
                </c:pt>
                <c:pt idx="993">
                  <c:v>18.4360466003418</c:v>
                </c:pt>
                <c:pt idx="994">
                  <c:v>0</c:v>
                </c:pt>
                <c:pt idx="995">
                  <c:v>0.4698660671710968</c:v>
                </c:pt>
                <c:pt idx="996">
                  <c:v>0.47867804765701288</c:v>
                </c:pt>
                <c:pt idx="997">
                  <c:v>1.921052813529968</c:v>
                </c:pt>
                <c:pt idx="998">
                  <c:v>3.054261445999146</c:v>
                </c:pt>
                <c:pt idx="999">
                  <c:v>4.5516719818115234</c:v>
                </c:pt>
                <c:pt idx="1000">
                  <c:v>5.0970873832702637</c:v>
                </c:pt>
                <c:pt idx="1001">
                  <c:v>6.1925773620605469</c:v>
                </c:pt>
                <c:pt idx="1002">
                  <c:v>9.8114013671875</c:v>
                </c:pt>
                <c:pt idx="1003">
                  <c:v>10.18181800842285</c:v>
                </c:pt>
                <c:pt idx="1004">
                  <c:v>14</c:v>
                </c:pt>
                <c:pt idx="1005">
                  <c:v>14.08681678771973</c:v>
                </c:pt>
                <c:pt idx="1006">
                  <c:v>16.44761848449707</c:v>
                </c:pt>
                <c:pt idx="1007">
                  <c:v>17.595890045166019</c:v>
                </c:pt>
                <c:pt idx="1008">
                  <c:v>21</c:v>
                </c:pt>
                <c:pt idx="1009">
                  <c:v>0</c:v>
                </c:pt>
                <c:pt idx="1010">
                  <c:v>0</c:v>
                </c:pt>
                <c:pt idx="1011">
                  <c:v>0.4324786365032196</c:v>
                </c:pt>
                <c:pt idx="1012">
                  <c:v>0.63636362552642822</c:v>
                </c:pt>
                <c:pt idx="1013">
                  <c:v>2.0107142925262451</c:v>
                </c:pt>
                <c:pt idx="1014">
                  <c:v>2.2343752384185791</c:v>
                </c:pt>
                <c:pt idx="1015">
                  <c:v>2.8789958953857422</c:v>
                </c:pt>
                <c:pt idx="1016">
                  <c:v>5.185185432434082</c:v>
                </c:pt>
                <c:pt idx="1017">
                  <c:v>5.7164750099182129</c:v>
                </c:pt>
                <c:pt idx="1018">
                  <c:v>5.8262014389038086</c:v>
                </c:pt>
                <c:pt idx="1019">
                  <c:v>9.3333330154418945</c:v>
                </c:pt>
                <c:pt idx="1020">
                  <c:v>9.6047000885009766</c:v>
                </c:pt>
                <c:pt idx="1021">
                  <c:v>14</c:v>
                </c:pt>
                <c:pt idx="1022">
                  <c:v>14.43495941162109</c:v>
                </c:pt>
                <c:pt idx="1023">
                  <c:v>17.149660110473629</c:v>
                </c:pt>
                <c:pt idx="1024">
                  <c:v>17.54487228393555</c:v>
                </c:pt>
                <c:pt idx="1025">
                  <c:v>0</c:v>
                </c:pt>
                <c:pt idx="1026">
                  <c:v>0</c:v>
                </c:pt>
                <c:pt idx="1027">
                  <c:v>0.50393390655517578</c:v>
                </c:pt>
                <c:pt idx="1028">
                  <c:v>1.0052264928817749</c:v>
                </c:pt>
                <c:pt idx="1029">
                  <c:v>1.7460319995880129</c:v>
                </c:pt>
                <c:pt idx="1030">
                  <c:v>3.176356315612793</c:v>
                </c:pt>
                <c:pt idx="1031">
                  <c:v>4.5306124687194824</c:v>
                </c:pt>
                <c:pt idx="1032">
                  <c:v>5.188016414642334</c:v>
                </c:pt>
                <c:pt idx="1033">
                  <c:v>5.2552552223205566</c:v>
                </c:pt>
                <c:pt idx="1034">
                  <c:v>9.2209081649780273</c:v>
                </c:pt>
                <c:pt idx="1035">
                  <c:v>10.838709831237789</c:v>
                </c:pt>
                <c:pt idx="1036">
                  <c:v>14.330258369445801</c:v>
                </c:pt>
                <c:pt idx="1037">
                  <c:v>15.714284896850589</c:v>
                </c:pt>
                <c:pt idx="1038">
                  <c:v>17.223684310913089</c:v>
                </c:pt>
                <c:pt idx="1039">
                  <c:v>0</c:v>
                </c:pt>
                <c:pt idx="1040">
                  <c:v>0</c:v>
                </c:pt>
                <c:pt idx="1041">
                  <c:v>0.47034931182861328</c:v>
                </c:pt>
                <c:pt idx="1042">
                  <c:v>1.302955627441406</c:v>
                </c:pt>
                <c:pt idx="1043">
                  <c:v>1.8796994686126709</c:v>
                </c:pt>
                <c:pt idx="1044">
                  <c:v>2.927547931671143</c:v>
                </c:pt>
                <c:pt idx="1045">
                  <c:v>4.9834985733032227</c:v>
                </c:pt>
                <c:pt idx="1046">
                  <c:v>5.1856575012207031</c:v>
                </c:pt>
                <c:pt idx="1047">
                  <c:v>7.1147541999816886</c:v>
                </c:pt>
                <c:pt idx="1048">
                  <c:v>10.42592620849609</c:v>
                </c:pt>
                <c:pt idx="1049">
                  <c:v>10.881632804870611</c:v>
                </c:pt>
                <c:pt idx="1050">
                  <c:v>13.826530456542971</c:v>
                </c:pt>
                <c:pt idx="1051">
                  <c:v>14</c:v>
                </c:pt>
                <c:pt idx="1052">
                  <c:v>16.432771682739261</c:v>
                </c:pt>
                <c:pt idx="1053">
                  <c:v>18.1875</c:v>
                </c:pt>
                <c:pt idx="1054">
                  <c:v>21</c:v>
                </c:pt>
                <c:pt idx="1055">
                  <c:v>0</c:v>
                </c:pt>
                <c:pt idx="1056">
                  <c:v>0</c:v>
                </c:pt>
                <c:pt idx="1057">
                  <c:v>0</c:v>
                </c:pt>
                <c:pt idx="1058">
                  <c:v>0.46666666865348821</c:v>
                </c:pt>
                <c:pt idx="1059">
                  <c:v>1.5354713201522829</c:v>
                </c:pt>
                <c:pt idx="1060">
                  <c:v>2.3025212287902832</c:v>
                </c:pt>
                <c:pt idx="1061">
                  <c:v>3.3309731483459468</c:v>
                </c:pt>
                <c:pt idx="1062">
                  <c:v>3.936170339584351</c:v>
                </c:pt>
                <c:pt idx="1063">
                  <c:v>5.1531987190246582</c:v>
                </c:pt>
                <c:pt idx="1064">
                  <c:v>5.2319822311401367</c:v>
                </c:pt>
                <c:pt idx="1065">
                  <c:v>9.2222223281860352</c:v>
                </c:pt>
                <c:pt idx="1066">
                  <c:v>9.6304349899291992</c:v>
                </c:pt>
                <c:pt idx="1067">
                  <c:v>13.69135761260986</c:v>
                </c:pt>
                <c:pt idx="1068">
                  <c:v>14</c:v>
                </c:pt>
                <c:pt idx="1069">
                  <c:v>16.268796920776371</c:v>
                </c:pt>
                <c:pt idx="1070">
                  <c:v>17.684209823608398</c:v>
                </c:pt>
                <c:pt idx="1071">
                  <c:v>0</c:v>
                </c:pt>
                <c:pt idx="1072">
                  <c:v>0</c:v>
                </c:pt>
                <c:pt idx="1073">
                  <c:v>0.28235295414924622</c:v>
                </c:pt>
                <c:pt idx="1074">
                  <c:v>0.87500011920928955</c:v>
                </c:pt>
                <c:pt idx="1075">
                  <c:v>1.3306694030761721</c:v>
                </c:pt>
                <c:pt idx="1076">
                  <c:v>2.3468234539031978</c:v>
                </c:pt>
                <c:pt idx="1077">
                  <c:v>3.4102563858032231</c:v>
                </c:pt>
                <c:pt idx="1078">
                  <c:v>4.1161618232727051</c:v>
                </c:pt>
                <c:pt idx="1079">
                  <c:v>4.6265430450439453</c:v>
                </c:pt>
                <c:pt idx="1080">
                  <c:v>8.25</c:v>
                </c:pt>
                <c:pt idx="1081">
                  <c:v>8.5659170150756836</c:v>
                </c:pt>
                <c:pt idx="1082">
                  <c:v>12</c:v>
                </c:pt>
                <c:pt idx="1083">
                  <c:v>12.348624229431151</c:v>
                </c:pt>
                <c:pt idx="1084">
                  <c:v>13.794642448425289</c:v>
                </c:pt>
                <c:pt idx="1085">
                  <c:v>14.93617057800293</c:v>
                </c:pt>
                <c:pt idx="1086">
                  <c:v>0</c:v>
                </c:pt>
                <c:pt idx="1087">
                  <c:v>0</c:v>
                </c:pt>
                <c:pt idx="1088">
                  <c:v>0.256611168384552</c:v>
                </c:pt>
                <c:pt idx="1089">
                  <c:v>0.78350526094436646</c:v>
                </c:pt>
                <c:pt idx="1090">
                  <c:v>1.521235585212708</c:v>
                </c:pt>
                <c:pt idx="1091">
                  <c:v>2.0328941345214839</c:v>
                </c:pt>
                <c:pt idx="1092">
                  <c:v>2.8333334922790532</c:v>
                </c:pt>
                <c:pt idx="1093">
                  <c:v>3.365384578704834</c:v>
                </c:pt>
                <c:pt idx="1094">
                  <c:v>3.6529850959777832</c:v>
                </c:pt>
                <c:pt idx="1095">
                  <c:v>6.1500000953674316</c:v>
                </c:pt>
                <c:pt idx="1096">
                  <c:v>7.8679366111755371</c:v>
                </c:pt>
                <c:pt idx="1097">
                  <c:v>11.92941188812256</c:v>
                </c:pt>
                <c:pt idx="1098">
                  <c:v>12.974025726318359</c:v>
                </c:pt>
                <c:pt idx="1099">
                  <c:v>15.764705657958981</c:v>
                </c:pt>
                <c:pt idx="1100">
                  <c:v>0</c:v>
                </c:pt>
                <c:pt idx="1101">
                  <c:v>0.35244360566139221</c:v>
                </c:pt>
                <c:pt idx="1102">
                  <c:v>0.67924535274505615</c:v>
                </c:pt>
                <c:pt idx="1103">
                  <c:v>1.1329561471939089</c:v>
                </c:pt>
                <c:pt idx="1104">
                  <c:v>1.844446539878845</c:v>
                </c:pt>
                <c:pt idx="1105">
                  <c:v>3.461538553237915</c:v>
                </c:pt>
                <c:pt idx="1106">
                  <c:v>3.775510311126709</c:v>
                </c:pt>
                <c:pt idx="1107">
                  <c:v>4.4255952835083008</c:v>
                </c:pt>
                <c:pt idx="1108">
                  <c:v>7.7795920372009277</c:v>
                </c:pt>
                <c:pt idx="1109">
                  <c:v>8.1333332061767578</c:v>
                </c:pt>
                <c:pt idx="1110">
                  <c:v>10.57894706726074</c:v>
                </c:pt>
                <c:pt idx="1111">
                  <c:v>12</c:v>
                </c:pt>
                <c:pt idx="1112">
                  <c:v>12.3303165435791</c:v>
                </c:pt>
                <c:pt idx="1113">
                  <c:v>14.069766998291019</c:v>
                </c:pt>
                <c:pt idx="1114">
                  <c:v>0</c:v>
                </c:pt>
                <c:pt idx="1115">
                  <c:v>0.24103300273418429</c:v>
                </c:pt>
                <c:pt idx="1116">
                  <c:v>0.88235306739807129</c:v>
                </c:pt>
                <c:pt idx="1117">
                  <c:v>2.1975336074829102</c:v>
                </c:pt>
                <c:pt idx="1118">
                  <c:v>2.3339071273803711</c:v>
                </c:pt>
                <c:pt idx="1119">
                  <c:v>3.9271845817565918</c:v>
                </c:pt>
                <c:pt idx="1120">
                  <c:v>4.8113207817077637</c:v>
                </c:pt>
                <c:pt idx="1121">
                  <c:v>6.5555553436279297</c:v>
                </c:pt>
                <c:pt idx="1122">
                  <c:v>6.773566722869873</c:v>
                </c:pt>
                <c:pt idx="1123">
                  <c:v>8</c:v>
                </c:pt>
                <c:pt idx="1124">
                  <c:v>12</c:v>
                </c:pt>
                <c:pt idx="1125">
                  <c:v>12.821192741394039</c:v>
                </c:pt>
                <c:pt idx="1126">
                  <c:v>13.607142448425289</c:v>
                </c:pt>
                <c:pt idx="1127">
                  <c:v>14.47826099395752</c:v>
                </c:pt>
                <c:pt idx="1128">
                  <c:v>18</c:v>
                </c:pt>
                <c:pt idx="1129">
                  <c:v>0</c:v>
                </c:pt>
                <c:pt idx="1130">
                  <c:v>0.20895522832870481</c:v>
                </c:pt>
                <c:pt idx="1131">
                  <c:v>0.78095245361328125</c:v>
                </c:pt>
                <c:pt idx="1132">
                  <c:v>1.8549139499664311</c:v>
                </c:pt>
                <c:pt idx="1133">
                  <c:v>2.155102014541626</c:v>
                </c:pt>
                <c:pt idx="1134">
                  <c:v>3.1899058818817139</c:v>
                </c:pt>
                <c:pt idx="1135">
                  <c:v>3.9934639930725102</c:v>
                </c:pt>
                <c:pt idx="1136">
                  <c:v>5.375</c:v>
                </c:pt>
                <c:pt idx="1137">
                  <c:v>7.3636364936828613</c:v>
                </c:pt>
                <c:pt idx="1138">
                  <c:v>7.9968075752258301</c:v>
                </c:pt>
                <c:pt idx="1139">
                  <c:v>10.714284896850589</c:v>
                </c:pt>
                <c:pt idx="1140">
                  <c:v>11.215384483337401</c:v>
                </c:pt>
                <c:pt idx="1141">
                  <c:v>14.0625</c:v>
                </c:pt>
                <c:pt idx="1142">
                  <c:v>18</c:v>
                </c:pt>
                <c:pt idx="1143">
                  <c:v>0</c:v>
                </c:pt>
                <c:pt idx="1144">
                  <c:v>0.19694867730140689</c:v>
                </c:pt>
                <c:pt idx="1145">
                  <c:v>1.253968358039856</c:v>
                </c:pt>
                <c:pt idx="1146">
                  <c:v>2.0006566047668461</c:v>
                </c:pt>
                <c:pt idx="1147">
                  <c:v>2.6048238277435298</c:v>
                </c:pt>
                <c:pt idx="1148">
                  <c:v>3.4625000953674321</c:v>
                </c:pt>
                <c:pt idx="1149">
                  <c:v>3.5657894611358638</c:v>
                </c:pt>
                <c:pt idx="1150">
                  <c:v>4.25</c:v>
                </c:pt>
                <c:pt idx="1151">
                  <c:v>7.6126208305358887</c:v>
                </c:pt>
                <c:pt idx="1152">
                  <c:v>8.357142448425293</c:v>
                </c:pt>
                <c:pt idx="1153">
                  <c:v>11.789999961853029</c:v>
                </c:pt>
                <c:pt idx="1154">
                  <c:v>12</c:v>
                </c:pt>
                <c:pt idx="1155">
                  <c:v>12.142856597900391</c:v>
                </c:pt>
                <c:pt idx="1156">
                  <c:v>13.5</c:v>
                </c:pt>
                <c:pt idx="1157">
                  <c:v>17</c:v>
                </c:pt>
                <c:pt idx="1158">
                  <c:v>0</c:v>
                </c:pt>
                <c:pt idx="1159">
                  <c:v>0</c:v>
                </c:pt>
                <c:pt idx="1160">
                  <c:v>0.25939393043518072</c:v>
                </c:pt>
                <c:pt idx="1161">
                  <c:v>0.95121961832046509</c:v>
                </c:pt>
                <c:pt idx="1162">
                  <c:v>1.3919414281845091</c:v>
                </c:pt>
                <c:pt idx="1163">
                  <c:v>1.691331028938293</c:v>
                </c:pt>
                <c:pt idx="1164">
                  <c:v>3.6417694091796879</c:v>
                </c:pt>
                <c:pt idx="1165">
                  <c:v>4.2416105270385742</c:v>
                </c:pt>
                <c:pt idx="1166">
                  <c:v>4.7777776718139648</c:v>
                </c:pt>
                <c:pt idx="1167">
                  <c:v>7.2873659133911133</c:v>
                </c:pt>
                <c:pt idx="1168">
                  <c:v>9.25</c:v>
                </c:pt>
                <c:pt idx="1169">
                  <c:v>11.370967864990231</c:v>
                </c:pt>
                <c:pt idx="1170">
                  <c:v>12</c:v>
                </c:pt>
                <c:pt idx="1171">
                  <c:v>13.736842155456539</c:v>
                </c:pt>
                <c:pt idx="1172">
                  <c:v>13.836733818054199</c:v>
                </c:pt>
                <c:pt idx="1173">
                  <c:v>17.10000038146973</c:v>
                </c:pt>
                <c:pt idx="1174">
                  <c:v>0</c:v>
                </c:pt>
                <c:pt idx="1175">
                  <c:v>0</c:v>
                </c:pt>
                <c:pt idx="1176">
                  <c:v>0.3733183741569519</c:v>
                </c:pt>
                <c:pt idx="1177">
                  <c:v>0.78632485866546631</c:v>
                </c:pt>
                <c:pt idx="1178">
                  <c:v>0.97899162769317627</c:v>
                </c:pt>
                <c:pt idx="1179">
                  <c:v>1.875483632087708</c:v>
                </c:pt>
                <c:pt idx="1180">
                  <c:v>4.0618557929992676</c:v>
                </c:pt>
                <c:pt idx="1181">
                  <c:v>4.923497200012207</c:v>
                </c:pt>
                <c:pt idx="1182">
                  <c:v>5.8571429252624512</c:v>
                </c:pt>
                <c:pt idx="1183">
                  <c:v>8.0909099578857422</c:v>
                </c:pt>
                <c:pt idx="1184">
                  <c:v>9.0648012161254883</c:v>
                </c:pt>
                <c:pt idx="1185">
                  <c:v>12.7621955871582</c:v>
                </c:pt>
                <c:pt idx="1186">
                  <c:v>13.3636360168457</c:v>
                </c:pt>
                <c:pt idx="1187">
                  <c:v>14.888889312744141</c:v>
                </c:pt>
                <c:pt idx="1188">
                  <c:v>16.909091949462891</c:v>
                </c:pt>
                <c:pt idx="1189">
                  <c:v>0</c:v>
                </c:pt>
                <c:pt idx="1190">
                  <c:v>0</c:v>
                </c:pt>
                <c:pt idx="1191">
                  <c:v>0.3055555522441864</c:v>
                </c:pt>
                <c:pt idx="1192">
                  <c:v>0.92792803049087524</c:v>
                </c:pt>
                <c:pt idx="1193">
                  <c:v>1.4793956279754641</c:v>
                </c:pt>
                <c:pt idx="1194">
                  <c:v>1.9959123134613039</c:v>
                </c:pt>
                <c:pt idx="1195">
                  <c:v>3.558139562606812</c:v>
                </c:pt>
                <c:pt idx="1196">
                  <c:v>3.9082095623016362</c:v>
                </c:pt>
                <c:pt idx="1197">
                  <c:v>4.5829381942749023</c:v>
                </c:pt>
                <c:pt idx="1198">
                  <c:v>7.0625</c:v>
                </c:pt>
                <c:pt idx="1199">
                  <c:v>8.3242959976196289</c:v>
                </c:pt>
                <c:pt idx="1200">
                  <c:v>13.15493011474609</c:v>
                </c:pt>
                <c:pt idx="1201">
                  <c:v>13.75</c:v>
                </c:pt>
                <c:pt idx="1202">
                  <c:v>14.282608985900881</c:v>
                </c:pt>
                <c:pt idx="1203">
                  <c:v>17.25</c:v>
                </c:pt>
                <c:pt idx="1204">
                  <c:v>0</c:v>
                </c:pt>
                <c:pt idx="1205">
                  <c:v>0</c:v>
                </c:pt>
                <c:pt idx="1206">
                  <c:v>0</c:v>
                </c:pt>
                <c:pt idx="1207">
                  <c:v>0.32681018114089971</c:v>
                </c:pt>
                <c:pt idx="1208">
                  <c:v>0.90598303079605103</c:v>
                </c:pt>
                <c:pt idx="1209">
                  <c:v>1.020866751670837</c:v>
                </c:pt>
                <c:pt idx="1210">
                  <c:v>1.988980293273926</c:v>
                </c:pt>
                <c:pt idx="1211">
                  <c:v>3.594936847686768</c:v>
                </c:pt>
                <c:pt idx="1212">
                  <c:v>3.7857143878936772</c:v>
                </c:pt>
                <c:pt idx="1213">
                  <c:v>4.5469799041748047</c:v>
                </c:pt>
                <c:pt idx="1214">
                  <c:v>8.031682014465332</c:v>
                </c:pt>
                <c:pt idx="1215">
                  <c:v>9.7857141494750977</c:v>
                </c:pt>
                <c:pt idx="1216">
                  <c:v>12.11340236663818</c:v>
                </c:pt>
                <c:pt idx="1217">
                  <c:v>13.261904716491699</c:v>
                </c:pt>
                <c:pt idx="1218">
                  <c:v>14.69491481781006</c:v>
                </c:pt>
                <c:pt idx="1219">
                  <c:v>0</c:v>
                </c:pt>
                <c:pt idx="1220">
                  <c:v>0.4558010995388031</c:v>
                </c:pt>
                <c:pt idx="1221">
                  <c:v>0.67962807416915894</c:v>
                </c:pt>
                <c:pt idx="1222">
                  <c:v>0.82758623361587524</c:v>
                </c:pt>
                <c:pt idx="1223">
                  <c:v>0.86885255575180054</c:v>
                </c:pt>
                <c:pt idx="1224">
                  <c:v>2.0353293418884282</c:v>
                </c:pt>
                <c:pt idx="1225">
                  <c:v>3</c:v>
                </c:pt>
                <c:pt idx="1226">
                  <c:v>3.1162314414978032</c:v>
                </c:pt>
                <c:pt idx="1227">
                  <c:v>4.2051281929016113</c:v>
                </c:pt>
                <c:pt idx="1228">
                  <c:v>4.9870128631591797</c:v>
                </c:pt>
                <c:pt idx="1229">
                  <c:v>7.8775510787963867</c:v>
                </c:pt>
                <c:pt idx="1230">
                  <c:v>7.9130434989929199</c:v>
                </c:pt>
                <c:pt idx="1231">
                  <c:v>12</c:v>
                </c:pt>
                <c:pt idx="1232">
                  <c:v>12.6904764175415</c:v>
                </c:pt>
                <c:pt idx="1233">
                  <c:v>14.52747249603271</c:v>
                </c:pt>
                <c:pt idx="1234">
                  <c:v>14.672727584838871</c:v>
                </c:pt>
                <c:pt idx="1235">
                  <c:v>0</c:v>
                </c:pt>
                <c:pt idx="1236">
                  <c:v>0</c:v>
                </c:pt>
                <c:pt idx="1237">
                  <c:v>0.3192923367023468</c:v>
                </c:pt>
                <c:pt idx="1238">
                  <c:v>0.88805979490280151</c:v>
                </c:pt>
                <c:pt idx="1239">
                  <c:v>1.383878707885742</c:v>
                </c:pt>
                <c:pt idx="1240">
                  <c:v>2.1749391555786128</c:v>
                </c:pt>
                <c:pt idx="1241">
                  <c:v>3.363920927047729</c:v>
                </c:pt>
                <c:pt idx="1242">
                  <c:v>5.13671875</c:v>
                </c:pt>
                <c:pt idx="1243">
                  <c:v>5.3888888359069824</c:v>
                </c:pt>
                <c:pt idx="1244">
                  <c:v>7.3684210777282706</c:v>
                </c:pt>
                <c:pt idx="1245">
                  <c:v>9.0479831695556641</c:v>
                </c:pt>
                <c:pt idx="1246">
                  <c:v>11.98617553710938</c:v>
                </c:pt>
                <c:pt idx="1247">
                  <c:v>12</c:v>
                </c:pt>
                <c:pt idx="1248">
                  <c:v>15</c:v>
                </c:pt>
                <c:pt idx="1249">
                  <c:v>15.17972373962402</c:v>
                </c:pt>
                <c:pt idx="1250">
                  <c:v>18</c:v>
                </c:pt>
                <c:pt idx="1251">
                  <c:v>0</c:v>
                </c:pt>
                <c:pt idx="1252">
                  <c:v>0</c:v>
                </c:pt>
                <c:pt idx="1253">
                  <c:v>0.15939599275588989</c:v>
                </c:pt>
                <c:pt idx="1254">
                  <c:v>0.46536800265312189</c:v>
                </c:pt>
                <c:pt idx="1255">
                  <c:v>1.144569039344788</c:v>
                </c:pt>
                <c:pt idx="1256">
                  <c:v>2.2521553039550781</c:v>
                </c:pt>
                <c:pt idx="1257">
                  <c:v>2.9166667461395259</c:v>
                </c:pt>
                <c:pt idx="1258">
                  <c:v>4.514134407043457</c:v>
                </c:pt>
                <c:pt idx="1259">
                  <c:v>6.0000004768371582</c:v>
                </c:pt>
                <c:pt idx="1260">
                  <c:v>6.275510311126709</c:v>
                </c:pt>
                <c:pt idx="1261">
                  <c:v>6.3360328674316406</c:v>
                </c:pt>
                <c:pt idx="1262">
                  <c:v>9.873417854309082</c:v>
                </c:pt>
                <c:pt idx="1263">
                  <c:v>12.21774291992188</c:v>
                </c:pt>
                <c:pt idx="1264">
                  <c:v>0</c:v>
                </c:pt>
                <c:pt idx="1265">
                  <c:v>0</c:v>
                </c:pt>
                <c:pt idx="1266">
                  <c:v>0</c:v>
                </c:pt>
                <c:pt idx="1267">
                  <c:v>0</c:v>
                </c:pt>
                <c:pt idx="1268">
                  <c:v>0.1787087023258209</c:v>
                </c:pt>
                <c:pt idx="1269">
                  <c:v>1.374876976013184</c:v>
                </c:pt>
                <c:pt idx="1270">
                  <c:v>1.779279351234436</c:v>
                </c:pt>
                <c:pt idx="1271">
                  <c:v>1.9978246688842769</c:v>
                </c:pt>
                <c:pt idx="1272">
                  <c:v>3.7980771064758301</c:v>
                </c:pt>
                <c:pt idx="1273">
                  <c:v>4.3333334922790527</c:v>
                </c:pt>
                <c:pt idx="1274">
                  <c:v>6.1282129287719727</c:v>
                </c:pt>
                <c:pt idx="1275">
                  <c:v>6.590909481048584</c:v>
                </c:pt>
                <c:pt idx="1276">
                  <c:v>9.4727888107299805</c:v>
                </c:pt>
                <c:pt idx="1277">
                  <c:v>9.7352943420410156</c:v>
                </c:pt>
                <c:pt idx="1278">
                  <c:v>10.00000095367432</c:v>
                </c:pt>
                <c:pt idx="1279">
                  <c:v>12.53472328186035</c:v>
                </c:pt>
                <c:pt idx="1280">
                  <c:v>0</c:v>
                </c:pt>
                <c:pt idx="1281">
                  <c:v>0</c:v>
                </c:pt>
                <c:pt idx="1282">
                  <c:v>0</c:v>
                </c:pt>
                <c:pt idx="1283">
                  <c:v>0.19712141156196589</c:v>
                </c:pt>
                <c:pt idx="1284">
                  <c:v>1.0983520746231079</c:v>
                </c:pt>
                <c:pt idx="1285">
                  <c:v>1.2005494832992549</c:v>
                </c:pt>
                <c:pt idx="1286">
                  <c:v>1.6621402502059941</c:v>
                </c:pt>
                <c:pt idx="1287">
                  <c:v>4.0129451751708984</c:v>
                </c:pt>
                <c:pt idx="1288">
                  <c:v>4.2857146263122559</c:v>
                </c:pt>
                <c:pt idx="1289">
                  <c:v>5.2586207389831543</c:v>
                </c:pt>
                <c:pt idx="1290">
                  <c:v>5.8049044609069824</c:v>
                </c:pt>
                <c:pt idx="1291">
                  <c:v>7.5000004768371582</c:v>
                </c:pt>
                <c:pt idx="1292">
                  <c:v>9.4000005722045898</c:v>
                </c:pt>
                <c:pt idx="1293">
                  <c:v>10.00000095367432</c:v>
                </c:pt>
                <c:pt idx="1294">
                  <c:v>10.020492553710939</c:v>
                </c:pt>
                <c:pt idx="1295">
                  <c:v>12.278481483459471</c:v>
                </c:pt>
                <c:pt idx="1296">
                  <c:v>0</c:v>
                </c:pt>
                <c:pt idx="1297">
                  <c:v>0</c:v>
                </c:pt>
                <c:pt idx="1298">
                  <c:v>0</c:v>
                </c:pt>
                <c:pt idx="1299">
                  <c:v>0.12853005528450009</c:v>
                </c:pt>
                <c:pt idx="1300">
                  <c:v>0.81168836355209351</c:v>
                </c:pt>
                <c:pt idx="1301">
                  <c:v>1.2729624509811399</c:v>
                </c:pt>
                <c:pt idx="1302">
                  <c:v>1.571101069450378</c:v>
                </c:pt>
                <c:pt idx="1303">
                  <c:v>3.6407768726348881</c:v>
                </c:pt>
                <c:pt idx="1304">
                  <c:v>4.7058825492858887</c:v>
                </c:pt>
                <c:pt idx="1305">
                  <c:v>6.3159160614013672</c:v>
                </c:pt>
                <c:pt idx="1306">
                  <c:v>7.3913044929504386</c:v>
                </c:pt>
                <c:pt idx="1307">
                  <c:v>9.6487607955932617</c:v>
                </c:pt>
                <c:pt idx="1308">
                  <c:v>10.94897937774658</c:v>
                </c:pt>
                <c:pt idx="1309">
                  <c:v>11.83139610290527</c:v>
                </c:pt>
                <c:pt idx="1310">
                  <c:v>15.00000095367432</c:v>
                </c:pt>
                <c:pt idx="1311">
                  <c:v>0</c:v>
                </c:pt>
                <c:pt idx="1312">
                  <c:v>0</c:v>
                </c:pt>
                <c:pt idx="1313">
                  <c:v>0.15344828367233279</c:v>
                </c:pt>
                <c:pt idx="1314">
                  <c:v>0.72122055292129517</c:v>
                </c:pt>
                <c:pt idx="1315">
                  <c:v>1.376196622848511</c:v>
                </c:pt>
                <c:pt idx="1316">
                  <c:v>1.640161871910095</c:v>
                </c:pt>
                <c:pt idx="1317">
                  <c:v>2.6666667461395259</c:v>
                </c:pt>
                <c:pt idx="1318">
                  <c:v>3.2989692687988281</c:v>
                </c:pt>
                <c:pt idx="1319">
                  <c:v>6.5199337005615234</c:v>
                </c:pt>
                <c:pt idx="1320">
                  <c:v>6.8421053886413574</c:v>
                </c:pt>
                <c:pt idx="1321">
                  <c:v>7.5000004768371582</c:v>
                </c:pt>
                <c:pt idx="1322">
                  <c:v>9.1792936325073242</c:v>
                </c:pt>
                <c:pt idx="1323">
                  <c:v>10.00000095367432</c:v>
                </c:pt>
                <c:pt idx="1324">
                  <c:v>10.206767082214361</c:v>
                </c:pt>
                <c:pt idx="1325">
                  <c:v>12.00000095367432</c:v>
                </c:pt>
                <c:pt idx="1326">
                  <c:v>0</c:v>
                </c:pt>
                <c:pt idx="1327">
                  <c:v>0</c:v>
                </c:pt>
                <c:pt idx="1328">
                  <c:v>0.17834191024303439</c:v>
                </c:pt>
                <c:pt idx="1329">
                  <c:v>0.25641027092933649</c:v>
                </c:pt>
                <c:pt idx="1330">
                  <c:v>0.42207795381546021</c:v>
                </c:pt>
                <c:pt idx="1331">
                  <c:v>1.318162798881531</c:v>
                </c:pt>
                <c:pt idx="1332">
                  <c:v>2.0591316223144531</c:v>
                </c:pt>
                <c:pt idx="1333">
                  <c:v>3.9033744335174561</c:v>
                </c:pt>
                <c:pt idx="1334">
                  <c:v>4.0540542602539063</c:v>
                </c:pt>
                <c:pt idx="1335">
                  <c:v>6.2018823623657227</c:v>
                </c:pt>
                <c:pt idx="1336">
                  <c:v>6.875</c:v>
                </c:pt>
                <c:pt idx="1337">
                  <c:v>10.00000095367432</c:v>
                </c:pt>
                <c:pt idx="1338">
                  <c:v>10.32527923583984</c:v>
                </c:pt>
                <c:pt idx="1339">
                  <c:v>10.484694480896</c:v>
                </c:pt>
                <c:pt idx="1340">
                  <c:v>12.14743709564209</c:v>
                </c:pt>
                <c:pt idx="1341">
                  <c:v>15.00000095367432</c:v>
                </c:pt>
                <c:pt idx="1342">
                  <c:v>0</c:v>
                </c:pt>
                <c:pt idx="1343">
                  <c:v>0</c:v>
                </c:pt>
                <c:pt idx="1344">
                  <c:v>0</c:v>
                </c:pt>
                <c:pt idx="1345">
                  <c:v>0.178810179233551</c:v>
                </c:pt>
                <c:pt idx="1346">
                  <c:v>0.68851256370544434</c:v>
                </c:pt>
                <c:pt idx="1347">
                  <c:v>1.3250200748443599</c:v>
                </c:pt>
                <c:pt idx="1348">
                  <c:v>2.5314664840698242</c:v>
                </c:pt>
                <c:pt idx="1349">
                  <c:v>4.1000003814697266</c:v>
                </c:pt>
                <c:pt idx="1350">
                  <c:v>5.2325582504272461</c:v>
                </c:pt>
                <c:pt idx="1351">
                  <c:v>6.736142635345459</c:v>
                </c:pt>
                <c:pt idx="1352">
                  <c:v>6.7857146263122559</c:v>
                </c:pt>
                <c:pt idx="1353">
                  <c:v>7.6360540390014648</c:v>
                </c:pt>
                <c:pt idx="1354">
                  <c:v>10.320796966552731</c:v>
                </c:pt>
                <c:pt idx="1355">
                  <c:v>12.91096019744873</c:v>
                </c:pt>
                <c:pt idx="1356">
                  <c:v>0</c:v>
                </c:pt>
                <c:pt idx="1357">
                  <c:v>0</c:v>
                </c:pt>
                <c:pt idx="1358">
                  <c:v>0</c:v>
                </c:pt>
                <c:pt idx="1359">
                  <c:v>0</c:v>
                </c:pt>
                <c:pt idx="1360">
                  <c:v>0.1885606646537781</c:v>
                </c:pt>
                <c:pt idx="1361">
                  <c:v>1.1265954971313481</c:v>
                </c:pt>
                <c:pt idx="1362">
                  <c:v>1.349557638168335</c:v>
                </c:pt>
                <c:pt idx="1363">
                  <c:v>1.91475510597229</c:v>
                </c:pt>
                <c:pt idx="1364">
                  <c:v>2.5000002384185791</c:v>
                </c:pt>
                <c:pt idx="1365">
                  <c:v>3.9529917240142818</c:v>
                </c:pt>
                <c:pt idx="1366">
                  <c:v>6.5000004768371582</c:v>
                </c:pt>
                <c:pt idx="1367">
                  <c:v>6.5243120193481454</c:v>
                </c:pt>
                <c:pt idx="1368">
                  <c:v>10.00000095367432</c:v>
                </c:pt>
                <c:pt idx="1369">
                  <c:v>10.277778625488279</c:v>
                </c:pt>
                <c:pt idx="1370">
                  <c:v>10.357143402099609</c:v>
                </c:pt>
                <c:pt idx="1371">
                  <c:v>12.552632331848139</c:v>
                </c:pt>
                <c:pt idx="1372">
                  <c:v>0</c:v>
                </c:pt>
                <c:pt idx="1373">
                  <c:v>0</c:v>
                </c:pt>
                <c:pt idx="1374">
                  <c:v>0</c:v>
                </c:pt>
                <c:pt idx="1375">
                  <c:v>0</c:v>
                </c:pt>
                <c:pt idx="1376">
                  <c:v>0.16611297428607941</c:v>
                </c:pt>
                <c:pt idx="1377">
                  <c:v>1.110747098922729</c:v>
                </c:pt>
                <c:pt idx="1378">
                  <c:v>1.5463298559188841</c:v>
                </c:pt>
                <c:pt idx="1379">
                  <c:v>2.2654585838317871</c:v>
                </c:pt>
                <c:pt idx="1380">
                  <c:v>2.6315791606903081</c:v>
                </c:pt>
                <c:pt idx="1381">
                  <c:v>4.1838240623474121</c:v>
                </c:pt>
                <c:pt idx="1382">
                  <c:v>6.6123571395874023</c:v>
                </c:pt>
                <c:pt idx="1383">
                  <c:v>6.9000005722045898</c:v>
                </c:pt>
                <c:pt idx="1384">
                  <c:v>9.3367347717285156</c:v>
                </c:pt>
                <c:pt idx="1385">
                  <c:v>10.00000095367432</c:v>
                </c:pt>
                <c:pt idx="1386">
                  <c:v>10.13671970367432</c:v>
                </c:pt>
                <c:pt idx="1387">
                  <c:v>11.47590446472168</c:v>
                </c:pt>
                <c:pt idx="1388">
                  <c:v>0</c:v>
                </c:pt>
                <c:pt idx="1389">
                  <c:v>0</c:v>
                </c:pt>
                <c:pt idx="1390">
                  <c:v>0</c:v>
                </c:pt>
                <c:pt idx="1391">
                  <c:v>0.15725290775299069</c:v>
                </c:pt>
                <c:pt idx="1392">
                  <c:v>0.46785718202590942</c:v>
                </c:pt>
                <c:pt idx="1393">
                  <c:v>1.353226780891418</c:v>
                </c:pt>
                <c:pt idx="1394">
                  <c:v>1.808673620223999</c:v>
                </c:pt>
                <c:pt idx="1395">
                  <c:v>2.4545454978942871</c:v>
                </c:pt>
                <c:pt idx="1396">
                  <c:v>4.4211196899414063</c:v>
                </c:pt>
                <c:pt idx="1397">
                  <c:v>6.5000004768371582</c:v>
                </c:pt>
                <c:pt idx="1398">
                  <c:v>7.2312817573547363</c:v>
                </c:pt>
                <c:pt idx="1399">
                  <c:v>10.494071960449221</c:v>
                </c:pt>
                <c:pt idx="1400">
                  <c:v>10.60104560852051</c:v>
                </c:pt>
                <c:pt idx="1401">
                  <c:v>12.36413097381592</c:v>
                </c:pt>
                <c:pt idx="1402">
                  <c:v>13.75</c:v>
                </c:pt>
                <c:pt idx="1403">
                  <c:v>0</c:v>
                </c:pt>
                <c:pt idx="1404">
                  <c:v>0</c:v>
                </c:pt>
                <c:pt idx="1405">
                  <c:v>0</c:v>
                </c:pt>
                <c:pt idx="1406">
                  <c:v>0.1848652511835098</c:v>
                </c:pt>
                <c:pt idx="1407">
                  <c:v>0.67511522769927979</c:v>
                </c:pt>
                <c:pt idx="1408">
                  <c:v>1.4509686231613159</c:v>
                </c:pt>
                <c:pt idx="1409">
                  <c:v>2.0778107643127441</c:v>
                </c:pt>
                <c:pt idx="1410">
                  <c:v>2.8260872364044189</c:v>
                </c:pt>
                <c:pt idx="1411">
                  <c:v>4.4466147422790527</c:v>
                </c:pt>
                <c:pt idx="1412">
                  <c:v>6.3012733459472656</c:v>
                </c:pt>
                <c:pt idx="1413">
                  <c:v>6.517857551574707</c:v>
                </c:pt>
                <c:pt idx="1414">
                  <c:v>10.00000095367432</c:v>
                </c:pt>
                <c:pt idx="1415">
                  <c:v>10.210000991821291</c:v>
                </c:pt>
                <c:pt idx="1416">
                  <c:v>10.703463554382321</c:v>
                </c:pt>
                <c:pt idx="1417">
                  <c:v>11.919193267822269</c:v>
                </c:pt>
                <c:pt idx="1418">
                  <c:v>0</c:v>
                </c:pt>
                <c:pt idx="1419">
                  <c:v>0</c:v>
                </c:pt>
                <c:pt idx="1420">
                  <c:v>0.17931756377220151</c:v>
                </c:pt>
                <c:pt idx="1421">
                  <c:v>0.29411768913269037</c:v>
                </c:pt>
                <c:pt idx="1422">
                  <c:v>0.56722694635391235</c:v>
                </c:pt>
                <c:pt idx="1423">
                  <c:v>1.2029141187667849</c:v>
                </c:pt>
                <c:pt idx="1424">
                  <c:v>2.3792209625244141</c:v>
                </c:pt>
                <c:pt idx="1425">
                  <c:v>4.0760869979858398</c:v>
                </c:pt>
                <c:pt idx="1426">
                  <c:v>4.8507466316223136</c:v>
                </c:pt>
                <c:pt idx="1427">
                  <c:v>6.2563161849975586</c:v>
                </c:pt>
                <c:pt idx="1428">
                  <c:v>8.3870973587036133</c:v>
                </c:pt>
                <c:pt idx="1429">
                  <c:v>8.9285717010498047</c:v>
                </c:pt>
                <c:pt idx="1430">
                  <c:v>10.13485527038574</c:v>
                </c:pt>
                <c:pt idx="1431">
                  <c:v>12.83505249023438</c:v>
                </c:pt>
                <c:pt idx="1432">
                  <c:v>14.166666984558111</c:v>
                </c:pt>
                <c:pt idx="1433">
                  <c:v>0</c:v>
                </c:pt>
                <c:pt idx="1434">
                  <c:v>0</c:v>
                </c:pt>
                <c:pt idx="1435">
                  <c:v>8.1896558403968811E-2</c:v>
                </c:pt>
                <c:pt idx="1436">
                  <c:v>0.3684210479259491</c:v>
                </c:pt>
                <c:pt idx="1437">
                  <c:v>0.38178417086601257</c:v>
                </c:pt>
                <c:pt idx="1438">
                  <c:v>1.0210084915161131</c:v>
                </c:pt>
                <c:pt idx="1439">
                  <c:v>2.076923131942749</c:v>
                </c:pt>
                <c:pt idx="1440">
                  <c:v>2.413680791854858</c:v>
                </c:pt>
                <c:pt idx="1441">
                  <c:v>3.3571429252624512</c:v>
                </c:pt>
                <c:pt idx="1442">
                  <c:v>3.689189195632935</c:v>
                </c:pt>
                <c:pt idx="1443">
                  <c:v>3.7758619785308838</c:v>
                </c:pt>
                <c:pt idx="1444">
                  <c:v>5.9602274894714364</c:v>
                </c:pt>
                <c:pt idx="1445">
                  <c:v>6.9193549156188956</c:v>
                </c:pt>
                <c:pt idx="1446">
                  <c:v>0</c:v>
                </c:pt>
                <c:pt idx="1447">
                  <c:v>0</c:v>
                </c:pt>
                <c:pt idx="1448">
                  <c:v>0</c:v>
                </c:pt>
                <c:pt idx="1449">
                  <c:v>9.6250005066394806E-2</c:v>
                </c:pt>
                <c:pt idx="1450">
                  <c:v>0.31297421455383301</c:v>
                </c:pt>
                <c:pt idx="1451">
                  <c:v>0.56896555423736572</c:v>
                </c:pt>
                <c:pt idx="1452">
                  <c:v>1.031674265861511</c:v>
                </c:pt>
                <c:pt idx="1453">
                  <c:v>1.9636363983154299</c:v>
                </c:pt>
                <c:pt idx="1454">
                  <c:v>2.502100944519043</c:v>
                </c:pt>
                <c:pt idx="1455">
                  <c:v>3</c:v>
                </c:pt>
                <c:pt idx="1456">
                  <c:v>3.4004523754119869</c:v>
                </c:pt>
                <c:pt idx="1457">
                  <c:v>4.03125</c:v>
                </c:pt>
                <c:pt idx="1458">
                  <c:v>5.6170215606689453</c:v>
                </c:pt>
                <c:pt idx="1459">
                  <c:v>7.6438355445861816</c:v>
                </c:pt>
                <c:pt idx="1460">
                  <c:v>0</c:v>
                </c:pt>
                <c:pt idx="1461">
                  <c:v>0</c:v>
                </c:pt>
                <c:pt idx="1462">
                  <c:v>0</c:v>
                </c:pt>
                <c:pt idx="1463">
                  <c:v>0.10395078361034391</c:v>
                </c:pt>
                <c:pt idx="1464">
                  <c:v>0.19354839622974401</c:v>
                </c:pt>
                <c:pt idx="1465">
                  <c:v>0.35841470956802368</c:v>
                </c:pt>
                <c:pt idx="1466">
                  <c:v>1.2091255187988279</c:v>
                </c:pt>
                <c:pt idx="1467">
                  <c:v>2.440000057220459</c:v>
                </c:pt>
                <c:pt idx="1468">
                  <c:v>2.480769157409668</c:v>
                </c:pt>
                <c:pt idx="1469">
                  <c:v>3.5408921241760249</c:v>
                </c:pt>
                <c:pt idx="1470">
                  <c:v>4.0645160675048828</c:v>
                </c:pt>
                <c:pt idx="1471">
                  <c:v>4.4318180084228516</c:v>
                </c:pt>
                <c:pt idx="1472">
                  <c:v>5.6632652282714844</c:v>
                </c:pt>
                <c:pt idx="1473">
                  <c:v>7.3554220199584961</c:v>
                </c:pt>
                <c:pt idx="1474">
                  <c:v>0</c:v>
                </c:pt>
                <c:pt idx="1475">
                  <c:v>0</c:v>
                </c:pt>
                <c:pt idx="1476">
                  <c:v>0</c:v>
                </c:pt>
                <c:pt idx="1477">
                  <c:v>9.3264259397983551E-2</c:v>
                </c:pt>
                <c:pt idx="1478">
                  <c:v>0.3615436851978302</c:v>
                </c:pt>
                <c:pt idx="1479">
                  <c:v>0.56944447755813599</c:v>
                </c:pt>
                <c:pt idx="1480">
                  <c:v>1.3536586761474609</c:v>
                </c:pt>
                <c:pt idx="1481">
                  <c:v>1.666666626930237</c:v>
                </c:pt>
                <c:pt idx="1482">
                  <c:v>2.329351663589478</c:v>
                </c:pt>
                <c:pt idx="1483">
                  <c:v>4.125</c:v>
                </c:pt>
                <c:pt idx="1484">
                  <c:v>4.4166665077209473</c:v>
                </c:pt>
                <c:pt idx="1485">
                  <c:v>5.25</c:v>
                </c:pt>
                <c:pt idx="1486">
                  <c:v>6.0177164077758789</c:v>
                </c:pt>
                <c:pt idx="1487">
                  <c:v>7.6558442115783691</c:v>
                </c:pt>
                <c:pt idx="1488">
                  <c:v>9</c:v>
                </c:pt>
                <c:pt idx="1489">
                  <c:v>0</c:v>
                </c:pt>
                <c:pt idx="1490">
                  <c:v>0</c:v>
                </c:pt>
                <c:pt idx="1491">
                  <c:v>0</c:v>
                </c:pt>
                <c:pt idx="1492">
                  <c:v>0.1101265922188759</c:v>
                </c:pt>
                <c:pt idx="1493">
                  <c:v>0.35958907008171082</c:v>
                </c:pt>
                <c:pt idx="1494">
                  <c:v>0.91592925786972046</c:v>
                </c:pt>
                <c:pt idx="1495">
                  <c:v>1.2037816047668459</c:v>
                </c:pt>
                <c:pt idx="1496">
                  <c:v>1.799999952316284</c:v>
                </c:pt>
                <c:pt idx="1497">
                  <c:v>2.4099724292755131</c:v>
                </c:pt>
                <c:pt idx="1498">
                  <c:v>3.4911503791809082</c:v>
                </c:pt>
                <c:pt idx="1499">
                  <c:v>4.2999997138977051</c:v>
                </c:pt>
                <c:pt idx="1500">
                  <c:v>4.5</c:v>
                </c:pt>
                <c:pt idx="1501">
                  <c:v>6.0000004768371582</c:v>
                </c:pt>
                <c:pt idx="1502">
                  <c:v>6.0798478126525879</c:v>
                </c:pt>
                <c:pt idx="1503">
                  <c:v>7.4090909957885742</c:v>
                </c:pt>
                <c:pt idx="1504">
                  <c:v>9</c:v>
                </c:pt>
                <c:pt idx="1505">
                  <c:v>0</c:v>
                </c:pt>
                <c:pt idx="1506">
                  <c:v>0</c:v>
                </c:pt>
                <c:pt idx="1507">
                  <c:v>0</c:v>
                </c:pt>
                <c:pt idx="1508">
                  <c:v>7.9337097704410553E-2</c:v>
                </c:pt>
                <c:pt idx="1509">
                  <c:v>0.32401412725448608</c:v>
                </c:pt>
                <c:pt idx="1510">
                  <c:v>0.39545455574989319</c:v>
                </c:pt>
                <c:pt idx="1511">
                  <c:v>1.145454525947571</c:v>
                </c:pt>
                <c:pt idx="1512">
                  <c:v>1.595744729042053</c:v>
                </c:pt>
                <c:pt idx="1513">
                  <c:v>2.3852460384368901</c:v>
                </c:pt>
                <c:pt idx="1514">
                  <c:v>2.4642856121063228</c:v>
                </c:pt>
                <c:pt idx="1515">
                  <c:v>4.2738461494445801</c:v>
                </c:pt>
                <c:pt idx="1516">
                  <c:v>4.75</c:v>
                </c:pt>
                <c:pt idx="1517">
                  <c:v>6.0000004768371582</c:v>
                </c:pt>
                <c:pt idx="1518">
                  <c:v>6.388157844543457</c:v>
                </c:pt>
                <c:pt idx="1519">
                  <c:v>7.5148515701293954</c:v>
                </c:pt>
                <c:pt idx="1520">
                  <c:v>9</c:v>
                </c:pt>
                <c:pt idx="1521">
                  <c:v>0</c:v>
                </c:pt>
                <c:pt idx="1522">
                  <c:v>0</c:v>
                </c:pt>
                <c:pt idx="1523">
                  <c:v>0</c:v>
                </c:pt>
                <c:pt idx="1524">
                  <c:v>7.4632100760936737E-2</c:v>
                </c:pt>
                <c:pt idx="1525">
                  <c:v>0.33450481295585632</c:v>
                </c:pt>
                <c:pt idx="1526">
                  <c:v>0.65517240762710571</c:v>
                </c:pt>
                <c:pt idx="1527">
                  <c:v>1.3695652484893801</c:v>
                </c:pt>
                <c:pt idx="1528">
                  <c:v>1.413127541542053</c:v>
                </c:pt>
                <c:pt idx="1529">
                  <c:v>2.4169435501098628</c:v>
                </c:pt>
                <c:pt idx="1530">
                  <c:v>3.9249999523162842</c:v>
                </c:pt>
                <c:pt idx="1531">
                  <c:v>4.3928570747375488</c:v>
                </c:pt>
                <c:pt idx="1532">
                  <c:v>4.3928570747375488</c:v>
                </c:pt>
                <c:pt idx="1533">
                  <c:v>6.0000004768371582</c:v>
                </c:pt>
                <c:pt idx="1534">
                  <c:v>6.2315788269042969</c:v>
                </c:pt>
                <c:pt idx="1535">
                  <c:v>7.391566276550293</c:v>
                </c:pt>
                <c:pt idx="1536">
                  <c:v>8.769230842590332</c:v>
                </c:pt>
                <c:pt idx="1537">
                  <c:v>0</c:v>
                </c:pt>
                <c:pt idx="1538">
                  <c:v>0</c:v>
                </c:pt>
                <c:pt idx="1539">
                  <c:v>8.7563455104827881E-2</c:v>
                </c:pt>
                <c:pt idx="1540">
                  <c:v>0.20689657330513</c:v>
                </c:pt>
                <c:pt idx="1541">
                  <c:v>0.36261981725692749</c:v>
                </c:pt>
                <c:pt idx="1542">
                  <c:v>0.48461538553237921</c:v>
                </c:pt>
                <c:pt idx="1543">
                  <c:v>0.93122684955596924</c:v>
                </c:pt>
                <c:pt idx="1544">
                  <c:v>2.0675675868988042</c:v>
                </c:pt>
                <c:pt idx="1545">
                  <c:v>2.108418464660645</c:v>
                </c:pt>
                <c:pt idx="1546">
                  <c:v>3.2916665077209468</c:v>
                </c:pt>
                <c:pt idx="1547">
                  <c:v>3.4800000190734859</c:v>
                </c:pt>
                <c:pt idx="1548">
                  <c:v>3.774590015411377</c:v>
                </c:pt>
                <c:pt idx="1549">
                  <c:v>6.0563139915466309</c:v>
                </c:pt>
                <c:pt idx="1550">
                  <c:v>7.4271845817565918</c:v>
                </c:pt>
                <c:pt idx="1551">
                  <c:v>8.5714282989501953</c:v>
                </c:pt>
                <c:pt idx="1552">
                  <c:v>0</c:v>
                </c:pt>
                <c:pt idx="1553">
                  <c:v>0</c:v>
                </c:pt>
                <c:pt idx="1554">
                  <c:v>0</c:v>
                </c:pt>
                <c:pt idx="1555">
                  <c:v>0.1305855214595795</c:v>
                </c:pt>
                <c:pt idx="1556">
                  <c:v>0.30712789297103882</c:v>
                </c:pt>
                <c:pt idx="1557">
                  <c:v>0.56074768304824829</c:v>
                </c:pt>
                <c:pt idx="1558">
                  <c:v>1.0399999618530269</c:v>
                </c:pt>
                <c:pt idx="1559">
                  <c:v>1.15816330909729</c:v>
                </c:pt>
                <c:pt idx="1560">
                  <c:v>2.8392858505249019</c:v>
                </c:pt>
                <c:pt idx="1561">
                  <c:v>3.3157894611358638</c:v>
                </c:pt>
                <c:pt idx="1562">
                  <c:v>4.1916995048522949</c:v>
                </c:pt>
                <c:pt idx="1563">
                  <c:v>4.5</c:v>
                </c:pt>
                <c:pt idx="1564">
                  <c:v>4.7142853736877441</c:v>
                </c:pt>
                <c:pt idx="1565">
                  <c:v>5.8742513656616211</c:v>
                </c:pt>
                <c:pt idx="1566">
                  <c:v>7.3823533058166504</c:v>
                </c:pt>
                <c:pt idx="1567">
                  <c:v>0</c:v>
                </c:pt>
                <c:pt idx="1568">
                  <c:v>0</c:v>
                </c:pt>
                <c:pt idx="1569">
                  <c:v>0</c:v>
                </c:pt>
                <c:pt idx="1570">
                  <c:v>0.1043992191553116</c:v>
                </c:pt>
                <c:pt idx="1571">
                  <c:v>0.31066176295280462</c:v>
                </c:pt>
                <c:pt idx="1572">
                  <c:v>0.39830511808395391</c:v>
                </c:pt>
                <c:pt idx="1573">
                  <c:v>0.8544304370880127</c:v>
                </c:pt>
                <c:pt idx="1574">
                  <c:v>1.546875</c:v>
                </c:pt>
                <c:pt idx="1575">
                  <c:v>2.6975476741790771</c:v>
                </c:pt>
                <c:pt idx="1576">
                  <c:v>3.7916665077209468</c:v>
                </c:pt>
                <c:pt idx="1577">
                  <c:v>3.9981412887573242</c:v>
                </c:pt>
                <c:pt idx="1578">
                  <c:v>4.3499999046325684</c:v>
                </c:pt>
                <c:pt idx="1579">
                  <c:v>5.6475000381469727</c:v>
                </c:pt>
                <c:pt idx="1580">
                  <c:v>6.0000004768371582</c:v>
                </c:pt>
                <c:pt idx="1581">
                  <c:v>7.3163266181945801</c:v>
                </c:pt>
                <c:pt idx="1582">
                  <c:v>9</c:v>
                </c:pt>
              </c:numCache>
            </c:numRef>
          </c:yVal>
          <c:smooth val="0"/>
          <c:extLst>
            <c:ext xmlns:c16="http://schemas.microsoft.com/office/drawing/2014/chart" uri="{C3380CC4-5D6E-409C-BE32-E72D297353CC}">
              <c16:uniqueId val="{00000000-C25C-428D-A22C-F6492110E585}"/>
            </c:ext>
          </c:extLst>
        </c:ser>
        <c:ser>
          <c:idx val="1"/>
          <c:order val="1"/>
          <c:tx>
            <c:v>Plastics and rubber</c:v>
          </c:tx>
          <c:spPr>
            <a:ln w="28575">
              <a:noFill/>
            </a:ln>
            <a:effectLst/>
          </c:spPr>
          <c:marker>
            <c:symbol val="circle"/>
            <c:size val="4"/>
            <c:spPr>
              <a:solidFill>
                <a:srgbClr val="0000FF"/>
              </a:solidFill>
              <a:ln w="9525" cap="flat" cmpd="sng">
                <a:solidFill>
                  <a:srgbClr val="0000FF"/>
                </a:solidFill>
              </a:ln>
              <a:effectLst/>
            </c:spPr>
          </c:marker>
          <c:xVal>
            <c:numRef>
              <c:f>ImportsChartData!$C$2:$C$107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ImportsChartData!$D$2:$D$107</c:f>
              <c:numCache>
                <c:formatCode>General</c:formatCode>
                <c:ptCount val="106"/>
                <c:pt idx="0">
                  <c:v>12.33056735992432</c:v>
                </c:pt>
                <c:pt idx="1">
                  <c:v>12.42436695098877</c:v>
                </c:pt>
                <c:pt idx="2">
                  <c:v>11.833574295043951</c:v>
                </c:pt>
                <c:pt idx="3">
                  <c:v>12.05717849731445</c:v>
                </c:pt>
                <c:pt idx="4">
                  <c:v>12.147165298461911</c:v>
                </c:pt>
                <c:pt idx="5">
                  <c:v>11.836400032043461</c:v>
                </c:pt>
                <c:pt idx="6">
                  <c:v>11.922163009643549</c:v>
                </c:pt>
                <c:pt idx="7">
                  <c:v>11.89644622802734</c:v>
                </c:pt>
                <c:pt idx="8">
                  <c:v>11.94866943359375</c:v>
                </c:pt>
                <c:pt idx="9">
                  <c:v>12.031064033508301</c:v>
                </c:pt>
                <c:pt idx="10">
                  <c:v>12.031346321105961</c:v>
                </c:pt>
                <c:pt idx="11">
                  <c:v>12.297914505004879</c:v>
                </c:pt>
                <c:pt idx="12">
                  <c:v>11.850977897644039</c:v>
                </c:pt>
                <c:pt idx="13">
                  <c:v>12.22047328948975</c:v>
                </c:pt>
                <c:pt idx="14">
                  <c:v>12.083598136901861</c:v>
                </c:pt>
                <c:pt idx="15">
                  <c:v>11.893110275268549</c:v>
                </c:pt>
                <c:pt idx="16">
                  <c:v>12.07520961761475</c:v>
                </c:pt>
                <c:pt idx="17">
                  <c:v>12.259037017822269</c:v>
                </c:pt>
                <c:pt idx="18">
                  <c:v>12.40514087677002</c:v>
                </c:pt>
                <c:pt idx="19">
                  <c:v>12.26601028442383</c:v>
                </c:pt>
                <c:pt idx="20">
                  <c:v>12.148488998413089</c:v>
                </c:pt>
                <c:pt idx="21">
                  <c:v>11.963798522949221</c:v>
                </c:pt>
                <c:pt idx="22">
                  <c:v>12.170139312744141</c:v>
                </c:pt>
                <c:pt idx="23">
                  <c:v>11.900826454162599</c:v>
                </c:pt>
                <c:pt idx="24">
                  <c:v>12.130008697509769</c:v>
                </c:pt>
                <c:pt idx="25">
                  <c:v>11.89473724365234</c:v>
                </c:pt>
                <c:pt idx="26">
                  <c:v>11.76513004302979</c:v>
                </c:pt>
                <c:pt idx="27">
                  <c:v>12.01576614379883</c:v>
                </c:pt>
                <c:pt idx="28">
                  <c:v>11.82714176177979</c:v>
                </c:pt>
                <c:pt idx="29">
                  <c:v>12.111269950866699</c:v>
                </c:pt>
                <c:pt idx="30">
                  <c:v>11.96391487121582</c:v>
                </c:pt>
                <c:pt idx="31">
                  <c:v>11.796821594238279</c:v>
                </c:pt>
                <c:pt idx="32">
                  <c:v>11.71852397918701</c:v>
                </c:pt>
                <c:pt idx="33">
                  <c:v>11.87793445587158</c:v>
                </c:pt>
                <c:pt idx="34">
                  <c:v>11.690359115600589</c:v>
                </c:pt>
                <c:pt idx="35">
                  <c:v>11.9495096206665</c:v>
                </c:pt>
                <c:pt idx="36">
                  <c:v>6.2703232765197754</c:v>
                </c:pt>
                <c:pt idx="37">
                  <c:v>6.1546134948730469</c:v>
                </c:pt>
                <c:pt idx="38">
                  <c:v>6.2285041809082031</c:v>
                </c:pt>
                <c:pt idx="39">
                  <c:v>5.8064894676208496</c:v>
                </c:pt>
                <c:pt idx="40">
                  <c:v>6.328946590423584</c:v>
                </c:pt>
                <c:pt idx="41">
                  <c:v>5.8626694679260254</c:v>
                </c:pt>
                <c:pt idx="42">
                  <c:v>6.4559597969055176</c:v>
                </c:pt>
                <c:pt idx="43">
                  <c:v>6.2068967819213867</c:v>
                </c:pt>
                <c:pt idx="44">
                  <c:v>6.8306732177734384</c:v>
                </c:pt>
                <c:pt idx="45">
                  <c:v>5.8360590934753418</c:v>
                </c:pt>
                <c:pt idx="46">
                  <c:v>6.734410285949707</c:v>
                </c:pt>
                <c:pt idx="47">
                  <c:v>6.2014865875244141</c:v>
                </c:pt>
                <c:pt idx="48">
                  <c:v>5.4362382888793954</c:v>
                </c:pt>
                <c:pt idx="49">
                  <c:v>5.2295513153076172</c:v>
                </c:pt>
                <c:pt idx="50">
                  <c:v>5.2724490165710449</c:v>
                </c:pt>
                <c:pt idx="51">
                  <c:v>5.6371135711669922</c:v>
                </c:pt>
                <c:pt idx="52">
                  <c:v>5.5822758674621582</c:v>
                </c:pt>
                <c:pt idx="53">
                  <c:v>5.3422584533691406</c:v>
                </c:pt>
                <c:pt idx="54">
                  <c:v>5.6493372917175293</c:v>
                </c:pt>
                <c:pt idx="55">
                  <c:v>5.7691106796264648</c:v>
                </c:pt>
                <c:pt idx="56">
                  <c:v>5.5829415321350098</c:v>
                </c:pt>
                <c:pt idx="57">
                  <c:v>5.461611270904541</c:v>
                </c:pt>
                <c:pt idx="58">
                  <c:v>5.7410669326782227</c:v>
                </c:pt>
                <c:pt idx="59">
                  <c:v>5.5936374664306641</c:v>
                </c:pt>
                <c:pt idx="60">
                  <c:v>4.9260439872741699</c:v>
                </c:pt>
                <c:pt idx="61">
                  <c:v>5.0056166648864746</c:v>
                </c:pt>
                <c:pt idx="62">
                  <c:v>4.721287727355957</c:v>
                </c:pt>
                <c:pt idx="63">
                  <c:v>4.8797011375427246</c:v>
                </c:pt>
                <c:pt idx="64">
                  <c:v>4.9026994705200204</c:v>
                </c:pt>
                <c:pt idx="65">
                  <c:v>4.888979434967041</c:v>
                </c:pt>
                <c:pt idx="66">
                  <c:v>4.7001471519470206</c:v>
                </c:pt>
                <c:pt idx="67">
                  <c:v>5.2789707183837891</c:v>
                </c:pt>
                <c:pt idx="68">
                  <c:v>4.7090463638305664</c:v>
                </c:pt>
                <c:pt idx="69">
                  <c:v>4.8274893760681152</c:v>
                </c:pt>
                <c:pt idx="70">
                  <c:v>5.0117068290710449</c:v>
                </c:pt>
                <c:pt idx="71">
                  <c:v>4.9343419075012207</c:v>
                </c:pt>
                <c:pt idx="72">
                  <c:v>4.2290177345275879</c:v>
                </c:pt>
                <c:pt idx="73">
                  <c:v>4.0225381851196289</c:v>
                </c:pt>
                <c:pt idx="74">
                  <c:v>3.9632706642150879</c:v>
                </c:pt>
                <c:pt idx="75">
                  <c:v>3.853850126266479</c:v>
                </c:pt>
                <c:pt idx="76">
                  <c:v>4.0499753952026367</c:v>
                </c:pt>
                <c:pt idx="77">
                  <c:v>4.1679196357727051</c:v>
                </c:pt>
                <c:pt idx="78">
                  <c:v>3.8016631603240971</c:v>
                </c:pt>
                <c:pt idx="79">
                  <c:v>3.8413956165313721</c:v>
                </c:pt>
                <c:pt idx="80">
                  <c:v>4.0350766181945801</c:v>
                </c:pt>
                <c:pt idx="81">
                  <c:v>4.1555290222167969</c:v>
                </c:pt>
                <c:pt idx="82">
                  <c:v>4.0164766311645508</c:v>
                </c:pt>
                <c:pt idx="83">
                  <c:v>4.0542488098144531</c:v>
                </c:pt>
                <c:pt idx="84">
                  <c:v>3.2288506031036381</c:v>
                </c:pt>
                <c:pt idx="85">
                  <c:v>3.0689928531646729</c:v>
                </c:pt>
                <c:pt idx="86">
                  <c:v>3.236969947814941</c:v>
                </c:pt>
                <c:pt idx="87">
                  <c:v>3.1713001728057861</c:v>
                </c:pt>
                <c:pt idx="88">
                  <c:v>3.0697023868560791</c:v>
                </c:pt>
                <c:pt idx="89">
                  <c:v>3.4298996925353999</c:v>
                </c:pt>
                <c:pt idx="90">
                  <c:v>3.568339586257935</c:v>
                </c:pt>
                <c:pt idx="91">
                  <c:v>3.2992405891418461</c:v>
                </c:pt>
                <c:pt idx="92">
                  <c:v>3.1920206546783452</c:v>
                </c:pt>
                <c:pt idx="93">
                  <c:v>3.482517004013062</c:v>
                </c:pt>
                <c:pt idx="94">
                  <c:v>3.4281728267669682</c:v>
                </c:pt>
                <c:pt idx="95">
                  <c:v>3.1943507194519039</c:v>
                </c:pt>
                <c:pt idx="96">
                  <c:v>1.946171760559082</c:v>
                </c:pt>
                <c:pt idx="97">
                  <c:v>1.9275742769241331</c:v>
                </c:pt>
                <c:pt idx="98">
                  <c:v>1.985973000526428</c:v>
                </c:pt>
                <c:pt idx="99">
                  <c:v>2.0131974220275879</c:v>
                </c:pt>
                <c:pt idx="100">
                  <c:v>1.9267300367355349</c:v>
                </c:pt>
                <c:pt idx="101">
                  <c:v>2.0497419834136958</c:v>
                </c:pt>
                <c:pt idx="102">
                  <c:v>1.9565538167953489</c:v>
                </c:pt>
                <c:pt idx="103">
                  <c:v>2.0031173229217529</c:v>
                </c:pt>
                <c:pt idx="104">
                  <c:v>1.957939624786377</c:v>
                </c:pt>
                <c:pt idx="105">
                  <c:v>2.003414630889893</c:v>
                </c:pt>
              </c:numCache>
            </c:numRef>
          </c:yVal>
          <c:smooth val="0"/>
          <c:extLst>
            <c:ext xmlns:c16="http://schemas.microsoft.com/office/drawing/2014/chart" uri="{C3380CC4-5D6E-409C-BE32-E72D297353CC}">
              <c16:uniqueId val="{00000001-C25C-428D-A22C-F6492110E585}"/>
            </c:ext>
          </c:extLst>
        </c:ser>
        <c:ser>
          <c:idx val="2"/>
          <c:order val="2"/>
          <c:tx>
            <c:v>Textiles and textile articles</c:v>
          </c:tx>
          <c:spPr>
            <a:ln w="28575">
              <a:noFill/>
            </a:ln>
            <a:effectLst/>
          </c:spPr>
          <c:marker>
            <c:symbol val="triangle"/>
            <c:size val="5"/>
            <c:spPr>
              <a:solidFill>
                <a:srgbClr val="FF0000"/>
              </a:solidFill>
              <a:ln w="9525" cap="flat" cmpd="sng">
                <a:solidFill>
                  <a:srgbClr val="FF0000"/>
                </a:solidFill>
              </a:ln>
              <a:effectLst/>
            </c:spPr>
          </c:marker>
          <c:xVal>
            <c:numRef>
              <c:f>ImportsChartData!$E$2:$E$107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ImportsChartData!$F$2:$F$107</c:f>
              <c:numCache>
                <c:formatCode>General</c:formatCode>
                <c:ptCount val="106"/>
                <c:pt idx="0">
                  <c:v>28.123544692993161</c:v>
                </c:pt>
                <c:pt idx="1">
                  <c:v>28.622858047485352</c:v>
                </c:pt>
                <c:pt idx="2">
                  <c:v>28.902629852294918</c:v>
                </c:pt>
                <c:pt idx="3">
                  <c:v>28.5501708984375</c:v>
                </c:pt>
                <c:pt idx="4">
                  <c:v>28.6118278503418</c:v>
                </c:pt>
                <c:pt idx="5">
                  <c:v>26.38031005859375</c:v>
                </c:pt>
                <c:pt idx="6">
                  <c:v>28.411655426025391</c:v>
                </c:pt>
                <c:pt idx="7">
                  <c:v>27.474094390869141</c:v>
                </c:pt>
                <c:pt idx="8">
                  <c:v>27.978143692016602</c:v>
                </c:pt>
                <c:pt idx="9">
                  <c:v>26.955522537231449</c:v>
                </c:pt>
                <c:pt idx="10">
                  <c:v>28.65200233459473</c:v>
                </c:pt>
                <c:pt idx="11">
                  <c:v>28.464324951171879</c:v>
                </c:pt>
                <c:pt idx="12">
                  <c:v>27.29623985290527</c:v>
                </c:pt>
                <c:pt idx="13">
                  <c:v>28.3651237487793</c:v>
                </c:pt>
                <c:pt idx="14">
                  <c:v>28.25294303894043</c:v>
                </c:pt>
                <c:pt idx="15">
                  <c:v>27.444314956665039</c:v>
                </c:pt>
                <c:pt idx="16">
                  <c:v>27.354841232299801</c:v>
                </c:pt>
                <c:pt idx="17">
                  <c:v>27.43126106262207</c:v>
                </c:pt>
                <c:pt idx="18">
                  <c:v>27.94267654418945</c:v>
                </c:pt>
                <c:pt idx="19">
                  <c:v>28.328489303588871</c:v>
                </c:pt>
                <c:pt idx="20">
                  <c:v>27.274679183959961</c:v>
                </c:pt>
                <c:pt idx="21">
                  <c:v>28.317411422729489</c:v>
                </c:pt>
                <c:pt idx="22">
                  <c:v>28.59358978271484</c:v>
                </c:pt>
                <c:pt idx="23">
                  <c:v>28.576009750366211</c:v>
                </c:pt>
                <c:pt idx="24">
                  <c:v>27.990798950195309</c:v>
                </c:pt>
                <c:pt idx="25">
                  <c:v>28.151752471923832</c:v>
                </c:pt>
                <c:pt idx="26">
                  <c:v>28.39381217956543</c:v>
                </c:pt>
                <c:pt idx="27">
                  <c:v>28.51456451416016</c:v>
                </c:pt>
                <c:pt idx="28">
                  <c:v>28.067075729370121</c:v>
                </c:pt>
                <c:pt idx="29">
                  <c:v>28.256252288818359</c:v>
                </c:pt>
                <c:pt idx="30">
                  <c:v>28.440055847167969</c:v>
                </c:pt>
                <c:pt idx="31">
                  <c:v>28.42653656005859</c:v>
                </c:pt>
                <c:pt idx="32">
                  <c:v>28.351530075073239</c:v>
                </c:pt>
                <c:pt idx="33">
                  <c:v>28.542655944824219</c:v>
                </c:pt>
                <c:pt idx="34">
                  <c:v>28.733907699584961</c:v>
                </c:pt>
                <c:pt idx="35">
                  <c:v>28.05385780334473</c:v>
                </c:pt>
                <c:pt idx="36">
                  <c:v>21.151645660400391</c:v>
                </c:pt>
                <c:pt idx="37">
                  <c:v>22.083461761474609</c:v>
                </c:pt>
                <c:pt idx="38">
                  <c:v>22.049751281738281</c:v>
                </c:pt>
                <c:pt idx="39">
                  <c:v>21.306049346923832</c:v>
                </c:pt>
                <c:pt idx="40">
                  <c:v>21.44332122802734</c:v>
                </c:pt>
                <c:pt idx="41">
                  <c:v>21.246429443359379</c:v>
                </c:pt>
                <c:pt idx="42">
                  <c:v>21.25980377197266</c:v>
                </c:pt>
                <c:pt idx="43">
                  <c:v>21.45462799072266</c:v>
                </c:pt>
                <c:pt idx="44">
                  <c:v>21.781337738037109</c:v>
                </c:pt>
                <c:pt idx="45">
                  <c:v>21.545742034912109</c:v>
                </c:pt>
                <c:pt idx="46">
                  <c:v>21.173177719116211</c:v>
                </c:pt>
                <c:pt idx="47">
                  <c:v>21.622003555297852</c:v>
                </c:pt>
                <c:pt idx="48">
                  <c:v>16.246456146240231</c:v>
                </c:pt>
                <c:pt idx="49">
                  <c:v>16.394992828369141</c:v>
                </c:pt>
                <c:pt idx="50">
                  <c:v>16.176055908203129</c:v>
                </c:pt>
                <c:pt idx="51">
                  <c:v>16.091999053955082</c:v>
                </c:pt>
                <c:pt idx="52">
                  <c:v>16.1304817199707</c:v>
                </c:pt>
                <c:pt idx="53">
                  <c:v>15.926760673522949</c:v>
                </c:pt>
                <c:pt idx="54">
                  <c:v>15.660592079162599</c:v>
                </c:pt>
                <c:pt idx="55">
                  <c:v>16.087844848632809</c:v>
                </c:pt>
                <c:pt idx="56">
                  <c:v>15.951285362243651</c:v>
                </c:pt>
                <c:pt idx="57">
                  <c:v>16.14846229553223</c:v>
                </c:pt>
                <c:pt idx="58">
                  <c:v>16.845096588134769</c:v>
                </c:pt>
                <c:pt idx="59">
                  <c:v>15.848410606384279</c:v>
                </c:pt>
                <c:pt idx="60">
                  <c:v>10.431686401367189</c:v>
                </c:pt>
                <c:pt idx="61">
                  <c:v>10.67642307281494</c:v>
                </c:pt>
                <c:pt idx="62">
                  <c:v>10.85140991210938</c:v>
                </c:pt>
                <c:pt idx="63">
                  <c:v>10.912057876586911</c:v>
                </c:pt>
                <c:pt idx="64">
                  <c:v>10.8331241607666</c:v>
                </c:pt>
                <c:pt idx="65">
                  <c:v>10.7254638671875</c:v>
                </c:pt>
                <c:pt idx="66">
                  <c:v>10.74629592895508</c:v>
                </c:pt>
                <c:pt idx="67">
                  <c:v>10.76754856109619</c:v>
                </c:pt>
                <c:pt idx="68">
                  <c:v>10.93612575531006</c:v>
                </c:pt>
                <c:pt idx="69">
                  <c:v>10.872549057006839</c:v>
                </c:pt>
                <c:pt idx="70">
                  <c:v>10.98977470397949</c:v>
                </c:pt>
                <c:pt idx="71">
                  <c:v>11.120071411132811</c:v>
                </c:pt>
                <c:pt idx="72">
                  <c:v>5.2769441604614258</c:v>
                </c:pt>
                <c:pt idx="73">
                  <c:v>5.3598618507385254</c:v>
                </c:pt>
                <c:pt idx="74">
                  <c:v>5.480679988861084</c:v>
                </c:pt>
                <c:pt idx="75">
                  <c:v>4.7117438316345206</c:v>
                </c:pt>
                <c:pt idx="76">
                  <c:v>3.810344934463501</c:v>
                </c:pt>
                <c:pt idx="77">
                  <c:v>4.8404669761657706</c:v>
                </c:pt>
                <c:pt idx="78">
                  <c:v>5.4553194046020508</c:v>
                </c:pt>
                <c:pt idx="79">
                  <c:v>5.5168919563293457</c:v>
                </c:pt>
                <c:pt idx="80">
                  <c:v>5.2522363662719727</c:v>
                </c:pt>
                <c:pt idx="81">
                  <c:v>5.5892419815063477</c:v>
                </c:pt>
                <c:pt idx="82">
                  <c:v>5.4393529891967773</c:v>
                </c:pt>
                <c:pt idx="83">
                  <c:v>5.6693549156188956</c:v>
                </c:pt>
                <c:pt idx="84">
                  <c:v>0.17657993733882901</c:v>
                </c:pt>
                <c:pt idx="85">
                  <c:v>0.13201321661472321</c:v>
                </c:pt>
                <c:pt idx="86">
                  <c:v>0.1832994073629379</c:v>
                </c:pt>
                <c:pt idx="87">
                  <c:v>0.1278195530176163</c:v>
                </c:pt>
                <c:pt idx="88">
                  <c:v>0.26022306084632868</c:v>
                </c:pt>
                <c:pt idx="89">
                  <c:v>9.5588244497776031E-2</c:v>
                </c:pt>
                <c:pt idx="90">
                  <c:v>9.4339631497859955E-2</c:v>
                </c:pt>
                <c:pt idx="91">
                  <c:v>0.1013513579964638</c:v>
                </c:pt>
                <c:pt idx="92">
                  <c:v>0.24941997230052951</c:v>
                </c:pt>
                <c:pt idx="93">
                  <c:v>0.14522822201251981</c:v>
                </c:pt>
                <c:pt idx="94">
                  <c:v>0.13849093019962311</c:v>
                </c:pt>
                <c:pt idx="95">
                  <c:v>0.1189245209097862</c:v>
                </c:pt>
                <c:pt idx="96">
                  <c:v>0.1583452224731445</c:v>
                </c:pt>
                <c:pt idx="97">
                  <c:v>9.0265490114688873E-2</c:v>
                </c:pt>
                <c:pt idx="98">
                  <c:v>5.0649352371692657E-2</c:v>
                </c:pt>
                <c:pt idx="99">
                  <c:v>6.7189253866672516E-2</c:v>
                </c:pt>
                <c:pt idx="100">
                  <c:v>9.5907926559448242E-2</c:v>
                </c:pt>
                <c:pt idx="101">
                  <c:v>0.12883436679840091</c:v>
                </c:pt>
                <c:pt idx="102">
                  <c:v>0.18883611261844641</c:v>
                </c:pt>
                <c:pt idx="103">
                  <c:v>0.14911243319511411</c:v>
                </c:pt>
                <c:pt idx="104">
                  <c:v>7.2289161384105682E-2</c:v>
                </c:pt>
                <c:pt idx="105">
                  <c:v>4.4594597071409232E-2</c:v>
                </c:pt>
              </c:numCache>
            </c:numRef>
          </c:yVal>
          <c:smooth val="0"/>
          <c:extLst>
            <c:ext xmlns:c16="http://schemas.microsoft.com/office/drawing/2014/chart" uri="{C3380CC4-5D6E-409C-BE32-E72D297353CC}">
              <c16:uniqueId val="{00000002-C25C-428D-A22C-F6492110E585}"/>
            </c:ext>
          </c:extLst>
        </c:ser>
        <c:ser>
          <c:idx val="3"/>
          <c:order val="3"/>
          <c:tx>
            <c:v>Base metals and articles thereof</c:v>
          </c:tx>
          <c:spPr>
            <a:ln w="28575">
              <a:noFill/>
            </a:ln>
            <a:effectLst/>
          </c:spPr>
          <c:marker>
            <c:symbol val="circle"/>
            <c:size val="2"/>
            <c:spPr>
              <a:solidFill>
                <a:srgbClr val="FF8000"/>
              </a:solidFill>
              <a:ln w="9525" cap="flat" cmpd="sng">
                <a:solidFill>
                  <a:srgbClr val="FF8000"/>
                </a:solidFill>
              </a:ln>
              <a:effectLst/>
            </c:spPr>
          </c:marker>
          <c:xVal>
            <c:numRef>
              <c:f>ImportsChartData!$G$2:$G$107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ImportsChartData!$H$2:$H$107</c:f>
              <c:numCache>
                <c:formatCode>General</c:formatCode>
                <c:ptCount val="106"/>
                <c:pt idx="0">
                  <c:v>12.36079692840576</c:v>
                </c:pt>
                <c:pt idx="1">
                  <c:v>12.36061477661133</c:v>
                </c:pt>
                <c:pt idx="2">
                  <c:v>12.30418109893799</c:v>
                </c:pt>
                <c:pt idx="3">
                  <c:v>12.463362693786619</c:v>
                </c:pt>
                <c:pt idx="4">
                  <c:v>12.09525775909424</c:v>
                </c:pt>
                <c:pt idx="5">
                  <c:v>12.34249210357666</c:v>
                </c:pt>
                <c:pt idx="6">
                  <c:v>12.25578498840332</c:v>
                </c:pt>
                <c:pt idx="7">
                  <c:v>12.255575180053709</c:v>
                </c:pt>
                <c:pt idx="8">
                  <c:v>12.185153007507321</c:v>
                </c:pt>
                <c:pt idx="9">
                  <c:v>12.24989032745361</c:v>
                </c:pt>
                <c:pt idx="10">
                  <c:v>12.0625</c:v>
                </c:pt>
                <c:pt idx="11">
                  <c:v>12.471992492675779</c:v>
                </c:pt>
                <c:pt idx="12">
                  <c:v>12.521799087524411</c:v>
                </c:pt>
                <c:pt idx="13">
                  <c:v>12.262232780456539</c:v>
                </c:pt>
                <c:pt idx="14">
                  <c:v>12.318873405456539</c:v>
                </c:pt>
                <c:pt idx="15">
                  <c:v>12.22088623046875</c:v>
                </c:pt>
                <c:pt idx="16">
                  <c:v>12.251909255981451</c:v>
                </c:pt>
                <c:pt idx="17">
                  <c:v>12.417263031005859</c:v>
                </c:pt>
                <c:pt idx="18">
                  <c:v>12.262740135192869</c:v>
                </c:pt>
                <c:pt idx="19">
                  <c:v>12.440273284912109</c:v>
                </c:pt>
                <c:pt idx="20">
                  <c:v>12.357785224914551</c:v>
                </c:pt>
                <c:pt idx="21">
                  <c:v>12.40483570098877</c:v>
                </c:pt>
                <c:pt idx="22">
                  <c:v>12.427938461303709</c:v>
                </c:pt>
                <c:pt idx="23">
                  <c:v>12.42033004760742</c:v>
                </c:pt>
                <c:pt idx="24">
                  <c:v>12.611795425415041</c:v>
                </c:pt>
                <c:pt idx="25">
                  <c:v>12.51849365234375</c:v>
                </c:pt>
                <c:pt idx="26">
                  <c:v>12.40956497192383</c:v>
                </c:pt>
                <c:pt idx="27">
                  <c:v>12.38038349151611</c:v>
                </c:pt>
                <c:pt idx="28">
                  <c:v>12.695058822631839</c:v>
                </c:pt>
                <c:pt idx="29">
                  <c:v>12.386905670166019</c:v>
                </c:pt>
                <c:pt idx="30">
                  <c:v>12.162008285522459</c:v>
                </c:pt>
                <c:pt idx="31">
                  <c:v>12.813051223754879</c:v>
                </c:pt>
                <c:pt idx="32">
                  <c:v>12.65384674072266</c:v>
                </c:pt>
                <c:pt idx="33">
                  <c:v>12.759580612182621</c:v>
                </c:pt>
                <c:pt idx="34">
                  <c:v>12.651822090148929</c:v>
                </c:pt>
                <c:pt idx="35">
                  <c:v>12.559780120849609</c:v>
                </c:pt>
                <c:pt idx="36">
                  <c:v>9.2964954376220703</c:v>
                </c:pt>
                <c:pt idx="37">
                  <c:v>9.7433815002441406</c:v>
                </c:pt>
                <c:pt idx="38">
                  <c:v>9.6004867553710938</c:v>
                </c:pt>
                <c:pt idx="39">
                  <c:v>9.3543605804443359</c:v>
                </c:pt>
                <c:pt idx="40">
                  <c:v>9.641840934753418</c:v>
                </c:pt>
                <c:pt idx="41">
                  <c:v>9.6178722381591797</c:v>
                </c:pt>
                <c:pt idx="42">
                  <c:v>9.7535562515258789</c:v>
                </c:pt>
                <c:pt idx="43">
                  <c:v>9.7926397323608398</c:v>
                </c:pt>
                <c:pt idx="44">
                  <c:v>9.7173042297363281</c:v>
                </c:pt>
                <c:pt idx="45">
                  <c:v>9.8001461029052734</c:v>
                </c:pt>
                <c:pt idx="46">
                  <c:v>9.7985115051269531</c:v>
                </c:pt>
                <c:pt idx="47">
                  <c:v>9.3019924163818359</c:v>
                </c:pt>
                <c:pt idx="48">
                  <c:v>8.3919048309326172</c:v>
                </c:pt>
                <c:pt idx="49">
                  <c:v>8.5036211013793945</c:v>
                </c:pt>
                <c:pt idx="50">
                  <c:v>8.6139564514160156</c:v>
                </c:pt>
                <c:pt idx="51">
                  <c:v>8.2503890991210938</c:v>
                </c:pt>
                <c:pt idx="52">
                  <c:v>8.4615039825439453</c:v>
                </c:pt>
                <c:pt idx="53">
                  <c:v>8.5372962951660156</c:v>
                </c:pt>
                <c:pt idx="54">
                  <c:v>8.219578742980957</c:v>
                </c:pt>
                <c:pt idx="55">
                  <c:v>8.5078725814819336</c:v>
                </c:pt>
                <c:pt idx="56">
                  <c:v>8.7691497802734375</c:v>
                </c:pt>
                <c:pt idx="57">
                  <c:v>8.6567163467407227</c:v>
                </c:pt>
                <c:pt idx="58">
                  <c:v>8.5078716278076172</c:v>
                </c:pt>
                <c:pt idx="59">
                  <c:v>8.3898935317993164</c:v>
                </c:pt>
                <c:pt idx="60">
                  <c:v>7.0586090087890634</c:v>
                </c:pt>
                <c:pt idx="61">
                  <c:v>7.1782436370849609</c:v>
                </c:pt>
                <c:pt idx="62">
                  <c:v>7.4947619438171387</c:v>
                </c:pt>
                <c:pt idx="63">
                  <c:v>7.3139643669128418</c:v>
                </c:pt>
                <c:pt idx="64">
                  <c:v>7.5294680595397949</c:v>
                </c:pt>
                <c:pt idx="65">
                  <c:v>7.6254525184631348</c:v>
                </c:pt>
                <c:pt idx="66">
                  <c:v>6.9001579284667969</c:v>
                </c:pt>
                <c:pt idx="67">
                  <c:v>6.4106254577636719</c:v>
                </c:pt>
                <c:pt idx="68">
                  <c:v>6.452977180480957</c:v>
                </c:pt>
                <c:pt idx="69">
                  <c:v>6.5209407806396484</c:v>
                </c:pt>
                <c:pt idx="70">
                  <c:v>6.4189620018005371</c:v>
                </c:pt>
                <c:pt idx="71">
                  <c:v>6.5617203712463379</c:v>
                </c:pt>
                <c:pt idx="72">
                  <c:v>5.5280961990356454</c:v>
                </c:pt>
                <c:pt idx="73">
                  <c:v>5.3963222503662109</c:v>
                </c:pt>
                <c:pt idx="74">
                  <c:v>5.2891736030578613</c:v>
                </c:pt>
                <c:pt idx="75">
                  <c:v>5.4768610000610352</c:v>
                </c:pt>
                <c:pt idx="76">
                  <c:v>5.3683681488037109</c:v>
                </c:pt>
                <c:pt idx="77">
                  <c:v>5.4183974266052246</c:v>
                </c:pt>
                <c:pt idx="78">
                  <c:v>5.1364483833312988</c:v>
                </c:pt>
                <c:pt idx="79">
                  <c:v>5.3888888359069824</c:v>
                </c:pt>
                <c:pt idx="80">
                  <c:v>5.4027585983276367</c:v>
                </c:pt>
                <c:pt idx="81">
                  <c:v>5.5615334510803223</c:v>
                </c:pt>
                <c:pt idx="82">
                  <c:v>5.1205673217773438</c:v>
                </c:pt>
                <c:pt idx="83">
                  <c:v>5.3278789520263672</c:v>
                </c:pt>
                <c:pt idx="84">
                  <c:v>4.152010440826416</c:v>
                </c:pt>
                <c:pt idx="85">
                  <c:v>4.1423845291137704</c:v>
                </c:pt>
                <c:pt idx="86">
                  <c:v>4.0779705047607422</c:v>
                </c:pt>
                <c:pt idx="87">
                  <c:v>4.1685914993286133</c:v>
                </c:pt>
                <c:pt idx="88">
                  <c:v>4.2813711166381836</c:v>
                </c:pt>
                <c:pt idx="89">
                  <c:v>3.970037698745728</c:v>
                </c:pt>
                <c:pt idx="90">
                  <c:v>4.2408099174499512</c:v>
                </c:pt>
                <c:pt idx="91">
                  <c:v>4.1725444793701172</c:v>
                </c:pt>
                <c:pt idx="92">
                  <c:v>4.2512483596801758</c:v>
                </c:pt>
                <c:pt idx="93">
                  <c:v>4.242340087890625</c:v>
                </c:pt>
                <c:pt idx="94">
                  <c:v>4.2379903793334961</c:v>
                </c:pt>
                <c:pt idx="95">
                  <c:v>4.1443543434143066</c:v>
                </c:pt>
                <c:pt idx="96">
                  <c:v>2.5093061923980708</c:v>
                </c:pt>
                <c:pt idx="97">
                  <c:v>2.6142857074737549</c:v>
                </c:pt>
                <c:pt idx="98">
                  <c:v>2.493569135665894</c:v>
                </c:pt>
                <c:pt idx="99">
                  <c:v>2.731692790985107</c:v>
                </c:pt>
                <c:pt idx="100">
                  <c:v>2.4842455387115479</c:v>
                </c:pt>
                <c:pt idx="101">
                  <c:v>2.593856573104858</c:v>
                </c:pt>
                <c:pt idx="102">
                  <c:v>2.5646505355834961</c:v>
                </c:pt>
                <c:pt idx="103">
                  <c:v>2.5698235034942631</c:v>
                </c:pt>
                <c:pt idx="104">
                  <c:v>2.6435985565185551</c:v>
                </c:pt>
                <c:pt idx="105">
                  <c:v>2.7124629020690918</c:v>
                </c:pt>
              </c:numCache>
            </c:numRef>
          </c:yVal>
          <c:smooth val="0"/>
          <c:extLst>
            <c:ext xmlns:c16="http://schemas.microsoft.com/office/drawing/2014/chart" uri="{C3380CC4-5D6E-409C-BE32-E72D297353CC}">
              <c16:uniqueId val="{00000003-C25C-428D-A22C-F6492110E585}"/>
            </c:ext>
          </c:extLst>
        </c:ser>
        <c:ser>
          <c:idx val="4"/>
          <c:order val="4"/>
          <c:tx>
            <c:v>Machinery and electrical equipment</c:v>
          </c:tx>
          <c:spPr>
            <a:ln w="28575">
              <a:noFill/>
            </a:ln>
            <a:effectLst/>
          </c:spPr>
          <c:marker>
            <c:symbol val="diamond"/>
            <c:size val="4"/>
            <c:spPr>
              <a:solidFill>
                <a:srgbClr val="000000"/>
              </a:solidFill>
              <a:ln w="9525" cap="flat" cmpd="sng">
                <a:solidFill>
                  <a:srgbClr val="000000"/>
                </a:solidFill>
              </a:ln>
              <a:effectLst/>
            </c:spPr>
          </c:marker>
          <c:xVal>
            <c:numRef>
              <c:f>ImportsChartData!$I$2:$I$107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ImportsChartData!$J$2:$J$107</c:f>
              <c:numCache>
                <c:formatCode>General</c:formatCode>
                <c:ptCount val="106"/>
                <c:pt idx="0">
                  <c:v>5.0647749900817871</c:v>
                </c:pt>
                <c:pt idx="1">
                  <c:v>4.8863043785095206</c:v>
                </c:pt>
                <c:pt idx="2">
                  <c:v>4.8727545738220206</c:v>
                </c:pt>
                <c:pt idx="3">
                  <c:v>4.9155192375183114</c:v>
                </c:pt>
                <c:pt idx="4">
                  <c:v>5.1089715957641602</c:v>
                </c:pt>
                <c:pt idx="5">
                  <c:v>4.8632082939147949</c:v>
                </c:pt>
                <c:pt idx="6">
                  <c:v>4.9526476860046387</c:v>
                </c:pt>
                <c:pt idx="7">
                  <c:v>4.9057278633117676</c:v>
                </c:pt>
                <c:pt idx="8">
                  <c:v>4.8606433868408203</c:v>
                </c:pt>
                <c:pt idx="9">
                  <c:v>4.8596096038818359</c:v>
                </c:pt>
                <c:pt idx="10">
                  <c:v>4.9060263633728027</c:v>
                </c:pt>
                <c:pt idx="11">
                  <c:v>5.3443398475646973</c:v>
                </c:pt>
                <c:pt idx="12">
                  <c:v>4.7865114212036133</c:v>
                </c:pt>
                <c:pt idx="13">
                  <c:v>4.8180522918701172</c:v>
                </c:pt>
                <c:pt idx="14">
                  <c:v>5.0460662841796884</c:v>
                </c:pt>
                <c:pt idx="15">
                  <c:v>4.7317976951599121</c:v>
                </c:pt>
                <c:pt idx="16">
                  <c:v>4.7417917251586914</c:v>
                </c:pt>
                <c:pt idx="17">
                  <c:v>4.782933235168457</c:v>
                </c:pt>
                <c:pt idx="18">
                  <c:v>4.7159180641174316</c:v>
                </c:pt>
                <c:pt idx="19">
                  <c:v>4.797515869140625</c:v>
                </c:pt>
                <c:pt idx="20">
                  <c:v>4.9511590003967294</c:v>
                </c:pt>
                <c:pt idx="21">
                  <c:v>4.9231734275817871</c:v>
                </c:pt>
                <c:pt idx="22">
                  <c:v>4.8496241569519043</c:v>
                </c:pt>
                <c:pt idx="23">
                  <c:v>4.8759770393371582</c:v>
                </c:pt>
                <c:pt idx="24">
                  <c:v>4.9947786331176758</c:v>
                </c:pt>
                <c:pt idx="25">
                  <c:v>4.8295927047729492</c:v>
                </c:pt>
                <c:pt idx="26">
                  <c:v>4.9343185424804688</c:v>
                </c:pt>
                <c:pt idx="27">
                  <c:v>4.8832378387451172</c:v>
                </c:pt>
                <c:pt idx="28">
                  <c:v>4.8567709922790527</c:v>
                </c:pt>
                <c:pt idx="29">
                  <c:v>5.161076545715332</c:v>
                </c:pt>
                <c:pt idx="30">
                  <c:v>4.8704476356506348</c:v>
                </c:pt>
                <c:pt idx="31">
                  <c:v>5.0229630470275879</c:v>
                </c:pt>
                <c:pt idx="32">
                  <c:v>4.8811516761779794</c:v>
                </c:pt>
                <c:pt idx="33">
                  <c:v>4.9002494812011719</c:v>
                </c:pt>
                <c:pt idx="34">
                  <c:v>4.8856515884399414</c:v>
                </c:pt>
                <c:pt idx="35">
                  <c:v>4.7172412872314453</c:v>
                </c:pt>
                <c:pt idx="36">
                  <c:v>3.0613737106323242</c:v>
                </c:pt>
                <c:pt idx="37">
                  <c:v>2.9315121173858638</c:v>
                </c:pt>
                <c:pt idx="38">
                  <c:v>2.9991745948791499</c:v>
                </c:pt>
                <c:pt idx="39">
                  <c:v>2.986493587493896</c:v>
                </c:pt>
                <c:pt idx="40">
                  <c:v>3.0158076286315918</c:v>
                </c:pt>
                <c:pt idx="41">
                  <c:v>3.0912835597991939</c:v>
                </c:pt>
                <c:pt idx="42">
                  <c:v>3.0515139102935791</c:v>
                </c:pt>
                <c:pt idx="43">
                  <c:v>2.90123462677002</c:v>
                </c:pt>
                <c:pt idx="44">
                  <c:v>3.0492420196533199</c:v>
                </c:pt>
                <c:pt idx="45">
                  <c:v>3.009322881698608</c:v>
                </c:pt>
                <c:pt idx="46">
                  <c:v>3.036709070205688</c:v>
                </c:pt>
                <c:pt idx="47">
                  <c:v>2.9144115447998051</c:v>
                </c:pt>
                <c:pt idx="48">
                  <c:v>2.5184719562530522</c:v>
                </c:pt>
                <c:pt idx="49">
                  <c:v>2.5699398517608638</c:v>
                </c:pt>
                <c:pt idx="50">
                  <c:v>2.627782821655273</c:v>
                </c:pt>
                <c:pt idx="51">
                  <c:v>2.598149299621582</c:v>
                </c:pt>
                <c:pt idx="52">
                  <c:v>2.651774406433105</c:v>
                </c:pt>
                <c:pt idx="53">
                  <c:v>2.584795236587524</c:v>
                </c:pt>
                <c:pt idx="54">
                  <c:v>2.6206657886505131</c:v>
                </c:pt>
                <c:pt idx="55">
                  <c:v>2.5101182460784912</c:v>
                </c:pt>
                <c:pt idx="56">
                  <c:v>2.512799978256226</c:v>
                </c:pt>
                <c:pt idx="57">
                  <c:v>2.4722414016723628</c:v>
                </c:pt>
                <c:pt idx="58">
                  <c:v>2.5711920261383061</c:v>
                </c:pt>
                <c:pt idx="59">
                  <c:v>2.5459847450256352</c:v>
                </c:pt>
                <c:pt idx="60">
                  <c:v>2.1581435203552251</c:v>
                </c:pt>
                <c:pt idx="61">
                  <c:v>2.0102756023406978</c:v>
                </c:pt>
                <c:pt idx="62">
                  <c:v>2.0495972633361821</c:v>
                </c:pt>
                <c:pt idx="63">
                  <c:v>2.1547384262084961</c:v>
                </c:pt>
                <c:pt idx="64">
                  <c:v>2.1005978584289551</c:v>
                </c:pt>
                <c:pt idx="65">
                  <c:v>2.1238670349121089</c:v>
                </c:pt>
                <c:pt idx="66">
                  <c:v>1.86988353729248</c:v>
                </c:pt>
                <c:pt idx="67">
                  <c:v>1.8929983377456669</c:v>
                </c:pt>
                <c:pt idx="68">
                  <c:v>1.779615044593811</c:v>
                </c:pt>
                <c:pt idx="69">
                  <c:v>1.850861072540283</c:v>
                </c:pt>
                <c:pt idx="70">
                  <c:v>1.8677686452865601</c:v>
                </c:pt>
                <c:pt idx="71">
                  <c:v>1.8880767822265629</c:v>
                </c:pt>
                <c:pt idx="72">
                  <c:v>1.523361444473267</c:v>
                </c:pt>
                <c:pt idx="73">
                  <c:v>1.493000984191895</c:v>
                </c:pt>
                <c:pt idx="74">
                  <c:v>1.4665548801422119</c:v>
                </c:pt>
                <c:pt idx="75">
                  <c:v>1.345368504524231</c:v>
                </c:pt>
                <c:pt idx="76">
                  <c:v>1.443198561668396</c:v>
                </c:pt>
                <c:pt idx="77">
                  <c:v>1.471607089042664</c:v>
                </c:pt>
                <c:pt idx="78">
                  <c:v>1.361501216888428</c:v>
                </c:pt>
                <c:pt idx="79">
                  <c:v>1.4823920726776121</c:v>
                </c:pt>
                <c:pt idx="80">
                  <c:v>1.4586391448974609</c:v>
                </c:pt>
                <c:pt idx="81">
                  <c:v>1.482542872428894</c:v>
                </c:pt>
                <c:pt idx="82">
                  <c:v>1.444680452346802</c:v>
                </c:pt>
                <c:pt idx="83">
                  <c:v>1.543127655982971</c:v>
                </c:pt>
                <c:pt idx="84">
                  <c:v>1.1070160865783689</c:v>
                </c:pt>
                <c:pt idx="85">
                  <c:v>1.0835521221160891</c:v>
                </c:pt>
                <c:pt idx="86">
                  <c:v>1.0861043930053711</c:v>
                </c:pt>
                <c:pt idx="87">
                  <c:v>1.0522292852401729</c:v>
                </c:pt>
                <c:pt idx="88">
                  <c:v>1.088875889778137</c:v>
                </c:pt>
                <c:pt idx="89">
                  <c:v>1.1398355960845949</c:v>
                </c:pt>
                <c:pt idx="90">
                  <c:v>1.068759441375732</c:v>
                </c:pt>
                <c:pt idx="91">
                  <c:v>1.129563570022583</c:v>
                </c:pt>
                <c:pt idx="92">
                  <c:v>1.04731822013855</c:v>
                </c:pt>
                <c:pt idx="93">
                  <c:v>1.020896911621094</c:v>
                </c:pt>
                <c:pt idx="94">
                  <c:v>1.049097537994385</c:v>
                </c:pt>
                <c:pt idx="95">
                  <c:v>1.070187091827393</c:v>
                </c:pt>
                <c:pt idx="96">
                  <c:v>0.6606985330581665</c:v>
                </c:pt>
                <c:pt idx="97">
                  <c:v>0.61838144063949585</c:v>
                </c:pt>
                <c:pt idx="98">
                  <c:v>0.58214884996414185</c:v>
                </c:pt>
                <c:pt idx="99">
                  <c:v>0.64007508754730225</c:v>
                </c:pt>
                <c:pt idx="100">
                  <c:v>0.63873207569122314</c:v>
                </c:pt>
                <c:pt idx="101">
                  <c:v>0.65404117107391357</c:v>
                </c:pt>
                <c:pt idx="102">
                  <c:v>0.66096675395965576</c:v>
                </c:pt>
                <c:pt idx="103">
                  <c:v>0.66855299472808838</c:v>
                </c:pt>
                <c:pt idx="104">
                  <c:v>0.65429508686065674</c:v>
                </c:pt>
                <c:pt idx="105">
                  <c:v>0.65635991096496582</c:v>
                </c:pt>
              </c:numCache>
            </c:numRef>
          </c:yVal>
          <c:smooth val="0"/>
          <c:extLst>
            <c:ext xmlns:c16="http://schemas.microsoft.com/office/drawing/2014/chart" uri="{C3380CC4-5D6E-409C-BE32-E72D297353CC}">
              <c16:uniqueId val="{00000004-C25C-428D-A22C-F6492110E585}"/>
            </c:ext>
          </c:extLst>
        </c:ser>
        <c:ser>
          <c:idx val="5"/>
          <c:order val="5"/>
          <c:tx>
            <c:v>Transport equipment</c:v>
          </c:tx>
          <c:spPr>
            <a:ln w="28575">
              <a:noFill/>
            </a:ln>
            <a:effectLst/>
          </c:spPr>
          <c:marker>
            <c:symbol val="circle"/>
            <c:size val="2"/>
            <c:spPr>
              <a:solidFill>
                <a:srgbClr val="008000"/>
              </a:solidFill>
              <a:ln w="9525" cap="flat" cmpd="sng">
                <a:solidFill>
                  <a:srgbClr val="008000"/>
                </a:solidFill>
              </a:ln>
              <a:effectLst/>
            </c:spPr>
          </c:marker>
          <c:xVal>
            <c:numRef>
              <c:f>ImportsChartData!$K$2:$K$107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ImportsChartData!$L$2:$L$107</c:f>
              <c:numCache>
                <c:formatCode>General</c:formatCode>
                <c:ptCount val="106"/>
                <c:pt idx="0">
                  <c:v>9.5029001235961914</c:v>
                </c:pt>
                <c:pt idx="1">
                  <c:v>9.5099601745605469</c:v>
                </c:pt>
                <c:pt idx="2">
                  <c:v>9.4565219879150391</c:v>
                </c:pt>
                <c:pt idx="3">
                  <c:v>9.2349138259887695</c:v>
                </c:pt>
                <c:pt idx="4">
                  <c:v>9.4336700439453125</c:v>
                </c:pt>
                <c:pt idx="5">
                  <c:v>9.0888214111328125</c:v>
                </c:pt>
                <c:pt idx="6">
                  <c:v>9.0828857421875</c:v>
                </c:pt>
                <c:pt idx="7">
                  <c:v>9.3850460052490234</c:v>
                </c:pt>
                <c:pt idx="8">
                  <c:v>9.6266231536865234</c:v>
                </c:pt>
                <c:pt idx="9">
                  <c:v>9.25457763671875</c:v>
                </c:pt>
                <c:pt idx="10">
                  <c:v>9.2635383605957031</c:v>
                </c:pt>
                <c:pt idx="11">
                  <c:v>9.658360481262207</c:v>
                </c:pt>
                <c:pt idx="12">
                  <c:v>9.5025234222412109</c:v>
                </c:pt>
                <c:pt idx="13">
                  <c:v>9.2744760513305664</c:v>
                </c:pt>
                <c:pt idx="14">
                  <c:v>9.5238094329833984</c:v>
                </c:pt>
                <c:pt idx="15">
                  <c:v>9.3850078582763672</c:v>
                </c:pt>
                <c:pt idx="16">
                  <c:v>9.4951534271240234</c:v>
                </c:pt>
                <c:pt idx="17">
                  <c:v>9.3721466064453125</c:v>
                </c:pt>
                <c:pt idx="18">
                  <c:v>9.4838714599609375</c:v>
                </c:pt>
                <c:pt idx="19">
                  <c:v>9.4890766143798828</c:v>
                </c:pt>
                <c:pt idx="20">
                  <c:v>9.4574556350708008</c:v>
                </c:pt>
                <c:pt idx="21">
                  <c:v>9.1472549438476563</c:v>
                </c:pt>
                <c:pt idx="22">
                  <c:v>9.5309810638427734</c:v>
                </c:pt>
                <c:pt idx="23">
                  <c:v>9.6880273818969727</c:v>
                </c:pt>
                <c:pt idx="24">
                  <c:v>9.7210750579833984</c:v>
                </c:pt>
                <c:pt idx="25">
                  <c:v>9.7115383148193359</c:v>
                </c:pt>
                <c:pt idx="26">
                  <c:v>9.4434223175048828</c:v>
                </c:pt>
                <c:pt idx="27">
                  <c:v>9.7630519866943359</c:v>
                </c:pt>
                <c:pt idx="28">
                  <c:v>9.9005851745605469</c:v>
                </c:pt>
                <c:pt idx="29">
                  <c:v>9.8429317474365234</c:v>
                </c:pt>
                <c:pt idx="30">
                  <c:v>9.8806486129760742</c:v>
                </c:pt>
                <c:pt idx="31">
                  <c:v>9.6578474044799805</c:v>
                </c:pt>
                <c:pt idx="32">
                  <c:v>9.6885814666748047</c:v>
                </c:pt>
                <c:pt idx="33">
                  <c:v>9.9298410415649414</c:v>
                </c:pt>
                <c:pt idx="34">
                  <c:v>9.8432207107543945</c:v>
                </c:pt>
                <c:pt idx="35">
                  <c:v>9.7295970916748047</c:v>
                </c:pt>
                <c:pt idx="36">
                  <c:v>6.8454399108886719</c:v>
                </c:pt>
                <c:pt idx="37">
                  <c:v>7.1887431144714364</c:v>
                </c:pt>
                <c:pt idx="38">
                  <c:v>6.7138733863830566</c:v>
                </c:pt>
                <c:pt idx="39">
                  <c:v>7.0254178047180176</c:v>
                </c:pt>
                <c:pt idx="40">
                  <c:v>6.770294189453125</c:v>
                </c:pt>
                <c:pt idx="41">
                  <c:v>6.6627407073974609</c:v>
                </c:pt>
                <c:pt idx="42">
                  <c:v>6.7783002853393546</c:v>
                </c:pt>
                <c:pt idx="43">
                  <c:v>6.5676908493041992</c:v>
                </c:pt>
                <c:pt idx="44">
                  <c:v>7.1834301948547363</c:v>
                </c:pt>
                <c:pt idx="45">
                  <c:v>6.9910430908203134</c:v>
                </c:pt>
                <c:pt idx="46">
                  <c:v>6.9886751174926758</c:v>
                </c:pt>
                <c:pt idx="47">
                  <c:v>6.7648200988769531</c:v>
                </c:pt>
                <c:pt idx="48">
                  <c:v>5.7813277244567871</c:v>
                </c:pt>
                <c:pt idx="49">
                  <c:v>5.5501384735107422</c:v>
                </c:pt>
                <c:pt idx="50">
                  <c:v>6.0822234153747559</c:v>
                </c:pt>
                <c:pt idx="51">
                  <c:v>6.0437769889831543</c:v>
                </c:pt>
                <c:pt idx="52">
                  <c:v>5.6110692024230957</c:v>
                </c:pt>
                <c:pt idx="53">
                  <c:v>5.9907746315002441</c:v>
                </c:pt>
                <c:pt idx="54">
                  <c:v>5.7197761535644531</c:v>
                </c:pt>
                <c:pt idx="55">
                  <c:v>5.616178035736084</c:v>
                </c:pt>
                <c:pt idx="56">
                  <c:v>5.8338379859924316</c:v>
                </c:pt>
                <c:pt idx="57">
                  <c:v>5.7951679229736328</c:v>
                </c:pt>
                <c:pt idx="58">
                  <c:v>5.9692440032958984</c:v>
                </c:pt>
                <c:pt idx="59">
                  <c:v>5.8554878234863281</c:v>
                </c:pt>
                <c:pt idx="60">
                  <c:v>4.6416382789611816</c:v>
                </c:pt>
                <c:pt idx="61">
                  <c:v>5.0148086547851563</c:v>
                </c:pt>
                <c:pt idx="62">
                  <c:v>4.8181939125061044</c:v>
                </c:pt>
                <c:pt idx="63">
                  <c:v>4.8208003044128418</c:v>
                </c:pt>
                <c:pt idx="64">
                  <c:v>4.8499755859375</c:v>
                </c:pt>
                <c:pt idx="65">
                  <c:v>5.2703537940979004</c:v>
                </c:pt>
                <c:pt idx="66">
                  <c:v>5.0088949203491211</c:v>
                </c:pt>
                <c:pt idx="67">
                  <c:v>4.8790249824523926</c:v>
                </c:pt>
                <c:pt idx="68">
                  <c:v>4.9678916931152344</c:v>
                </c:pt>
                <c:pt idx="69">
                  <c:v>4.8529582023620614</c:v>
                </c:pt>
                <c:pt idx="70">
                  <c:v>4.7777066230773926</c:v>
                </c:pt>
                <c:pt idx="71">
                  <c:v>4.8769698143005371</c:v>
                </c:pt>
                <c:pt idx="72">
                  <c:v>3.8291010856628418</c:v>
                </c:pt>
                <c:pt idx="73">
                  <c:v>3.817453145980835</c:v>
                </c:pt>
                <c:pt idx="74">
                  <c:v>3.970059871673584</c:v>
                </c:pt>
                <c:pt idx="75">
                  <c:v>2.9588263034820561</c:v>
                </c:pt>
                <c:pt idx="76">
                  <c:v>3.7477977275848389</c:v>
                </c:pt>
                <c:pt idx="77">
                  <c:v>3.733372688293457</c:v>
                </c:pt>
                <c:pt idx="78">
                  <c:v>4.3535900115966797</c:v>
                </c:pt>
                <c:pt idx="79">
                  <c:v>4.0454268455505371</c:v>
                </c:pt>
                <c:pt idx="80">
                  <c:v>3.964192152023315</c:v>
                </c:pt>
                <c:pt idx="81">
                  <c:v>3.850886344909668</c:v>
                </c:pt>
                <c:pt idx="82">
                  <c:v>3.4492731094360352</c:v>
                </c:pt>
                <c:pt idx="83">
                  <c:v>3.589044332504272</c:v>
                </c:pt>
                <c:pt idx="84">
                  <c:v>2.5517599582672119</c:v>
                </c:pt>
                <c:pt idx="85">
                  <c:v>2.3605678081512451</c:v>
                </c:pt>
                <c:pt idx="86">
                  <c:v>2.5091242790222168</c:v>
                </c:pt>
                <c:pt idx="87">
                  <c:v>2.2705855369567871</c:v>
                </c:pt>
                <c:pt idx="88">
                  <c:v>2.484133243560791</c:v>
                </c:pt>
                <c:pt idx="89">
                  <c:v>2.3589940071105961</c:v>
                </c:pt>
                <c:pt idx="90">
                  <c:v>2.566397905349731</c:v>
                </c:pt>
                <c:pt idx="91">
                  <c:v>2.5526084899902339</c:v>
                </c:pt>
                <c:pt idx="92">
                  <c:v>2.599257230758667</c:v>
                </c:pt>
                <c:pt idx="93">
                  <c:v>2.5855259895324711</c:v>
                </c:pt>
                <c:pt idx="94">
                  <c:v>2.4650261402130131</c:v>
                </c:pt>
                <c:pt idx="95">
                  <c:v>2.5746703147888179</c:v>
                </c:pt>
                <c:pt idx="96">
                  <c:v>1.5364775657653811</c:v>
                </c:pt>
                <c:pt idx="97">
                  <c:v>1.5857143402099609</c:v>
                </c:pt>
                <c:pt idx="98">
                  <c:v>1.5608565807342529</c:v>
                </c:pt>
                <c:pt idx="99">
                  <c:v>1.6826648712158201</c:v>
                </c:pt>
                <c:pt idx="100">
                  <c:v>1.748161792755127</c:v>
                </c:pt>
                <c:pt idx="101">
                  <c:v>1.6472764015197749</c:v>
                </c:pt>
                <c:pt idx="102">
                  <c:v>1.676204919815063</c:v>
                </c:pt>
                <c:pt idx="103">
                  <c:v>1.651366591453552</c:v>
                </c:pt>
                <c:pt idx="104">
                  <c:v>1.621921300888062</c:v>
                </c:pt>
                <c:pt idx="105">
                  <c:v>1.713584303855896</c:v>
                </c:pt>
              </c:numCache>
            </c:numRef>
          </c:yVal>
          <c:smooth val="0"/>
          <c:extLst>
            <c:ext xmlns:c16="http://schemas.microsoft.com/office/drawing/2014/chart" uri="{C3380CC4-5D6E-409C-BE32-E72D297353CC}">
              <c16:uniqueId val="{00000005-C25C-428D-A22C-F6492110E585}"/>
            </c:ext>
          </c:extLst>
        </c:ser>
        <c:ser>
          <c:idx val="6"/>
          <c:order val="6"/>
          <c:tx>
            <c:v>July 2014</c:v>
          </c:tx>
          <c:spPr>
            <a:ln w="12700" cmpd="sng">
              <a:solidFill>
                <a:srgbClr val="000000"/>
              </a:solidFill>
            </a:ln>
            <a:effectLst/>
          </c:spPr>
          <c:marker>
            <c:symbol val="none"/>
          </c:marker>
          <c:xVal>
            <c:numRef>
              <c:f>ImportsChartData!$M$2:$M$3</c:f>
              <c:numCache>
                <c:formatCode>General</c:formatCode>
                <c:ptCount val="2"/>
                <c:pt idx="0">
                  <c:v>41821</c:v>
                </c:pt>
                <c:pt idx="1">
                  <c:v>41821</c:v>
                </c:pt>
              </c:numCache>
            </c:numRef>
          </c:xVal>
          <c:yVal>
            <c:numRef>
              <c:f>ImportsChartData!$N$2:$N$3</c:f>
              <c:numCache>
                <c:formatCode>General</c:formatCode>
                <c:ptCount val="2"/>
                <c:pt idx="0">
                  <c:v>0</c:v>
                </c:pt>
                <c:pt idx="1">
                  <c:v>31</c:v>
                </c:pt>
              </c:numCache>
            </c:numRef>
          </c:yVal>
          <c:smooth val="0"/>
          <c:extLst>
            <c:ext xmlns:c16="http://schemas.microsoft.com/office/drawing/2014/chart" uri="{C3380CC4-5D6E-409C-BE32-E72D297353CC}">
              <c16:uniqueId val="{00000006-C25C-428D-A22C-F6492110E585}"/>
            </c:ext>
          </c:extLst>
        </c:ser>
        <c:ser>
          <c:idx val="7"/>
          <c:order val="7"/>
          <c:tx>
            <c:v>Jan 2017</c:v>
          </c:tx>
          <c:spPr>
            <a:ln w="12700" cmpd="sng">
              <a:solidFill>
                <a:srgbClr val="FF0000"/>
              </a:solidFill>
            </a:ln>
            <a:effectLst/>
          </c:spPr>
          <c:marker>
            <c:symbol val="none"/>
          </c:marker>
          <c:xVal>
            <c:numRef>
              <c:f>ImportsChartData!$O$2:$O$3</c:f>
              <c:numCache>
                <c:formatCode>General</c:formatCode>
                <c:ptCount val="2"/>
                <c:pt idx="0">
                  <c:v>42736</c:v>
                </c:pt>
                <c:pt idx="1">
                  <c:v>42736</c:v>
                </c:pt>
              </c:numCache>
            </c:numRef>
          </c:xVal>
          <c:yVal>
            <c:numRef>
              <c:f>ImportsChartData!$P$2:$P$3</c:f>
              <c:numCache>
                <c:formatCode>General</c:formatCode>
                <c:ptCount val="2"/>
                <c:pt idx="0">
                  <c:v>0</c:v>
                </c:pt>
                <c:pt idx="1">
                  <c:v>31</c:v>
                </c:pt>
              </c:numCache>
            </c:numRef>
          </c:yVal>
          <c:smooth val="0"/>
          <c:extLst>
            <c:ext xmlns:c16="http://schemas.microsoft.com/office/drawing/2014/chart" uri="{C3380CC4-5D6E-409C-BE32-E72D297353CC}">
              <c16:uniqueId val="{00000007-C25C-428D-A22C-F6492110E585}"/>
            </c:ext>
          </c:extLst>
        </c:ser>
        <c:dLbls>
          <c:showLegendKey val="0"/>
          <c:showVal val="0"/>
          <c:showCatName val="0"/>
          <c:showSerName val="0"/>
          <c:showPercent val="0"/>
          <c:showBubbleSize val="0"/>
        </c:dLbls>
        <c:axId val="63841191"/>
        <c:axId val="18580039"/>
      </c:scatterChart>
      <c:valAx>
        <c:axId val="63841191"/>
        <c:scaling>
          <c:orientation val="minMax"/>
          <c:max val="45200"/>
          <c:min val="41640"/>
        </c:scaling>
        <c:delete val="0"/>
        <c:axPos val="b"/>
        <c:numFmt formatCode="yyyy&quot;m&quot;m" sourceLinked="0"/>
        <c:majorTickMark val="out"/>
        <c:minorTickMark val="none"/>
        <c:tickLblPos val="nextTo"/>
        <c:spPr>
          <a:ln w="12700" cap="flat" cmpd="sng">
            <a:solidFill>
              <a:srgbClr val="000000"/>
            </a:solidFill>
          </a:ln>
          <a:effectLst/>
        </c:spPr>
        <c:txPr>
          <a:bodyPr rot="-2700000" vert="horz" wrap="square"/>
          <a:lstStyle/>
          <a:p>
            <a:pPr>
              <a:defRPr lang="en-US" sz="1000" u="none" baseline="0">
                <a:latin typeface="Times New Roman" panose="02020603050405020304" pitchFamily="18" charset="0"/>
                <a:cs typeface="Times New Roman" panose="02020603050405020304" pitchFamily="18" charset="0"/>
              </a:defRPr>
            </a:pPr>
            <a:endParaRPr lang="en-US"/>
          </a:p>
        </c:txPr>
        <c:crossAx val="18580039"/>
        <c:crosses val="autoZero"/>
        <c:crossBetween val="midCat"/>
        <c:majorUnit val="274"/>
      </c:valAx>
      <c:valAx>
        <c:axId val="18580039"/>
        <c:scaling>
          <c:orientation val="minMax"/>
          <c:max val="31"/>
          <c:min val="-1"/>
        </c:scaling>
        <c:delete val="0"/>
        <c:axPos val="l"/>
        <c:numFmt formatCode="0" sourceLinked="0"/>
        <c:majorTickMark val="out"/>
        <c:minorTickMark val="none"/>
        <c:tickLblPos val="nextTo"/>
        <c:spPr>
          <a:ln w="12700" cap="flat" cmpd="sng">
            <a:solidFill>
              <a:srgbClr val="000000"/>
            </a:solidFill>
          </a:ln>
          <a:effectLst/>
        </c:spPr>
        <c:crossAx val="63841191"/>
        <c:crosses val="autoZero"/>
        <c:crossBetween val="midCat"/>
        <c:majorUnit val="10"/>
      </c:valAx>
      <c:spPr>
        <a:solidFill>
          <a:schemeClr val="bg1"/>
        </a:solidFill>
        <a:ln w="12700" cap="flat" cmpd="sng">
          <a:solidFill>
            <a:srgbClr val="000000"/>
          </a:solidFill>
        </a:ln>
        <a:effectLst/>
      </c:spPr>
    </c:plotArea>
    <c:plotVisOnly val="1"/>
    <c:dispBlanksAs val="gap"/>
    <c:showDLblsOverMax val="0"/>
  </c:chart>
  <c:spPr>
    <a:solidFill>
      <a:srgbClr val="FFFFFF"/>
    </a:solidFill>
    <a:ln w="12700" cap="flat" cmpd="sng">
      <a:solidFill>
        <a:srgbClr val="000000"/>
      </a:solidFill>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Other sections</c:v>
          </c:tx>
          <c:spPr>
            <a:ln w="28575">
              <a:noFill/>
            </a:ln>
            <a:effectLst/>
          </c:spPr>
          <c:marker>
            <c:symbol val="circle"/>
            <c:size val="3"/>
            <c:spPr>
              <a:solidFill>
                <a:srgbClr val="BFBFBF"/>
              </a:solidFill>
              <a:ln w="9525" cap="flat" cmpd="sng">
                <a:solidFill>
                  <a:srgbClr val="BFBFBF"/>
                </a:solidFill>
              </a:ln>
              <a:effectLst/>
            </c:spPr>
          </c:marker>
          <c:xVal>
            <c:numRef>
              <c:f>ExportsChartData!$A$2:$A$1518</c:f>
              <c:numCache>
                <c:formatCode>General</c:formatCode>
                <c:ptCount val="1517"/>
                <c:pt idx="0">
                  <c:v>41640</c:v>
                </c:pt>
                <c:pt idx="1">
                  <c:v>41640</c:v>
                </c:pt>
                <c:pt idx="2">
                  <c:v>41640</c:v>
                </c:pt>
                <c:pt idx="3">
                  <c:v>41640</c:v>
                </c:pt>
                <c:pt idx="4">
                  <c:v>41640</c:v>
                </c:pt>
                <c:pt idx="5">
                  <c:v>41640</c:v>
                </c:pt>
                <c:pt idx="6">
                  <c:v>41640</c:v>
                </c:pt>
                <c:pt idx="7">
                  <c:v>41640</c:v>
                </c:pt>
                <c:pt idx="8">
                  <c:v>41640</c:v>
                </c:pt>
                <c:pt idx="9">
                  <c:v>41671</c:v>
                </c:pt>
                <c:pt idx="10">
                  <c:v>41671</c:v>
                </c:pt>
                <c:pt idx="11">
                  <c:v>41671</c:v>
                </c:pt>
                <c:pt idx="12">
                  <c:v>41671</c:v>
                </c:pt>
                <c:pt idx="13">
                  <c:v>41671</c:v>
                </c:pt>
                <c:pt idx="14">
                  <c:v>41671</c:v>
                </c:pt>
                <c:pt idx="15">
                  <c:v>41671</c:v>
                </c:pt>
                <c:pt idx="16">
                  <c:v>41671</c:v>
                </c:pt>
                <c:pt idx="17">
                  <c:v>41671</c:v>
                </c:pt>
                <c:pt idx="18">
                  <c:v>41671</c:v>
                </c:pt>
                <c:pt idx="19">
                  <c:v>41671</c:v>
                </c:pt>
                <c:pt idx="20">
                  <c:v>41699</c:v>
                </c:pt>
                <c:pt idx="21">
                  <c:v>41699</c:v>
                </c:pt>
                <c:pt idx="22">
                  <c:v>41699</c:v>
                </c:pt>
                <c:pt idx="23">
                  <c:v>41699</c:v>
                </c:pt>
                <c:pt idx="24">
                  <c:v>41699</c:v>
                </c:pt>
                <c:pt idx="25">
                  <c:v>41699</c:v>
                </c:pt>
                <c:pt idx="26">
                  <c:v>41699</c:v>
                </c:pt>
                <c:pt idx="27">
                  <c:v>41699</c:v>
                </c:pt>
                <c:pt idx="28">
                  <c:v>41699</c:v>
                </c:pt>
                <c:pt idx="29">
                  <c:v>41699</c:v>
                </c:pt>
                <c:pt idx="30">
                  <c:v>41699</c:v>
                </c:pt>
                <c:pt idx="31">
                  <c:v>41699</c:v>
                </c:pt>
                <c:pt idx="32">
                  <c:v>41699</c:v>
                </c:pt>
                <c:pt idx="33">
                  <c:v>41730</c:v>
                </c:pt>
                <c:pt idx="34">
                  <c:v>41730</c:v>
                </c:pt>
                <c:pt idx="35">
                  <c:v>41730</c:v>
                </c:pt>
                <c:pt idx="36">
                  <c:v>41730</c:v>
                </c:pt>
                <c:pt idx="37">
                  <c:v>41730</c:v>
                </c:pt>
                <c:pt idx="38">
                  <c:v>41730</c:v>
                </c:pt>
                <c:pt idx="39">
                  <c:v>41730</c:v>
                </c:pt>
                <c:pt idx="40">
                  <c:v>41730</c:v>
                </c:pt>
                <c:pt idx="41">
                  <c:v>41730</c:v>
                </c:pt>
                <c:pt idx="42">
                  <c:v>41730</c:v>
                </c:pt>
                <c:pt idx="43">
                  <c:v>41760</c:v>
                </c:pt>
                <c:pt idx="44">
                  <c:v>41760</c:v>
                </c:pt>
                <c:pt idx="45">
                  <c:v>41760</c:v>
                </c:pt>
                <c:pt idx="46">
                  <c:v>41760</c:v>
                </c:pt>
                <c:pt idx="47">
                  <c:v>41760</c:v>
                </c:pt>
                <c:pt idx="48">
                  <c:v>41760</c:v>
                </c:pt>
                <c:pt idx="49">
                  <c:v>41760</c:v>
                </c:pt>
                <c:pt idx="50">
                  <c:v>41760</c:v>
                </c:pt>
                <c:pt idx="51">
                  <c:v>41760</c:v>
                </c:pt>
                <c:pt idx="52">
                  <c:v>41760</c:v>
                </c:pt>
                <c:pt idx="53">
                  <c:v>41791</c:v>
                </c:pt>
                <c:pt idx="54">
                  <c:v>41791</c:v>
                </c:pt>
                <c:pt idx="55">
                  <c:v>41791</c:v>
                </c:pt>
                <c:pt idx="56">
                  <c:v>41791</c:v>
                </c:pt>
                <c:pt idx="57">
                  <c:v>41791</c:v>
                </c:pt>
                <c:pt idx="58">
                  <c:v>41791</c:v>
                </c:pt>
                <c:pt idx="59">
                  <c:v>41791</c:v>
                </c:pt>
                <c:pt idx="60">
                  <c:v>41791</c:v>
                </c:pt>
                <c:pt idx="61">
                  <c:v>41791</c:v>
                </c:pt>
                <c:pt idx="62">
                  <c:v>41791</c:v>
                </c:pt>
                <c:pt idx="63">
                  <c:v>41821</c:v>
                </c:pt>
                <c:pt idx="64">
                  <c:v>41821</c:v>
                </c:pt>
                <c:pt idx="65">
                  <c:v>41821</c:v>
                </c:pt>
                <c:pt idx="66">
                  <c:v>41821</c:v>
                </c:pt>
                <c:pt idx="67">
                  <c:v>41821</c:v>
                </c:pt>
                <c:pt idx="68">
                  <c:v>41821</c:v>
                </c:pt>
                <c:pt idx="69">
                  <c:v>41821</c:v>
                </c:pt>
                <c:pt idx="70">
                  <c:v>41821</c:v>
                </c:pt>
                <c:pt idx="71">
                  <c:v>41821</c:v>
                </c:pt>
                <c:pt idx="72">
                  <c:v>41821</c:v>
                </c:pt>
                <c:pt idx="73">
                  <c:v>41821</c:v>
                </c:pt>
                <c:pt idx="74">
                  <c:v>41852</c:v>
                </c:pt>
                <c:pt idx="75">
                  <c:v>41852</c:v>
                </c:pt>
                <c:pt idx="76">
                  <c:v>41852</c:v>
                </c:pt>
                <c:pt idx="77">
                  <c:v>41852</c:v>
                </c:pt>
                <c:pt idx="78">
                  <c:v>41852</c:v>
                </c:pt>
                <c:pt idx="79">
                  <c:v>41852</c:v>
                </c:pt>
                <c:pt idx="80">
                  <c:v>41852</c:v>
                </c:pt>
                <c:pt idx="81">
                  <c:v>41852</c:v>
                </c:pt>
                <c:pt idx="82">
                  <c:v>41852</c:v>
                </c:pt>
                <c:pt idx="83">
                  <c:v>41852</c:v>
                </c:pt>
                <c:pt idx="84">
                  <c:v>41852</c:v>
                </c:pt>
                <c:pt idx="85">
                  <c:v>41852</c:v>
                </c:pt>
                <c:pt idx="86">
                  <c:v>41883</c:v>
                </c:pt>
                <c:pt idx="87">
                  <c:v>41883</c:v>
                </c:pt>
                <c:pt idx="88">
                  <c:v>41883</c:v>
                </c:pt>
                <c:pt idx="89">
                  <c:v>41883</c:v>
                </c:pt>
                <c:pt idx="90">
                  <c:v>41883</c:v>
                </c:pt>
                <c:pt idx="91">
                  <c:v>41883</c:v>
                </c:pt>
                <c:pt idx="92">
                  <c:v>41883</c:v>
                </c:pt>
                <c:pt idx="93">
                  <c:v>41883</c:v>
                </c:pt>
                <c:pt idx="94">
                  <c:v>41883</c:v>
                </c:pt>
                <c:pt idx="95">
                  <c:v>41883</c:v>
                </c:pt>
                <c:pt idx="96">
                  <c:v>41883</c:v>
                </c:pt>
                <c:pt idx="97">
                  <c:v>41883</c:v>
                </c:pt>
                <c:pt idx="98">
                  <c:v>41913</c:v>
                </c:pt>
                <c:pt idx="99">
                  <c:v>41913</c:v>
                </c:pt>
                <c:pt idx="100">
                  <c:v>41913</c:v>
                </c:pt>
                <c:pt idx="101">
                  <c:v>41913</c:v>
                </c:pt>
                <c:pt idx="102">
                  <c:v>41913</c:v>
                </c:pt>
                <c:pt idx="103">
                  <c:v>41913</c:v>
                </c:pt>
                <c:pt idx="104">
                  <c:v>41913</c:v>
                </c:pt>
                <c:pt idx="105">
                  <c:v>41913</c:v>
                </c:pt>
                <c:pt idx="106">
                  <c:v>41913</c:v>
                </c:pt>
                <c:pt idx="107">
                  <c:v>41913</c:v>
                </c:pt>
                <c:pt idx="108">
                  <c:v>41913</c:v>
                </c:pt>
                <c:pt idx="109">
                  <c:v>41944</c:v>
                </c:pt>
                <c:pt idx="110">
                  <c:v>41944</c:v>
                </c:pt>
                <c:pt idx="111">
                  <c:v>41944</c:v>
                </c:pt>
                <c:pt idx="112">
                  <c:v>41944</c:v>
                </c:pt>
                <c:pt idx="113">
                  <c:v>41944</c:v>
                </c:pt>
                <c:pt idx="114">
                  <c:v>41944</c:v>
                </c:pt>
                <c:pt idx="115">
                  <c:v>41944</c:v>
                </c:pt>
                <c:pt idx="116">
                  <c:v>41944</c:v>
                </c:pt>
                <c:pt idx="117">
                  <c:v>41944</c:v>
                </c:pt>
                <c:pt idx="118">
                  <c:v>41944</c:v>
                </c:pt>
                <c:pt idx="119">
                  <c:v>41944</c:v>
                </c:pt>
                <c:pt idx="120">
                  <c:v>41944</c:v>
                </c:pt>
                <c:pt idx="121">
                  <c:v>41974</c:v>
                </c:pt>
                <c:pt idx="122">
                  <c:v>41974</c:v>
                </c:pt>
                <c:pt idx="123">
                  <c:v>41974</c:v>
                </c:pt>
                <c:pt idx="124">
                  <c:v>41974</c:v>
                </c:pt>
                <c:pt idx="125">
                  <c:v>41974</c:v>
                </c:pt>
                <c:pt idx="126">
                  <c:v>41974</c:v>
                </c:pt>
                <c:pt idx="127">
                  <c:v>41974</c:v>
                </c:pt>
                <c:pt idx="128">
                  <c:v>41974</c:v>
                </c:pt>
                <c:pt idx="129">
                  <c:v>41974</c:v>
                </c:pt>
                <c:pt idx="130">
                  <c:v>41974</c:v>
                </c:pt>
                <c:pt idx="131">
                  <c:v>41974</c:v>
                </c:pt>
                <c:pt idx="132">
                  <c:v>41974</c:v>
                </c:pt>
                <c:pt idx="133">
                  <c:v>42005</c:v>
                </c:pt>
                <c:pt idx="134">
                  <c:v>42005</c:v>
                </c:pt>
                <c:pt idx="135">
                  <c:v>42005</c:v>
                </c:pt>
                <c:pt idx="136">
                  <c:v>42005</c:v>
                </c:pt>
                <c:pt idx="137">
                  <c:v>42005</c:v>
                </c:pt>
                <c:pt idx="138">
                  <c:v>42005</c:v>
                </c:pt>
                <c:pt idx="139">
                  <c:v>42005</c:v>
                </c:pt>
                <c:pt idx="140">
                  <c:v>42005</c:v>
                </c:pt>
                <c:pt idx="141">
                  <c:v>42005</c:v>
                </c:pt>
                <c:pt idx="142">
                  <c:v>42005</c:v>
                </c:pt>
                <c:pt idx="143">
                  <c:v>42036</c:v>
                </c:pt>
                <c:pt idx="144">
                  <c:v>42036</c:v>
                </c:pt>
                <c:pt idx="145">
                  <c:v>42036</c:v>
                </c:pt>
                <c:pt idx="146">
                  <c:v>42036</c:v>
                </c:pt>
                <c:pt idx="147">
                  <c:v>42036</c:v>
                </c:pt>
                <c:pt idx="148">
                  <c:v>42036</c:v>
                </c:pt>
                <c:pt idx="149">
                  <c:v>42036</c:v>
                </c:pt>
                <c:pt idx="150">
                  <c:v>42036</c:v>
                </c:pt>
                <c:pt idx="151">
                  <c:v>42036</c:v>
                </c:pt>
                <c:pt idx="152">
                  <c:v>42036</c:v>
                </c:pt>
                <c:pt idx="153">
                  <c:v>42036</c:v>
                </c:pt>
                <c:pt idx="154">
                  <c:v>42064</c:v>
                </c:pt>
                <c:pt idx="155">
                  <c:v>42064</c:v>
                </c:pt>
                <c:pt idx="156">
                  <c:v>42064</c:v>
                </c:pt>
                <c:pt idx="157">
                  <c:v>42064</c:v>
                </c:pt>
                <c:pt idx="158">
                  <c:v>42064</c:v>
                </c:pt>
                <c:pt idx="159">
                  <c:v>42064</c:v>
                </c:pt>
                <c:pt idx="160">
                  <c:v>42064</c:v>
                </c:pt>
                <c:pt idx="161">
                  <c:v>42064</c:v>
                </c:pt>
                <c:pt idx="162">
                  <c:v>42064</c:v>
                </c:pt>
                <c:pt idx="163">
                  <c:v>42064</c:v>
                </c:pt>
                <c:pt idx="164">
                  <c:v>42064</c:v>
                </c:pt>
                <c:pt idx="165">
                  <c:v>42095</c:v>
                </c:pt>
                <c:pt idx="166">
                  <c:v>42095</c:v>
                </c:pt>
                <c:pt idx="167">
                  <c:v>42095</c:v>
                </c:pt>
                <c:pt idx="168">
                  <c:v>42095</c:v>
                </c:pt>
                <c:pt idx="169">
                  <c:v>42095</c:v>
                </c:pt>
                <c:pt idx="170">
                  <c:v>42095</c:v>
                </c:pt>
                <c:pt idx="171">
                  <c:v>42095</c:v>
                </c:pt>
                <c:pt idx="172">
                  <c:v>42095</c:v>
                </c:pt>
                <c:pt idx="173">
                  <c:v>42095</c:v>
                </c:pt>
                <c:pt idx="174">
                  <c:v>42095</c:v>
                </c:pt>
                <c:pt idx="175">
                  <c:v>42095</c:v>
                </c:pt>
                <c:pt idx="176">
                  <c:v>42125</c:v>
                </c:pt>
                <c:pt idx="177">
                  <c:v>42125</c:v>
                </c:pt>
                <c:pt idx="178">
                  <c:v>42125</c:v>
                </c:pt>
                <c:pt idx="179">
                  <c:v>42125</c:v>
                </c:pt>
                <c:pt idx="180">
                  <c:v>42125</c:v>
                </c:pt>
                <c:pt idx="181">
                  <c:v>42125</c:v>
                </c:pt>
                <c:pt idx="182">
                  <c:v>42125</c:v>
                </c:pt>
                <c:pt idx="183">
                  <c:v>42125</c:v>
                </c:pt>
                <c:pt idx="184">
                  <c:v>42125</c:v>
                </c:pt>
                <c:pt idx="185">
                  <c:v>42125</c:v>
                </c:pt>
                <c:pt idx="186">
                  <c:v>42125</c:v>
                </c:pt>
                <c:pt idx="187">
                  <c:v>42125</c:v>
                </c:pt>
                <c:pt idx="188">
                  <c:v>42125</c:v>
                </c:pt>
                <c:pt idx="189">
                  <c:v>42156</c:v>
                </c:pt>
                <c:pt idx="190">
                  <c:v>42156</c:v>
                </c:pt>
                <c:pt idx="191">
                  <c:v>42156</c:v>
                </c:pt>
                <c:pt idx="192">
                  <c:v>42156</c:v>
                </c:pt>
                <c:pt idx="193">
                  <c:v>42156</c:v>
                </c:pt>
                <c:pt idx="194">
                  <c:v>42156</c:v>
                </c:pt>
                <c:pt idx="195">
                  <c:v>42156</c:v>
                </c:pt>
                <c:pt idx="196">
                  <c:v>42156</c:v>
                </c:pt>
                <c:pt idx="197">
                  <c:v>42156</c:v>
                </c:pt>
                <c:pt idx="198">
                  <c:v>42156</c:v>
                </c:pt>
                <c:pt idx="199">
                  <c:v>42156</c:v>
                </c:pt>
                <c:pt idx="200">
                  <c:v>42186</c:v>
                </c:pt>
                <c:pt idx="201">
                  <c:v>42186</c:v>
                </c:pt>
                <c:pt idx="202">
                  <c:v>42186</c:v>
                </c:pt>
                <c:pt idx="203">
                  <c:v>42186</c:v>
                </c:pt>
                <c:pt idx="204">
                  <c:v>42186</c:v>
                </c:pt>
                <c:pt idx="205">
                  <c:v>42186</c:v>
                </c:pt>
                <c:pt idx="206">
                  <c:v>42186</c:v>
                </c:pt>
                <c:pt idx="207">
                  <c:v>42186</c:v>
                </c:pt>
                <c:pt idx="208">
                  <c:v>42186</c:v>
                </c:pt>
                <c:pt idx="209">
                  <c:v>42186</c:v>
                </c:pt>
                <c:pt idx="210">
                  <c:v>42186</c:v>
                </c:pt>
                <c:pt idx="211">
                  <c:v>42186</c:v>
                </c:pt>
                <c:pt idx="212">
                  <c:v>42217</c:v>
                </c:pt>
                <c:pt idx="213">
                  <c:v>42217</c:v>
                </c:pt>
                <c:pt idx="214">
                  <c:v>42217</c:v>
                </c:pt>
                <c:pt idx="215">
                  <c:v>42217</c:v>
                </c:pt>
                <c:pt idx="216">
                  <c:v>42217</c:v>
                </c:pt>
                <c:pt idx="217">
                  <c:v>42217</c:v>
                </c:pt>
                <c:pt idx="218">
                  <c:v>42217</c:v>
                </c:pt>
                <c:pt idx="219">
                  <c:v>42217</c:v>
                </c:pt>
                <c:pt idx="220">
                  <c:v>42217</c:v>
                </c:pt>
                <c:pt idx="221">
                  <c:v>42217</c:v>
                </c:pt>
                <c:pt idx="222">
                  <c:v>42248</c:v>
                </c:pt>
                <c:pt idx="223">
                  <c:v>42248</c:v>
                </c:pt>
                <c:pt idx="224">
                  <c:v>42248</c:v>
                </c:pt>
                <c:pt idx="225">
                  <c:v>42248</c:v>
                </c:pt>
                <c:pt idx="226">
                  <c:v>42248</c:v>
                </c:pt>
                <c:pt idx="227">
                  <c:v>42248</c:v>
                </c:pt>
                <c:pt idx="228">
                  <c:v>42248</c:v>
                </c:pt>
                <c:pt idx="229">
                  <c:v>42248</c:v>
                </c:pt>
                <c:pt idx="230">
                  <c:v>42248</c:v>
                </c:pt>
                <c:pt idx="231">
                  <c:v>42248</c:v>
                </c:pt>
                <c:pt idx="232">
                  <c:v>42248</c:v>
                </c:pt>
                <c:pt idx="233">
                  <c:v>42278</c:v>
                </c:pt>
                <c:pt idx="234">
                  <c:v>42278</c:v>
                </c:pt>
                <c:pt idx="235">
                  <c:v>42278</c:v>
                </c:pt>
                <c:pt idx="236">
                  <c:v>42278</c:v>
                </c:pt>
                <c:pt idx="237">
                  <c:v>42278</c:v>
                </c:pt>
                <c:pt idx="238">
                  <c:v>42278</c:v>
                </c:pt>
                <c:pt idx="239">
                  <c:v>42278</c:v>
                </c:pt>
                <c:pt idx="240">
                  <c:v>42278</c:v>
                </c:pt>
                <c:pt idx="241">
                  <c:v>42278</c:v>
                </c:pt>
                <c:pt idx="242">
                  <c:v>42278</c:v>
                </c:pt>
                <c:pt idx="243">
                  <c:v>42278</c:v>
                </c:pt>
                <c:pt idx="244">
                  <c:v>42309</c:v>
                </c:pt>
                <c:pt idx="245">
                  <c:v>42309</c:v>
                </c:pt>
                <c:pt idx="246">
                  <c:v>42309</c:v>
                </c:pt>
                <c:pt idx="247">
                  <c:v>42309</c:v>
                </c:pt>
                <c:pt idx="248">
                  <c:v>42309</c:v>
                </c:pt>
                <c:pt idx="249">
                  <c:v>42309</c:v>
                </c:pt>
                <c:pt idx="250">
                  <c:v>42309</c:v>
                </c:pt>
                <c:pt idx="251">
                  <c:v>42309</c:v>
                </c:pt>
                <c:pt idx="252">
                  <c:v>42309</c:v>
                </c:pt>
                <c:pt idx="253">
                  <c:v>42309</c:v>
                </c:pt>
                <c:pt idx="254">
                  <c:v>42309</c:v>
                </c:pt>
                <c:pt idx="255">
                  <c:v>42339</c:v>
                </c:pt>
                <c:pt idx="256">
                  <c:v>42339</c:v>
                </c:pt>
                <c:pt idx="257">
                  <c:v>42339</c:v>
                </c:pt>
                <c:pt idx="258">
                  <c:v>42339</c:v>
                </c:pt>
                <c:pt idx="259">
                  <c:v>42339</c:v>
                </c:pt>
                <c:pt idx="260">
                  <c:v>42339</c:v>
                </c:pt>
                <c:pt idx="261">
                  <c:v>42339</c:v>
                </c:pt>
                <c:pt idx="262">
                  <c:v>42339</c:v>
                </c:pt>
                <c:pt idx="263">
                  <c:v>42339</c:v>
                </c:pt>
                <c:pt idx="264">
                  <c:v>42339</c:v>
                </c:pt>
                <c:pt idx="265">
                  <c:v>42370</c:v>
                </c:pt>
                <c:pt idx="266">
                  <c:v>42370</c:v>
                </c:pt>
                <c:pt idx="267">
                  <c:v>42370</c:v>
                </c:pt>
                <c:pt idx="268">
                  <c:v>42370</c:v>
                </c:pt>
                <c:pt idx="269">
                  <c:v>42370</c:v>
                </c:pt>
                <c:pt idx="270">
                  <c:v>42370</c:v>
                </c:pt>
                <c:pt idx="271">
                  <c:v>42370</c:v>
                </c:pt>
                <c:pt idx="272">
                  <c:v>42370</c:v>
                </c:pt>
                <c:pt idx="273">
                  <c:v>42370</c:v>
                </c:pt>
                <c:pt idx="274">
                  <c:v>42370</c:v>
                </c:pt>
                <c:pt idx="275">
                  <c:v>42401</c:v>
                </c:pt>
                <c:pt idx="276">
                  <c:v>42401</c:v>
                </c:pt>
                <c:pt idx="277">
                  <c:v>42401</c:v>
                </c:pt>
                <c:pt idx="278">
                  <c:v>42401</c:v>
                </c:pt>
                <c:pt idx="279">
                  <c:v>42401</c:v>
                </c:pt>
                <c:pt idx="280">
                  <c:v>42401</c:v>
                </c:pt>
                <c:pt idx="281">
                  <c:v>42401</c:v>
                </c:pt>
                <c:pt idx="282">
                  <c:v>42401</c:v>
                </c:pt>
                <c:pt idx="283">
                  <c:v>42401</c:v>
                </c:pt>
                <c:pt idx="284">
                  <c:v>42401</c:v>
                </c:pt>
                <c:pt idx="285">
                  <c:v>42430</c:v>
                </c:pt>
                <c:pt idx="286">
                  <c:v>42430</c:v>
                </c:pt>
                <c:pt idx="287">
                  <c:v>42430</c:v>
                </c:pt>
                <c:pt idx="288">
                  <c:v>42430</c:v>
                </c:pt>
                <c:pt idx="289">
                  <c:v>42430</c:v>
                </c:pt>
                <c:pt idx="290">
                  <c:v>42430</c:v>
                </c:pt>
                <c:pt idx="291">
                  <c:v>42430</c:v>
                </c:pt>
                <c:pt idx="292">
                  <c:v>42430</c:v>
                </c:pt>
                <c:pt idx="293">
                  <c:v>42430</c:v>
                </c:pt>
                <c:pt idx="294">
                  <c:v>42430</c:v>
                </c:pt>
                <c:pt idx="295">
                  <c:v>42430</c:v>
                </c:pt>
                <c:pt idx="296">
                  <c:v>42430</c:v>
                </c:pt>
                <c:pt idx="297">
                  <c:v>42430</c:v>
                </c:pt>
                <c:pt idx="298">
                  <c:v>42461</c:v>
                </c:pt>
                <c:pt idx="299">
                  <c:v>42461</c:v>
                </c:pt>
                <c:pt idx="300">
                  <c:v>42461</c:v>
                </c:pt>
                <c:pt idx="301">
                  <c:v>42461</c:v>
                </c:pt>
                <c:pt idx="302">
                  <c:v>42461</c:v>
                </c:pt>
                <c:pt idx="303">
                  <c:v>42461</c:v>
                </c:pt>
                <c:pt idx="304">
                  <c:v>42461</c:v>
                </c:pt>
                <c:pt idx="305">
                  <c:v>42461</c:v>
                </c:pt>
                <c:pt idx="306">
                  <c:v>42461</c:v>
                </c:pt>
                <c:pt idx="307">
                  <c:v>42461</c:v>
                </c:pt>
                <c:pt idx="308">
                  <c:v>42461</c:v>
                </c:pt>
                <c:pt idx="309">
                  <c:v>42461</c:v>
                </c:pt>
                <c:pt idx="310">
                  <c:v>42461</c:v>
                </c:pt>
                <c:pt idx="311">
                  <c:v>42491</c:v>
                </c:pt>
                <c:pt idx="312">
                  <c:v>42491</c:v>
                </c:pt>
                <c:pt idx="313">
                  <c:v>42491</c:v>
                </c:pt>
                <c:pt idx="314">
                  <c:v>42491</c:v>
                </c:pt>
                <c:pt idx="315">
                  <c:v>42491</c:v>
                </c:pt>
                <c:pt idx="316">
                  <c:v>42491</c:v>
                </c:pt>
                <c:pt idx="317">
                  <c:v>42491</c:v>
                </c:pt>
                <c:pt idx="318">
                  <c:v>42491</c:v>
                </c:pt>
                <c:pt idx="319">
                  <c:v>42491</c:v>
                </c:pt>
                <c:pt idx="320">
                  <c:v>42491</c:v>
                </c:pt>
                <c:pt idx="321">
                  <c:v>42491</c:v>
                </c:pt>
                <c:pt idx="322">
                  <c:v>42522</c:v>
                </c:pt>
                <c:pt idx="323">
                  <c:v>42522</c:v>
                </c:pt>
                <c:pt idx="324">
                  <c:v>42522</c:v>
                </c:pt>
                <c:pt idx="325">
                  <c:v>42522</c:v>
                </c:pt>
                <c:pt idx="326">
                  <c:v>42522</c:v>
                </c:pt>
                <c:pt idx="327">
                  <c:v>42522</c:v>
                </c:pt>
                <c:pt idx="328">
                  <c:v>42522</c:v>
                </c:pt>
                <c:pt idx="329">
                  <c:v>42522</c:v>
                </c:pt>
                <c:pt idx="330">
                  <c:v>42522</c:v>
                </c:pt>
                <c:pt idx="331">
                  <c:v>42522</c:v>
                </c:pt>
                <c:pt idx="332">
                  <c:v>42522</c:v>
                </c:pt>
                <c:pt idx="333">
                  <c:v>42522</c:v>
                </c:pt>
                <c:pt idx="334">
                  <c:v>42522</c:v>
                </c:pt>
                <c:pt idx="335">
                  <c:v>42552</c:v>
                </c:pt>
                <c:pt idx="336">
                  <c:v>42552</c:v>
                </c:pt>
                <c:pt idx="337">
                  <c:v>42552</c:v>
                </c:pt>
                <c:pt idx="338">
                  <c:v>42552</c:v>
                </c:pt>
                <c:pt idx="339">
                  <c:v>42552</c:v>
                </c:pt>
                <c:pt idx="340">
                  <c:v>42552</c:v>
                </c:pt>
                <c:pt idx="341">
                  <c:v>42552</c:v>
                </c:pt>
                <c:pt idx="342">
                  <c:v>42552</c:v>
                </c:pt>
                <c:pt idx="343">
                  <c:v>42552</c:v>
                </c:pt>
                <c:pt idx="344">
                  <c:v>42552</c:v>
                </c:pt>
                <c:pt idx="345">
                  <c:v>42552</c:v>
                </c:pt>
                <c:pt idx="346">
                  <c:v>42552</c:v>
                </c:pt>
                <c:pt idx="347">
                  <c:v>42583</c:v>
                </c:pt>
                <c:pt idx="348">
                  <c:v>42583</c:v>
                </c:pt>
                <c:pt idx="349">
                  <c:v>42583</c:v>
                </c:pt>
                <c:pt idx="350">
                  <c:v>42583</c:v>
                </c:pt>
                <c:pt idx="351">
                  <c:v>42583</c:v>
                </c:pt>
                <c:pt idx="352">
                  <c:v>42583</c:v>
                </c:pt>
                <c:pt idx="353">
                  <c:v>42583</c:v>
                </c:pt>
                <c:pt idx="354">
                  <c:v>42583</c:v>
                </c:pt>
                <c:pt idx="355">
                  <c:v>42583</c:v>
                </c:pt>
                <c:pt idx="356">
                  <c:v>42583</c:v>
                </c:pt>
                <c:pt idx="357">
                  <c:v>42583</c:v>
                </c:pt>
                <c:pt idx="358">
                  <c:v>42583</c:v>
                </c:pt>
                <c:pt idx="359">
                  <c:v>42583</c:v>
                </c:pt>
                <c:pt idx="360">
                  <c:v>42614</c:v>
                </c:pt>
                <c:pt idx="361">
                  <c:v>42614</c:v>
                </c:pt>
                <c:pt idx="362">
                  <c:v>42614</c:v>
                </c:pt>
                <c:pt idx="363">
                  <c:v>42614</c:v>
                </c:pt>
                <c:pt idx="364">
                  <c:v>42614</c:v>
                </c:pt>
                <c:pt idx="365">
                  <c:v>42614</c:v>
                </c:pt>
                <c:pt idx="366">
                  <c:v>42614</c:v>
                </c:pt>
                <c:pt idx="367">
                  <c:v>42614</c:v>
                </c:pt>
                <c:pt idx="368">
                  <c:v>42614</c:v>
                </c:pt>
                <c:pt idx="369">
                  <c:v>42614</c:v>
                </c:pt>
                <c:pt idx="370">
                  <c:v>42644</c:v>
                </c:pt>
                <c:pt idx="371">
                  <c:v>42644</c:v>
                </c:pt>
                <c:pt idx="372">
                  <c:v>42644</c:v>
                </c:pt>
                <c:pt idx="373">
                  <c:v>42644</c:v>
                </c:pt>
                <c:pt idx="374">
                  <c:v>42644</c:v>
                </c:pt>
                <c:pt idx="375">
                  <c:v>42644</c:v>
                </c:pt>
                <c:pt idx="376">
                  <c:v>42644</c:v>
                </c:pt>
                <c:pt idx="377">
                  <c:v>42644</c:v>
                </c:pt>
                <c:pt idx="378">
                  <c:v>42644</c:v>
                </c:pt>
                <c:pt idx="379">
                  <c:v>42644</c:v>
                </c:pt>
                <c:pt idx="380">
                  <c:v>42644</c:v>
                </c:pt>
                <c:pt idx="381">
                  <c:v>42675</c:v>
                </c:pt>
                <c:pt idx="382">
                  <c:v>42675</c:v>
                </c:pt>
                <c:pt idx="383">
                  <c:v>42675</c:v>
                </c:pt>
                <c:pt idx="384">
                  <c:v>42675</c:v>
                </c:pt>
                <c:pt idx="385">
                  <c:v>42675</c:v>
                </c:pt>
                <c:pt idx="386">
                  <c:v>42675</c:v>
                </c:pt>
                <c:pt idx="387">
                  <c:v>42675</c:v>
                </c:pt>
                <c:pt idx="388">
                  <c:v>42675</c:v>
                </c:pt>
                <c:pt idx="389">
                  <c:v>42675</c:v>
                </c:pt>
                <c:pt idx="390">
                  <c:v>42675</c:v>
                </c:pt>
                <c:pt idx="391">
                  <c:v>42675</c:v>
                </c:pt>
                <c:pt idx="392">
                  <c:v>42675</c:v>
                </c:pt>
                <c:pt idx="393">
                  <c:v>42675</c:v>
                </c:pt>
                <c:pt idx="394">
                  <c:v>42705</c:v>
                </c:pt>
                <c:pt idx="395">
                  <c:v>42705</c:v>
                </c:pt>
                <c:pt idx="396">
                  <c:v>42705</c:v>
                </c:pt>
                <c:pt idx="397">
                  <c:v>42705</c:v>
                </c:pt>
                <c:pt idx="398">
                  <c:v>42705</c:v>
                </c:pt>
                <c:pt idx="399">
                  <c:v>42705</c:v>
                </c:pt>
                <c:pt idx="400">
                  <c:v>42705</c:v>
                </c:pt>
                <c:pt idx="401">
                  <c:v>42705</c:v>
                </c:pt>
                <c:pt idx="402">
                  <c:v>42705</c:v>
                </c:pt>
                <c:pt idx="403">
                  <c:v>42705</c:v>
                </c:pt>
                <c:pt idx="404">
                  <c:v>42705</c:v>
                </c:pt>
                <c:pt idx="405">
                  <c:v>42705</c:v>
                </c:pt>
                <c:pt idx="406">
                  <c:v>42736</c:v>
                </c:pt>
                <c:pt idx="407">
                  <c:v>42736</c:v>
                </c:pt>
                <c:pt idx="408">
                  <c:v>42736</c:v>
                </c:pt>
                <c:pt idx="409">
                  <c:v>42736</c:v>
                </c:pt>
                <c:pt idx="410">
                  <c:v>42736</c:v>
                </c:pt>
                <c:pt idx="411">
                  <c:v>42736</c:v>
                </c:pt>
                <c:pt idx="412">
                  <c:v>42736</c:v>
                </c:pt>
                <c:pt idx="413">
                  <c:v>42736</c:v>
                </c:pt>
                <c:pt idx="414">
                  <c:v>42736</c:v>
                </c:pt>
                <c:pt idx="415">
                  <c:v>42736</c:v>
                </c:pt>
                <c:pt idx="416">
                  <c:v>42736</c:v>
                </c:pt>
                <c:pt idx="417">
                  <c:v>42736</c:v>
                </c:pt>
                <c:pt idx="418">
                  <c:v>42736</c:v>
                </c:pt>
                <c:pt idx="419">
                  <c:v>42736</c:v>
                </c:pt>
                <c:pt idx="420">
                  <c:v>42736</c:v>
                </c:pt>
                <c:pt idx="421">
                  <c:v>42736</c:v>
                </c:pt>
                <c:pt idx="422">
                  <c:v>42767</c:v>
                </c:pt>
                <c:pt idx="423">
                  <c:v>42767</c:v>
                </c:pt>
                <c:pt idx="424">
                  <c:v>42767</c:v>
                </c:pt>
                <c:pt idx="425">
                  <c:v>42767</c:v>
                </c:pt>
                <c:pt idx="426">
                  <c:v>42767</c:v>
                </c:pt>
                <c:pt idx="427">
                  <c:v>42767</c:v>
                </c:pt>
                <c:pt idx="428">
                  <c:v>42767</c:v>
                </c:pt>
                <c:pt idx="429">
                  <c:v>42767</c:v>
                </c:pt>
                <c:pt idx="430">
                  <c:v>42767</c:v>
                </c:pt>
                <c:pt idx="431">
                  <c:v>42767</c:v>
                </c:pt>
                <c:pt idx="432">
                  <c:v>42767</c:v>
                </c:pt>
                <c:pt idx="433">
                  <c:v>42767</c:v>
                </c:pt>
                <c:pt idx="434">
                  <c:v>42767</c:v>
                </c:pt>
                <c:pt idx="435">
                  <c:v>42767</c:v>
                </c:pt>
                <c:pt idx="436">
                  <c:v>42767</c:v>
                </c:pt>
                <c:pt idx="437">
                  <c:v>42767</c:v>
                </c:pt>
                <c:pt idx="438">
                  <c:v>42795</c:v>
                </c:pt>
                <c:pt idx="439">
                  <c:v>42795</c:v>
                </c:pt>
                <c:pt idx="440">
                  <c:v>42795</c:v>
                </c:pt>
                <c:pt idx="441">
                  <c:v>42795</c:v>
                </c:pt>
                <c:pt idx="442">
                  <c:v>42795</c:v>
                </c:pt>
                <c:pt idx="443">
                  <c:v>42795</c:v>
                </c:pt>
                <c:pt idx="444">
                  <c:v>42795</c:v>
                </c:pt>
                <c:pt idx="445">
                  <c:v>42795</c:v>
                </c:pt>
                <c:pt idx="446">
                  <c:v>42795</c:v>
                </c:pt>
                <c:pt idx="447">
                  <c:v>42795</c:v>
                </c:pt>
                <c:pt idx="448">
                  <c:v>42795</c:v>
                </c:pt>
                <c:pt idx="449">
                  <c:v>42795</c:v>
                </c:pt>
                <c:pt idx="450">
                  <c:v>42795</c:v>
                </c:pt>
                <c:pt idx="451">
                  <c:v>42795</c:v>
                </c:pt>
                <c:pt idx="452">
                  <c:v>42795</c:v>
                </c:pt>
                <c:pt idx="453">
                  <c:v>42795</c:v>
                </c:pt>
                <c:pt idx="454">
                  <c:v>42826</c:v>
                </c:pt>
                <c:pt idx="455">
                  <c:v>42826</c:v>
                </c:pt>
                <c:pt idx="456">
                  <c:v>42826</c:v>
                </c:pt>
                <c:pt idx="457">
                  <c:v>42826</c:v>
                </c:pt>
                <c:pt idx="458">
                  <c:v>42826</c:v>
                </c:pt>
                <c:pt idx="459">
                  <c:v>42826</c:v>
                </c:pt>
                <c:pt idx="460">
                  <c:v>42826</c:v>
                </c:pt>
                <c:pt idx="461">
                  <c:v>42826</c:v>
                </c:pt>
                <c:pt idx="462">
                  <c:v>42826</c:v>
                </c:pt>
                <c:pt idx="463">
                  <c:v>42826</c:v>
                </c:pt>
                <c:pt idx="464">
                  <c:v>42826</c:v>
                </c:pt>
                <c:pt idx="465">
                  <c:v>42826</c:v>
                </c:pt>
                <c:pt idx="466">
                  <c:v>42826</c:v>
                </c:pt>
                <c:pt idx="467">
                  <c:v>42826</c:v>
                </c:pt>
                <c:pt idx="468">
                  <c:v>42826</c:v>
                </c:pt>
                <c:pt idx="469">
                  <c:v>42826</c:v>
                </c:pt>
                <c:pt idx="470">
                  <c:v>42856</c:v>
                </c:pt>
                <c:pt idx="471">
                  <c:v>42856</c:v>
                </c:pt>
                <c:pt idx="472">
                  <c:v>42856</c:v>
                </c:pt>
                <c:pt idx="473">
                  <c:v>42856</c:v>
                </c:pt>
                <c:pt idx="474">
                  <c:v>42856</c:v>
                </c:pt>
                <c:pt idx="475">
                  <c:v>42856</c:v>
                </c:pt>
                <c:pt idx="476">
                  <c:v>42856</c:v>
                </c:pt>
                <c:pt idx="477">
                  <c:v>42856</c:v>
                </c:pt>
                <c:pt idx="478">
                  <c:v>42856</c:v>
                </c:pt>
                <c:pt idx="479">
                  <c:v>42856</c:v>
                </c:pt>
                <c:pt idx="480">
                  <c:v>42856</c:v>
                </c:pt>
                <c:pt idx="481">
                  <c:v>42856</c:v>
                </c:pt>
                <c:pt idx="482">
                  <c:v>42856</c:v>
                </c:pt>
                <c:pt idx="483">
                  <c:v>42856</c:v>
                </c:pt>
                <c:pt idx="484">
                  <c:v>42856</c:v>
                </c:pt>
                <c:pt idx="485">
                  <c:v>42856</c:v>
                </c:pt>
                <c:pt idx="486">
                  <c:v>42887</c:v>
                </c:pt>
                <c:pt idx="487">
                  <c:v>42887</c:v>
                </c:pt>
                <c:pt idx="488">
                  <c:v>42887</c:v>
                </c:pt>
                <c:pt idx="489">
                  <c:v>42887</c:v>
                </c:pt>
                <c:pt idx="490">
                  <c:v>42887</c:v>
                </c:pt>
                <c:pt idx="491">
                  <c:v>42887</c:v>
                </c:pt>
                <c:pt idx="492">
                  <c:v>42887</c:v>
                </c:pt>
                <c:pt idx="493">
                  <c:v>42887</c:v>
                </c:pt>
                <c:pt idx="494">
                  <c:v>42887</c:v>
                </c:pt>
                <c:pt idx="495">
                  <c:v>42887</c:v>
                </c:pt>
                <c:pt idx="496">
                  <c:v>42887</c:v>
                </c:pt>
                <c:pt idx="497">
                  <c:v>42887</c:v>
                </c:pt>
                <c:pt idx="498">
                  <c:v>42887</c:v>
                </c:pt>
                <c:pt idx="499">
                  <c:v>42887</c:v>
                </c:pt>
                <c:pt idx="500">
                  <c:v>42887</c:v>
                </c:pt>
                <c:pt idx="501">
                  <c:v>42887</c:v>
                </c:pt>
                <c:pt idx="502">
                  <c:v>42917</c:v>
                </c:pt>
                <c:pt idx="503">
                  <c:v>42917</c:v>
                </c:pt>
                <c:pt idx="504">
                  <c:v>42917</c:v>
                </c:pt>
                <c:pt idx="505">
                  <c:v>42917</c:v>
                </c:pt>
                <c:pt idx="506">
                  <c:v>42917</c:v>
                </c:pt>
                <c:pt idx="507">
                  <c:v>42917</c:v>
                </c:pt>
                <c:pt idx="508">
                  <c:v>42917</c:v>
                </c:pt>
                <c:pt idx="509">
                  <c:v>42917</c:v>
                </c:pt>
                <c:pt idx="510">
                  <c:v>42917</c:v>
                </c:pt>
                <c:pt idx="511">
                  <c:v>42917</c:v>
                </c:pt>
                <c:pt idx="512">
                  <c:v>42917</c:v>
                </c:pt>
                <c:pt idx="513">
                  <c:v>42917</c:v>
                </c:pt>
                <c:pt idx="514">
                  <c:v>42917</c:v>
                </c:pt>
                <c:pt idx="515">
                  <c:v>42917</c:v>
                </c:pt>
                <c:pt idx="516">
                  <c:v>42917</c:v>
                </c:pt>
                <c:pt idx="517">
                  <c:v>42917</c:v>
                </c:pt>
                <c:pt idx="518">
                  <c:v>42948</c:v>
                </c:pt>
                <c:pt idx="519">
                  <c:v>42948</c:v>
                </c:pt>
                <c:pt idx="520">
                  <c:v>42948</c:v>
                </c:pt>
                <c:pt idx="521">
                  <c:v>42948</c:v>
                </c:pt>
                <c:pt idx="522">
                  <c:v>42948</c:v>
                </c:pt>
                <c:pt idx="523">
                  <c:v>42948</c:v>
                </c:pt>
                <c:pt idx="524">
                  <c:v>42948</c:v>
                </c:pt>
                <c:pt idx="525">
                  <c:v>42948</c:v>
                </c:pt>
                <c:pt idx="526">
                  <c:v>42948</c:v>
                </c:pt>
                <c:pt idx="527">
                  <c:v>42948</c:v>
                </c:pt>
                <c:pt idx="528">
                  <c:v>42948</c:v>
                </c:pt>
                <c:pt idx="529">
                  <c:v>42948</c:v>
                </c:pt>
                <c:pt idx="530">
                  <c:v>42948</c:v>
                </c:pt>
                <c:pt idx="531">
                  <c:v>42948</c:v>
                </c:pt>
                <c:pt idx="532">
                  <c:v>42948</c:v>
                </c:pt>
                <c:pt idx="533">
                  <c:v>42948</c:v>
                </c:pt>
                <c:pt idx="534">
                  <c:v>42979</c:v>
                </c:pt>
                <c:pt idx="535">
                  <c:v>42979</c:v>
                </c:pt>
                <c:pt idx="536">
                  <c:v>42979</c:v>
                </c:pt>
                <c:pt idx="537">
                  <c:v>42979</c:v>
                </c:pt>
                <c:pt idx="538">
                  <c:v>42979</c:v>
                </c:pt>
                <c:pt idx="539">
                  <c:v>42979</c:v>
                </c:pt>
                <c:pt idx="540">
                  <c:v>42979</c:v>
                </c:pt>
                <c:pt idx="541">
                  <c:v>42979</c:v>
                </c:pt>
                <c:pt idx="542">
                  <c:v>42979</c:v>
                </c:pt>
                <c:pt idx="543">
                  <c:v>42979</c:v>
                </c:pt>
                <c:pt idx="544">
                  <c:v>42979</c:v>
                </c:pt>
                <c:pt idx="545">
                  <c:v>42979</c:v>
                </c:pt>
                <c:pt idx="546">
                  <c:v>42979</c:v>
                </c:pt>
                <c:pt idx="547">
                  <c:v>42979</c:v>
                </c:pt>
                <c:pt idx="548">
                  <c:v>42979</c:v>
                </c:pt>
                <c:pt idx="549">
                  <c:v>42979</c:v>
                </c:pt>
                <c:pt idx="550">
                  <c:v>43009</c:v>
                </c:pt>
                <c:pt idx="551">
                  <c:v>43009</c:v>
                </c:pt>
                <c:pt idx="552">
                  <c:v>43009</c:v>
                </c:pt>
                <c:pt idx="553">
                  <c:v>43009</c:v>
                </c:pt>
                <c:pt idx="554">
                  <c:v>43009</c:v>
                </c:pt>
                <c:pt idx="555">
                  <c:v>43009</c:v>
                </c:pt>
                <c:pt idx="556">
                  <c:v>43009</c:v>
                </c:pt>
                <c:pt idx="557">
                  <c:v>43009</c:v>
                </c:pt>
                <c:pt idx="558">
                  <c:v>43009</c:v>
                </c:pt>
                <c:pt idx="559">
                  <c:v>43009</c:v>
                </c:pt>
                <c:pt idx="560">
                  <c:v>43009</c:v>
                </c:pt>
                <c:pt idx="561">
                  <c:v>43009</c:v>
                </c:pt>
                <c:pt idx="562">
                  <c:v>43009</c:v>
                </c:pt>
                <c:pt idx="563">
                  <c:v>43009</c:v>
                </c:pt>
                <c:pt idx="564">
                  <c:v>43009</c:v>
                </c:pt>
                <c:pt idx="565">
                  <c:v>43009</c:v>
                </c:pt>
                <c:pt idx="566">
                  <c:v>43040</c:v>
                </c:pt>
                <c:pt idx="567">
                  <c:v>43040</c:v>
                </c:pt>
                <c:pt idx="568">
                  <c:v>43040</c:v>
                </c:pt>
                <c:pt idx="569">
                  <c:v>43040</c:v>
                </c:pt>
                <c:pt idx="570">
                  <c:v>43040</c:v>
                </c:pt>
                <c:pt idx="571">
                  <c:v>43040</c:v>
                </c:pt>
                <c:pt idx="572">
                  <c:v>43040</c:v>
                </c:pt>
                <c:pt idx="573">
                  <c:v>43040</c:v>
                </c:pt>
                <c:pt idx="574">
                  <c:v>43040</c:v>
                </c:pt>
                <c:pt idx="575">
                  <c:v>43040</c:v>
                </c:pt>
                <c:pt idx="576">
                  <c:v>43040</c:v>
                </c:pt>
                <c:pt idx="577">
                  <c:v>43040</c:v>
                </c:pt>
                <c:pt idx="578">
                  <c:v>43040</c:v>
                </c:pt>
                <c:pt idx="579">
                  <c:v>43040</c:v>
                </c:pt>
                <c:pt idx="580">
                  <c:v>43040</c:v>
                </c:pt>
                <c:pt idx="581">
                  <c:v>43040</c:v>
                </c:pt>
                <c:pt idx="582">
                  <c:v>43070</c:v>
                </c:pt>
                <c:pt idx="583">
                  <c:v>43070</c:v>
                </c:pt>
                <c:pt idx="584">
                  <c:v>43070</c:v>
                </c:pt>
                <c:pt idx="585">
                  <c:v>43070</c:v>
                </c:pt>
                <c:pt idx="586">
                  <c:v>43070</c:v>
                </c:pt>
                <c:pt idx="587">
                  <c:v>43070</c:v>
                </c:pt>
                <c:pt idx="588">
                  <c:v>43070</c:v>
                </c:pt>
                <c:pt idx="589">
                  <c:v>43070</c:v>
                </c:pt>
                <c:pt idx="590">
                  <c:v>43070</c:v>
                </c:pt>
                <c:pt idx="591">
                  <c:v>43070</c:v>
                </c:pt>
                <c:pt idx="592">
                  <c:v>43070</c:v>
                </c:pt>
                <c:pt idx="593">
                  <c:v>43070</c:v>
                </c:pt>
                <c:pt idx="594">
                  <c:v>43070</c:v>
                </c:pt>
                <c:pt idx="595">
                  <c:v>43070</c:v>
                </c:pt>
                <c:pt idx="596">
                  <c:v>43070</c:v>
                </c:pt>
                <c:pt idx="597">
                  <c:v>43070</c:v>
                </c:pt>
                <c:pt idx="598">
                  <c:v>43101</c:v>
                </c:pt>
                <c:pt idx="599">
                  <c:v>43101</c:v>
                </c:pt>
                <c:pt idx="600">
                  <c:v>43101</c:v>
                </c:pt>
                <c:pt idx="601">
                  <c:v>43101</c:v>
                </c:pt>
                <c:pt idx="602">
                  <c:v>43101</c:v>
                </c:pt>
                <c:pt idx="603">
                  <c:v>43101</c:v>
                </c:pt>
                <c:pt idx="604">
                  <c:v>43101</c:v>
                </c:pt>
                <c:pt idx="605">
                  <c:v>43101</c:v>
                </c:pt>
                <c:pt idx="606">
                  <c:v>43101</c:v>
                </c:pt>
                <c:pt idx="607">
                  <c:v>43101</c:v>
                </c:pt>
                <c:pt idx="608">
                  <c:v>43101</c:v>
                </c:pt>
                <c:pt idx="609">
                  <c:v>43101</c:v>
                </c:pt>
                <c:pt idx="610">
                  <c:v>43101</c:v>
                </c:pt>
                <c:pt idx="611">
                  <c:v>43101</c:v>
                </c:pt>
                <c:pt idx="612">
                  <c:v>43101</c:v>
                </c:pt>
                <c:pt idx="613">
                  <c:v>43101</c:v>
                </c:pt>
                <c:pt idx="614">
                  <c:v>43132</c:v>
                </c:pt>
                <c:pt idx="615">
                  <c:v>43132</c:v>
                </c:pt>
                <c:pt idx="616">
                  <c:v>43132</c:v>
                </c:pt>
                <c:pt idx="617">
                  <c:v>43132</c:v>
                </c:pt>
                <c:pt idx="618">
                  <c:v>43132</c:v>
                </c:pt>
                <c:pt idx="619">
                  <c:v>43132</c:v>
                </c:pt>
                <c:pt idx="620">
                  <c:v>43132</c:v>
                </c:pt>
                <c:pt idx="621">
                  <c:v>43132</c:v>
                </c:pt>
                <c:pt idx="622">
                  <c:v>43132</c:v>
                </c:pt>
                <c:pt idx="623">
                  <c:v>43132</c:v>
                </c:pt>
                <c:pt idx="624">
                  <c:v>43132</c:v>
                </c:pt>
                <c:pt idx="625">
                  <c:v>43132</c:v>
                </c:pt>
                <c:pt idx="626">
                  <c:v>43132</c:v>
                </c:pt>
                <c:pt idx="627">
                  <c:v>43132</c:v>
                </c:pt>
                <c:pt idx="628">
                  <c:v>43132</c:v>
                </c:pt>
                <c:pt idx="629">
                  <c:v>43160</c:v>
                </c:pt>
                <c:pt idx="630">
                  <c:v>43160</c:v>
                </c:pt>
                <c:pt idx="631">
                  <c:v>43160</c:v>
                </c:pt>
                <c:pt idx="632">
                  <c:v>43160</c:v>
                </c:pt>
                <c:pt idx="633">
                  <c:v>43160</c:v>
                </c:pt>
                <c:pt idx="634">
                  <c:v>43160</c:v>
                </c:pt>
                <c:pt idx="635">
                  <c:v>43160</c:v>
                </c:pt>
                <c:pt idx="636">
                  <c:v>43160</c:v>
                </c:pt>
                <c:pt idx="637">
                  <c:v>43160</c:v>
                </c:pt>
                <c:pt idx="638">
                  <c:v>43160</c:v>
                </c:pt>
                <c:pt idx="639">
                  <c:v>43160</c:v>
                </c:pt>
                <c:pt idx="640">
                  <c:v>43160</c:v>
                </c:pt>
                <c:pt idx="641">
                  <c:v>43160</c:v>
                </c:pt>
                <c:pt idx="642">
                  <c:v>43160</c:v>
                </c:pt>
                <c:pt idx="643">
                  <c:v>43160</c:v>
                </c:pt>
                <c:pt idx="644">
                  <c:v>43160</c:v>
                </c:pt>
                <c:pt idx="645">
                  <c:v>43191</c:v>
                </c:pt>
                <c:pt idx="646">
                  <c:v>43191</c:v>
                </c:pt>
                <c:pt idx="647">
                  <c:v>43191</c:v>
                </c:pt>
                <c:pt idx="648">
                  <c:v>43191</c:v>
                </c:pt>
                <c:pt idx="649">
                  <c:v>43191</c:v>
                </c:pt>
                <c:pt idx="650">
                  <c:v>43191</c:v>
                </c:pt>
                <c:pt idx="651">
                  <c:v>43191</c:v>
                </c:pt>
                <c:pt idx="652">
                  <c:v>43191</c:v>
                </c:pt>
                <c:pt idx="653">
                  <c:v>43191</c:v>
                </c:pt>
                <c:pt idx="654">
                  <c:v>43191</c:v>
                </c:pt>
                <c:pt idx="655">
                  <c:v>43191</c:v>
                </c:pt>
                <c:pt idx="656">
                  <c:v>43191</c:v>
                </c:pt>
                <c:pt idx="657">
                  <c:v>43191</c:v>
                </c:pt>
                <c:pt idx="658">
                  <c:v>43191</c:v>
                </c:pt>
                <c:pt idx="659">
                  <c:v>43191</c:v>
                </c:pt>
                <c:pt idx="660">
                  <c:v>43191</c:v>
                </c:pt>
                <c:pt idx="661">
                  <c:v>43221</c:v>
                </c:pt>
                <c:pt idx="662">
                  <c:v>43221</c:v>
                </c:pt>
                <c:pt idx="663">
                  <c:v>43221</c:v>
                </c:pt>
                <c:pt idx="664">
                  <c:v>43221</c:v>
                </c:pt>
                <c:pt idx="665">
                  <c:v>43221</c:v>
                </c:pt>
                <c:pt idx="666">
                  <c:v>43221</c:v>
                </c:pt>
                <c:pt idx="667">
                  <c:v>43221</c:v>
                </c:pt>
                <c:pt idx="668">
                  <c:v>43221</c:v>
                </c:pt>
                <c:pt idx="669">
                  <c:v>43221</c:v>
                </c:pt>
                <c:pt idx="670">
                  <c:v>43221</c:v>
                </c:pt>
                <c:pt idx="671">
                  <c:v>43221</c:v>
                </c:pt>
                <c:pt idx="672">
                  <c:v>43221</c:v>
                </c:pt>
                <c:pt idx="673">
                  <c:v>43221</c:v>
                </c:pt>
                <c:pt idx="674">
                  <c:v>43221</c:v>
                </c:pt>
                <c:pt idx="675">
                  <c:v>43221</c:v>
                </c:pt>
                <c:pt idx="676">
                  <c:v>43221</c:v>
                </c:pt>
                <c:pt idx="677">
                  <c:v>43252</c:v>
                </c:pt>
                <c:pt idx="678">
                  <c:v>43252</c:v>
                </c:pt>
                <c:pt idx="679">
                  <c:v>43252</c:v>
                </c:pt>
                <c:pt idx="680">
                  <c:v>43252</c:v>
                </c:pt>
                <c:pt idx="681">
                  <c:v>43252</c:v>
                </c:pt>
                <c:pt idx="682">
                  <c:v>43252</c:v>
                </c:pt>
                <c:pt idx="683">
                  <c:v>43252</c:v>
                </c:pt>
                <c:pt idx="684">
                  <c:v>43252</c:v>
                </c:pt>
                <c:pt idx="685">
                  <c:v>43252</c:v>
                </c:pt>
                <c:pt idx="686">
                  <c:v>43252</c:v>
                </c:pt>
                <c:pt idx="687">
                  <c:v>43252</c:v>
                </c:pt>
                <c:pt idx="688">
                  <c:v>43252</c:v>
                </c:pt>
                <c:pt idx="689">
                  <c:v>43252</c:v>
                </c:pt>
                <c:pt idx="690">
                  <c:v>43252</c:v>
                </c:pt>
                <c:pt idx="691">
                  <c:v>43252</c:v>
                </c:pt>
                <c:pt idx="692">
                  <c:v>43252</c:v>
                </c:pt>
                <c:pt idx="693">
                  <c:v>43282</c:v>
                </c:pt>
                <c:pt idx="694">
                  <c:v>43282</c:v>
                </c:pt>
                <c:pt idx="695">
                  <c:v>43282</c:v>
                </c:pt>
                <c:pt idx="696">
                  <c:v>43282</c:v>
                </c:pt>
                <c:pt idx="697">
                  <c:v>43282</c:v>
                </c:pt>
                <c:pt idx="698">
                  <c:v>43282</c:v>
                </c:pt>
                <c:pt idx="699">
                  <c:v>43282</c:v>
                </c:pt>
                <c:pt idx="700">
                  <c:v>43282</c:v>
                </c:pt>
                <c:pt idx="701">
                  <c:v>43282</c:v>
                </c:pt>
                <c:pt idx="702">
                  <c:v>43282</c:v>
                </c:pt>
                <c:pt idx="703">
                  <c:v>43282</c:v>
                </c:pt>
                <c:pt idx="704">
                  <c:v>43282</c:v>
                </c:pt>
                <c:pt idx="705">
                  <c:v>43282</c:v>
                </c:pt>
                <c:pt idx="706">
                  <c:v>43282</c:v>
                </c:pt>
                <c:pt idx="707">
                  <c:v>43282</c:v>
                </c:pt>
                <c:pt idx="708">
                  <c:v>43282</c:v>
                </c:pt>
                <c:pt idx="709">
                  <c:v>43313</c:v>
                </c:pt>
                <c:pt idx="710">
                  <c:v>43313</c:v>
                </c:pt>
                <c:pt idx="711">
                  <c:v>43313</c:v>
                </c:pt>
                <c:pt idx="712">
                  <c:v>43313</c:v>
                </c:pt>
                <c:pt idx="713">
                  <c:v>43313</c:v>
                </c:pt>
                <c:pt idx="714">
                  <c:v>43313</c:v>
                </c:pt>
                <c:pt idx="715">
                  <c:v>43313</c:v>
                </c:pt>
                <c:pt idx="716">
                  <c:v>43313</c:v>
                </c:pt>
                <c:pt idx="717">
                  <c:v>43313</c:v>
                </c:pt>
                <c:pt idx="718">
                  <c:v>43313</c:v>
                </c:pt>
                <c:pt idx="719">
                  <c:v>43313</c:v>
                </c:pt>
                <c:pt idx="720">
                  <c:v>43313</c:v>
                </c:pt>
                <c:pt idx="721">
                  <c:v>43313</c:v>
                </c:pt>
                <c:pt idx="722">
                  <c:v>43313</c:v>
                </c:pt>
                <c:pt idx="723">
                  <c:v>43313</c:v>
                </c:pt>
                <c:pt idx="724">
                  <c:v>43313</c:v>
                </c:pt>
                <c:pt idx="725">
                  <c:v>43344</c:v>
                </c:pt>
                <c:pt idx="726">
                  <c:v>43344</c:v>
                </c:pt>
                <c:pt idx="727">
                  <c:v>43344</c:v>
                </c:pt>
                <c:pt idx="728">
                  <c:v>43344</c:v>
                </c:pt>
                <c:pt idx="729">
                  <c:v>43344</c:v>
                </c:pt>
                <c:pt idx="730">
                  <c:v>43344</c:v>
                </c:pt>
                <c:pt idx="731">
                  <c:v>43344</c:v>
                </c:pt>
                <c:pt idx="732">
                  <c:v>43344</c:v>
                </c:pt>
                <c:pt idx="733">
                  <c:v>43344</c:v>
                </c:pt>
                <c:pt idx="734">
                  <c:v>43344</c:v>
                </c:pt>
                <c:pt idx="735">
                  <c:v>43344</c:v>
                </c:pt>
                <c:pt idx="736">
                  <c:v>43344</c:v>
                </c:pt>
                <c:pt idx="737">
                  <c:v>43344</c:v>
                </c:pt>
                <c:pt idx="738">
                  <c:v>43344</c:v>
                </c:pt>
                <c:pt idx="739">
                  <c:v>43344</c:v>
                </c:pt>
                <c:pt idx="740">
                  <c:v>43344</c:v>
                </c:pt>
                <c:pt idx="741">
                  <c:v>43374</c:v>
                </c:pt>
                <c:pt idx="742">
                  <c:v>43374</c:v>
                </c:pt>
                <c:pt idx="743">
                  <c:v>43374</c:v>
                </c:pt>
                <c:pt idx="744">
                  <c:v>43374</c:v>
                </c:pt>
                <c:pt idx="745">
                  <c:v>43374</c:v>
                </c:pt>
                <c:pt idx="746">
                  <c:v>43374</c:v>
                </c:pt>
                <c:pt idx="747">
                  <c:v>43374</c:v>
                </c:pt>
                <c:pt idx="748">
                  <c:v>43374</c:v>
                </c:pt>
                <c:pt idx="749">
                  <c:v>43374</c:v>
                </c:pt>
                <c:pt idx="750">
                  <c:v>43374</c:v>
                </c:pt>
                <c:pt idx="751">
                  <c:v>43374</c:v>
                </c:pt>
                <c:pt idx="752">
                  <c:v>43374</c:v>
                </c:pt>
                <c:pt idx="753">
                  <c:v>43374</c:v>
                </c:pt>
                <c:pt idx="754">
                  <c:v>43374</c:v>
                </c:pt>
                <c:pt idx="755">
                  <c:v>43374</c:v>
                </c:pt>
                <c:pt idx="756">
                  <c:v>43374</c:v>
                </c:pt>
                <c:pt idx="757">
                  <c:v>43405</c:v>
                </c:pt>
                <c:pt idx="758">
                  <c:v>43405</c:v>
                </c:pt>
                <c:pt idx="759">
                  <c:v>43405</c:v>
                </c:pt>
                <c:pt idx="760">
                  <c:v>43405</c:v>
                </c:pt>
                <c:pt idx="761">
                  <c:v>43405</c:v>
                </c:pt>
                <c:pt idx="762">
                  <c:v>43405</c:v>
                </c:pt>
                <c:pt idx="763">
                  <c:v>43405</c:v>
                </c:pt>
                <c:pt idx="764">
                  <c:v>43405</c:v>
                </c:pt>
                <c:pt idx="765">
                  <c:v>43405</c:v>
                </c:pt>
                <c:pt idx="766">
                  <c:v>43405</c:v>
                </c:pt>
                <c:pt idx="767">
                  <c:v>43405</c:v>
                </c:pt>
                <c:pt idx="768">
                  <c:v>43405</c:v>
                </c:pt>
                <c:pt idx="769">
                  <c:v>43405</c:v>
                </c:pt>
                <c:pt idx="770">
                  <c:v>43405</c:v>
                </c:pt>
                <c:pt idx="771">
                  <c:v>43405</c:v>
                </c:pt>
                <c:pt idx="772">
                  <c:v>43405</c:v>
                </c:pt>
                <c:pt idx="773">
                  <c:v>43435</c:v>
                </c:pt>
                <c:pt idx="774">
                  <c:v>43435</c:v>
                </c:pt>
                <c:pt idx="775">
                  <c:v>43435</c:v>
                </c:pt>
                <c:pt idx="776">
                  <c:v>43435</c:v>
                </c:pt>
                <c:pt idx="777">
                  <c:v>43435</c:v>
                </c:pt>
                <c:pt idx="778">
                  <c:v>43435</c:v>
                </c:pt>
                <c:pt idx="779">
                  <c:v>43435</c:v>
                </c:pt>
                <c:pt idx="780">
                  <c:v>43435</c:v>
                </c:pt>
                <c:pt idx="781">
                  <c:v>43435</c:v>
                </c:pt>
                <c:pt idx="782">
                  <c:v>43435</c:v>
                </c:pt>
                <c:pt idx="783">
                  <c:v>43435</c:v>
                </c:pt>
                <c:pt idx="784">
                  <c:v>43435</c:v>
                </c:pt>
                <c:pt idx="785">
                  <c:v>43435</c:v>
                </c:pt>
                <c:pt idx="786">
                  <c:v>43435</c:v>
                </c:pt>
                <c:pt idx="787">
                  <c:v>43435</c:v>
                </c:pt>
                <c:pt idx="788">
                  <c:v>43435</c:v>
                </c:pt>
                <c:pt idx="789">
                  <c:v>43466</c:v>
                </c:pt>
                <c:pt idx="790">
                  <c:v>43466</c:v>
                </c:pt>
                <c:pt idx="791">
                  <c:v>43466</c:v>
                </c:pt>
                <c:pt idx="792">
                  <c:v>43466</c:v>
                </c:pt>
                <c:pt idx="793">
                  <c:v>43466</c:v>
                </c:pt>
                <c:pt idx="794">
                  <c:v>43466</c:v>
                </c:pt>
                <c:pt idx="795">
                  <c:v>43466</c:v>
                </c:pt>
                <c:pt idx="796">
                  <c:v>43466</c:v>
                </c:pt>
                <c:pt idx="797">
                  <c:v>43466</c:v>
                </c:pt>
                <c:pt idx="798">
                  <c:v>43466</c:v>
                </c:pt>
                <c:pt idx="799">
                  <c:v>43466</c:v>
                </c:pt>
                <c:pt idx="800">
                  <c:v>43466</c:v>
                </c:pt>
                <c:pt idx="801">
                  <c:v>43466</c:v>
                </c:pt>
                <c:pt idx="802">
                  <c:v>43466</c:v>
                </c:pt>
                <c:pt idx="803">
                  <c:v>43466</c:v>
                </c:pt>
                <c:pt idx="804">
                  <c:v>43466</c:v>
                </c:pt>
                <c:pt idx="805">
                  <c:v>43497</c:v>
                </c:pt>
                <c:pt idx="806">
                  <c:v>43497</c:v>
                </c:pt>
                <c:pt idx="807">
                  <c:v>43497</c:v>
                </c:pt>
                <c:pt idx="808">
                  <c:v>43497</c:v>
                </c:pt>
                <c:pt idx="809">
                  <c:v>43497</c:v>
                </c:pt>
                <c:pt idx="810">
                  <c:v>43497</c:v>
                </c:pt>
                <c:pt idx="811">
                  <c:v>43497</c:v>
                </c:pt>
                <c:pt idx="812">
                  <c:v>43497</c:v>
                </c:pt>
                <c:pt idx="813">
                  <c:v>43497</c:v>
                </c:pt>
                <c:pt idx="814">
                  <c:v>43497</c:v>
                </c:pt>
                <c:pt idx="815">
                  <c:v>43497</c:v>
                </c:pt>
                <c:pt idx="816">
                  <c:v>43497</c:v>
                </c:pt>
                <c:pt idx="817">
                  <c:v>43497</c:v>
                </c:pt>
                <c:pt idx="818">
                  <c:v>43497</c:v>
                </c:pt>
                <c:pt idx="819">
                  <c:v>43497</c:v>
                </c:pt>
                <c:pt idx="820">
                  <c:v>43497</c:v>
                </c:pt>
                <c:pt idx="821">
                  <c:v>43525</c:v>
                </c:pt>
                <c:pt idx="822">
                  <c:v>43525</c:v>
                </c:pt>
                <c:pt idx="823">
                  <c:v>43525</c:v>
                </c:pt>
                <c:pt idx="824">
                  <c:v>43525</c:v>
                </c:pt>
                <c:pt idx="825">
                  <c:v>43525</c:v>
                </c:pt>
                <c:pt idx="826">
                  <c:v>43525</c:v>
                </c:pt>
                <c:pt idx="827">
                  <c:v>43525</c:v>
                </c:pt>
                <c:pt idx="828">
                  <c:v>43525</c:v>
                </c:pt>
                <c:pt idx="829">
                  <c:v>43525</c:v>
                </c:pt>
                <c:pt idx="830">
                  <c:v>43525</c:v>
                </c:pt>
                <c:pt idx="831">
                  <c:v>43525</c:v>
                </c:pt>
                <c:pt idx="832">
                  <c:v>43525</c:v>
                </c:pt>
                <c:pt idx="833">
                  <c:v>43525</c:v>
                </c:pt>
                <c:pt idx="834">
                  <c:v>43525</c:v>
                </c:pt>
                <c:pt idx="835">
                  <c:v>43525</c:v>
                </c:pt>
                <c:pt idx="836">
                  <c:v>43525</c:v>
                </c:pt>
                <c:pt idx="837">
                  <c:v>43556</c:v>
                </c:pt>
                <c:pt idx="838">
                  <c:v>43556</c:v>
                </c:pt>
                <c:pt idx="839">
                  <c:v>43556</c:v>
                </c:pt>
                <c:pt idx="840">
                  <c:v>43556</c:v>
                </c:pt>
                <c:pt idx="841">
                  <c:v>43556</c:v>
                </c:pt>
                <c:pt idx="842">
                  <c:v>43556</c:v>
                </c:pt>
                <c:pt idx="843">
                  <c:v>43556</c:v>
                </c:pt>
                <c:pt idx="844">
                  <c:v>43556</c:v>
                </c:pt>
                <c:pt idx="845">
                  <c:v>43556</c:v>
                </c:pt>
                <c:pt idx="846">
                  <c:v>43556</c:v>
                </c:pt>
                <c:pt idx="847">
                  <c:v>43556</c:v>
                </c:pt>
                <c:pt idx="848">
                  <c:v>43556</c:v>
                </c:pt>
                <c:pt idx="849">
                  <c:v>43556</c:v>
                </c:pt>
                <c:pt idx="850">
                  <c:v>43556</c:v>
                </c:pt>
                <c:pt idx="851">
                  <c:v>43556</c:v>
                </c:pt>
                <c:pt idx="852">
                  <c:v>43556</c:v>
                </c:pt>
                <c:pt idx="853">
                  <c:v>43586</c:v>
                </c:pt>
                <c:pt idx="854">
                  <c:v>43586</c:v>
                </c:pt>
                <c:pt idx="855">
                  <c:v>43586</c:v>
                </c:pt>
                <c:pt idx="856">
                  <c:v>43586</c:v>
                </c:pt>
                <c:pt idx="857">
                  <c:v>43586</c:v>
                </c:pt>
                <c:pt idx="858">
                  <c:v>43586</c:v>
                </c:pt>
                <c:pt idx="859">
                  <c:v>43586</c:v>
                </c:pt>
                <c:pt idx="860">
                  <c:v>43586</c:v>
                </c:pt>
                <c:pt idx="861">
                  <c:v>43586</c:v>
                </c:pt>
                <c:pt idx="862">
                  <c:v>43586</c:v>
                </c:pt>
                <c:pt idx="863">
                  <c:v>43586</c:v>
                </c:pt>
                <c:pt idx="864">
                  <c:v>43586</c:v>
                </c:pt>
                <c:pt idx="865">
                  <c:v>43586</c:v>
                </c:pt>
                <c:pt idx="866">
                  <c:v>43586</c:v>
                </c:pt>
                <c:pt idx="867">
                  <c:v>43586</c:v>
                </c:pt>
                <c:pt idx="868">
                  <c:v>43586</c:v>
                </c:pt>
                <c:pt idx="869">
                  <c:v>43617</c:v>
                </c:pt>
                <c:pt idx="870">
                  <c:v>43617</c:v>
                </c:pt>
                <c:pt idx="871">
                  <c:v>43617</c:v>
                </c:pt>
                <c:pt idx="872">
                  <c:v>43617</c:v>
                </c:pt>
                <c:pt idx="873">
                  <c:v>43617</c:v>
                </c:pt>
                <c:pt idx="874">
                  <c:v>43617</c:v>
                </c:pt>
                <c:pt idx="875">
                  <c:v>43617</c:v>
                </c:pt>
                <c:pt idx="876">
                  <c:v>43617</c:v>
                </c:pt>
                <c:pt idx="877">
                  <c:v>43617</c:v>
                </c:pt>
                <c:pt idx="878">
                  <c:v>43617</c:v>
                </c:pt>
                <c:pt idx="879">
                  <c:v>43617</c:v>
                </c:pt>
                <c:pt idx="880">
                  <c:v>43617</c:v>
                </c:pt>
                <c:pt idx="881">
                  <c:v>43617</c:v>
                </c:pt>
                <c:pt idx="882">
                  <c:v>43617</c:v>
                </c:pt>
                <c:pt idx="883">
                  <c:v>43617</c:v>
                </c:pt>
                <c:pt idx="884">
                  <c:v>43647</c:v>
                </c:pt>
                <c:pt idx="885">
                  <c:v>43647</c:v>
                </c:pt>
                <c:pt idx="886">
                  <c:v>43647</c:v>
                </c:pt>
                <c:pt idx="887">
                  <c:v>43647</c:v>
                </c:pt>
                <c:pt idx="888">
                  <c:v>43647</c:v>
                </c:pt>
                <c:pt idx="889">
                  <c:v>43647</c:v>
                </c:pt>
                <c:pt idx="890">
                  <c:v>43647</c:v>
                </c:pt>
                <c:pt idx="891">
                  <c:v>43647</c:v>
                </c:pt>
                <c:pt idx="892">
                  <c:v>43647</c:v>
                </c:pt>
                <c:pt idx="893">
                  <c:v>43647</c:v>
                </c:pt>
                <c:pt idx="894">
                  <c:v>43647</c:v>
                </c:pt>
                <c:pt idx="895">
                  <c:v>43647</c:v>
                </c:pt>
                <c:pt idx="896">
                  <c:v>43647</c:v>
                </c:pt>
                <c:pt idx="897">
                  <c:v>43647</c:v>
                </c:pt>
                <c:pt idx="898">
                  <c:v>43647</c:v>
                </c:pt>
                <c:pt idx="899">
                  <c:v>43678</c:v>
                </c:pt>
                <c:pt idx="900">
                  <c:v>43678</c:v>
                </c:pt>
                <c:pt idx="901">
                  <c:v>43678</c:v>
                </c:pt>
                <c:pt idx="902">
                  <c:v>43678</c:v>
                </c:pt>
                <c:pt idx="903">
                  <c:v>43678</c:v>
                </c:pt>
                <c:pt idx="904">
                  <c:v>43678</c:v>
                </c:pt>
                <c:pt idx="905">
                  <c:v>43678</c:v>
                </c:pt>
                <c:pt idx="906">
                  <c:v>43678</c:v>
                </c:pt>
                <c:pt idx="907">
                  <c:v>43678</c:v>
                </c:pt>
                <c:pt idx="908">
                  <c:v>43678</c:v>
                </c:pt>
                <c:pt idx="909">
                  <c:v>43678</c:v>
                </c:pt>
                <c:pt idx="910">
                  <c:v>43678</c:v>
                </c:pt>
                <c:pt idx="911">
                  <c:v>43678</c:v>
                </c:pt>
                <c:pt idx="912">
                  <c:v>43678</c:v>
                </c:pt>
                <c:pt idx="913">
                  <c:v>43678</c:v>
                </c:pt>
                <c:pt idx="914">
                  <c:v>43678</c:v>
                </c:pt>
                <c:pt idx="915">
                  <c:v>43709</c:v>
                </c:pt>
                <c:pt idx="916">
                  <c:v>43709</c:v>
                </c:pt>
                <c:pt idx="917">
                  <c:v>43709</c:v>
                </c:pt>
                <c:pt idx="918">
                  <c:v>43709</c:v>
                </c:pt>
                <c:pt idx="919">
                  <c:v>43709</c:v>
                </c:pt>
                <c:pt idx="920">
                  <c:v>43709</c:v>
                </c:pt>
                <c:pt idx="921">
                  <c:v>43709</c:v>
                </c:pt>
                <c:pt idx="922">
                  <c:v>43709</c:v>
                </c:pt>
                <c:pt idx="923">
                  <c:v>43709</c:v>
                </c:pt>
                <c:pt idx="924">
                  <c:v>43709</c:v>
                </c:pt>
                <c:pt idx="925">
                  <c:v>43709</c:v>
                </c:pt>
                <c:pt idx="926">
                  <c:v>43709</c:v>
                </c:pt>
                <c:pt idx="927">
                  <c:v>43709</c:v>
                </c:pt>
                <c:pt idx="928">
                  <c:v>43709</c:v>
                </c:pt>
                <c:pt idx="929">
                  <c:v>43709</c:v>
                </c:pt>
                <c:pt idx="930">
                  <c:v>43739</c:v>
                </c:pt>
                <c:pt idx="931">
                  <c:v>43739</c:v>
                </c:pt>
                <c:pt idx="932">
                  <c:v>43739</c:v>
                </c:pt>
                <c:pt idx="933">
                  <c:v>43739</c:v>
                </c:pt>
                <c:pt idx="934">
                  <c:v>43739</c:v>
                </c:pt>
                <c:pt idx="935">
                  <c:v>43739</c:v>
                </c:pt>
                <c:pt idx="936">
                  <c:v>43739</c:v>
                </c:pt>
                <c:pt idx="937">
                  <c:v>43739</c:v>
                </c:pt>
                <c:pt idx="938">
                  <c:v>43739</c:v>
                </c:pt>
                <c:pt idx="939">
                  <c:v>43739</c:v>
                </c:pt>
                <c:pt idx="940">
                  <c:v>43739</c:v>
                </c:pt>
                <c:pt idx="941">
                  <c:v>43739</c:v>
                </c:pt>
                <c:pt idx="942">
                  <c:v>43739</c:v>
                </c:pt>
                <c:pt idx="943">
                  <c:v>43739</c:v>
                </c:pt>
                <c:pt idx="944">
                  <c:v>43739</c:v>
                </c:pt>
                <c:pt idx="945">
                  <c:v>43739</c:v>
                </c:pt>
                <c:pt idx="946">
                  <c:v>43770</c:v>
                </c:pt>
                <c:pt idx="947">
                  <c:v>43770</c:v>
                </c:pt>
                <c:pt idx="948">
                  <c:v>43770</c:v>
                </c:pt>
                <c:pt idx="949">
                  <c:v>43770</c:v>
                </c:pt>
                <c:pt idx="950">
                  <c:v>43770</c:v>
                </c:pt>
                <c:pt idx="951">
                  <c:v>43770</c:v>
                </c:pt>
                <c:pt idx="952">
                  <c:v>43770</c:v>
                </c:pt>
                <c:pt idx="953">
                  <c:v>43770</c:v>
                </c:pt>
                <c:pt idx="954">
                  <c:v>43770</c:v>
                </c:pt>
                <c:pt idx="955">
                  <c:v>43770</c:v>
                </c:pt>
                <c:pt idx="956">
                  <c:v>43770</c:v>
                </c:pt>
                <c:pt idx="957">
                  <c:v>43770</c:v>
                </c:pt>
                <c:pt idx="958">
                  <c:v>43770</c:v>
                </c:pt>
                <c:pt idx="959">
                  <c:v>43770</c:v>
                </c:pt>
                <c:pt idx="960">
                  <c:v>43770</c:v>
                </c:pt>
                <c:pt idx="961">
                  <c:v>43770</c:v>
                </c:pt>
                <c:pt idx="962">
                  <c:v>43800</c:v>
                </c:pt>
                <c:pt idx="963">
                  <c:v>43800</c:v>
                </c:pt>
                <c:pt idx="964">
                  <c:v>43800</c:v>
                </c:pt>
                <c:pt idx="965">
                  <c:v>43800</c:v>
                </c:pt>
                <c:pt idx="966">
                  <c:v>43800</c:v>
                </c:pt>
                <c:pt idx="967">
                  <c:v>43800</c:v>
                </c:pt>
                <c:pt idx="968">
                  <c:v>43800</c:v>
                </c:pt>
                <c:pt idx="969">
                  <c:v>43800</c:v>
                </c:pt>
                <c:pt idx="970">
                  <c:v>43800</c:v>
                </c:pt>
                <c:pt idx="971">
                  <c:v>43800</c:v>
                </c:pt>
                <c:pt idx="972">
                  <c:v>43800</c:v>
                </c:pt>
                <c:pt idx="973">
                  <c:v>43800</c:v>
                </c:pt>
                <c:pt idx="974">
                  <c:v>43800</c:v>
                </c:pt>
                <c:pt idx="975">
                  <c:v>43800</c:v>
                </c:pt>
                <c:pt idx="976">
                  <c:v>43800</c:v>
                </c:pt>
                <c:pt idx="977">
                  <c:v>43800</c:v>
                </c:pt>
                <c:pt idx="978">
                  <c:v>43831</c:v>
                </c:pt>
                <c:pt idx="979">
                  <c:v>43831</c:v>
                </c:pt>
                <c:pt idx="980">
                  <c:v>43831</c:v>
                </c:pt>
                <c:pt idx="981">
                  <c:v>43831</c:v>
                </c:pt>
                <c:pt idx="982">
                  <c:v>43831</c:v>
                </c:pt>
                <c:pt idx="983">
                  <c:v>43831</c:v>
                </c:pt>
                <c:pt idx="984">
                  <c:v>43831</c:v>
                </c:pt>
                <c:pt idx="985">
                  <c:v>43831</c:v>
                </c:pt>
                <c:pt idx="986">
                  <c:v>43831</c:v>
                </c:pt>
                <c:pt idx="987">
                  <c:v>43831</c:v>
                </c:pt>
                <c:pt idx="988">
                  <c:v>43831</c:v>
                </c:pt>
                <c:pt idx="989">
                  <c:v>43831</c:v>
                </c:pt>
                <c:pt idx="990">
                  <c:v>43831</c:v>
                </c:pt>
                <c:pt idx="991">
                  <c:v>43831</c:v>
                </c:pt>
                <c:pt idx="992">
                  <c:v>43831</c:v>
                </c:pt>
                <c:pt idx="993">
                  <c:v>43831</c:v>
                </c:pt>
                <c:pt idx="994">
                  <c:v>43862</c:v>
                </c:pt>
                <c:pt idx="995">
                  <c:v>43862</c:v>
                </c:pt>
                <c:pt idx="996">
                  <c:v>43862</c:v>
                </c:pt>
                <c:pt idx="997">
                  <c:v>43862</c:v>
                </c:pt>
                <c:pt idx="998">
                  <c:v>43862</c:v>
                </c:pt>
                <c:pt idx="999">
                  <c:v>43862</c:v>
                </c:pt>
                <c:pt idx="1000">
                  <c:v>43862</c:v>
                </c:pt>
                <c:pt idx="1001">
                  <c:v>43862</c:v>
                </c:pt>
                <c:pt idx="1002">
                  <c:v>43862</c:v>
                </c:pt>
                <c:pt idx="1003">
                  <c:v>43862</c:v>
                </c:pt>
                <c:pt idx="1004">
                  <c:v>43862</c:v>
                </c:pt>
                <c:pt idx="1005">
                  <c:v>43862</c:v>
                </c:pt>
                <c:pt idx="1006">
                  <c:v>43862</c:v>
                </c:pt>
                <c:pt idx="1007">
                  <c:v>43862</c:v>
                </c:pt>
                <c:pt idx="1008">
                  <c:v>43862</c:v>
                </c:pt>
                <c:pt idx="1009">
                  <c:v>43862</c:v>
                </c:pt>
                <c:pt idx="1010">
                  <c:v>43891</c:v>
                </c:pt>
                <c:pt idx="1011">
                  <c:v>43891</c:v>
                </c:pt>
                <c:pt idx="1012">
                  <c:v>43891</c:v>
                </c:pt>
                <c:pt idx="1013">
                  <c:v>43891</c:v>
                </c:pt>
                <c:pt idx="1014">
                  <c:v>43891</c:v>
                </c:pt>
                <c:pt idx="1015">
                  <c:v>43891</c:v>
                </c:pt>
                <c:pt idx="1016">
                  <c:v>43891</c:v>
                </c:pt>
                <c:pt idx="1017">
                  <c:v>43891</c:v>
                </c:pt>
                <c:pt idx="1018">
                  <c:v>43891</c:v>
                </c:pt>
                <c:pt idx="1019">
                  <c:v>43891</c:v>
                </c:pt>
                <c:pt idx="1020">
                  <c:v>43891</c:v>
                </c:pt>
                <c:pt idx="1021">
                  <c:v>43891</c:v>
                </c:pt>
                <c:pt idx="1022">
                  <c:v>43891</c:v>
                </c:pt>
                <c:pt idx="1023">
                  <c:v>43891</c:v>
                </c:pt>
                <c:pt idx="1024">
                  <c:v>43891</c:v>
                </c:pt>
                <c:pt idx="1025">
                  <c:v>43891</c:v>
                </c:pt>
                <c:pt idx="1026">
                  <c:v>43922</c:v>
                </c:pt>
                <c:pt idx="1027">
                  <c:v>43922</c:v>
                </c:pt>
                <c:pt idx="1028">
                  <c:v>43922</c:v>
                </c:pt>
                <c:pt idx="1029">
                  <c:v>43922</c:v>
                </c:pt>
                <c:pt idx="1030">
                  <c:v>43922</c:v>
                </c:pt>
                <c:pt idx="1031">
                  <c:v>43922</c:v>
                </c:pt>
                <c:pt idx="1032">
                  <c:v>43922</c:v>
                </c:pt>
                <c:pt idx="1033">
                  <c:v>43922</c:v>
                </c:pt>
                <c:pt idx="1034">
                  <c:v>43922</c:v>
                </c:pt>
                <c:pt idx="1035">
                  <c:v>43922</c:v>
                </c:pt>
                <c:pt idx="1036">
                  <c:v>43922</c:v>
                </c:pt>
                <c:pt idx="1037">
                  <c:v>43922</c:v>
                </c:pt>
                <c:pt idx="1038">
                  <c:v>43922</c:v>
                </c:pt>
                <c:pt idx="1039">
                  <c:v>43922</c:v>
                </c:pt>
                <c:pt idx="1040">
                  <c:v>43952</c:v>
                </c:pt>
                <c:pt idx="1041">
                  <c:v>43952</c:v>
                </c:pt>
                <c:pt idx="1042">
                  <c:v>43952</c:v>
                </c:pt>
                <c:pt idx="1043">
                  <c:v>43952</c:v>
                </c:pt>
                <c:pt idx="1044">
                  <c:v>43952</c:v>
                </c:pt>
                <c:pt idx="1045">
                  <c:v>43952</c:v>
                </c:pt>
                <c:pt idx="1046">
                  <c:v>43952</c:v>
                </c:pt>
                <c:pt idx="1047">
                  <c:v>43952</c:v>
                </c:pt>
                <c:pt idx="1048">
                  <c:v>43952</c:v>
                </c:pt>
                <c:pt idx="1049">
                  <c:v>43952</c:v>
                </c:pt>
                <c:pt idx="1050">
                  <c:v>43952</c:v>
                </c:pt>
                <c:pt idx="1051">
                  <c:v>43952</c:v>
                </c:pt>
                <c:pt idx="1052">
                  <c:v>43952</c:v>
                </c:pt>
                <c:pt idx="1053">
                  <c:v>43952</c:v>
                </c:pt>
                <c:pt idx="1054">
                  <c:v>43983</c:v>
                </c:pt>
                <c:pt idx="1055">
                  <c:v>43983</c:v>
                </c:pt>
                <c:pt idx="1056">
                  <c:v>43983</c:v>
                </c:pt>
                <c:pt idx="1057">
                  <c:v>43983</c:v>
                </c:pt>
                <c:pt idx="1058">
                  <c:v>43983</c:v>
                </c:pt>
                <c:pt idx="1059">
                  <c:v>43983</c:v>
                </c:pt>
                <c:pt idx="1060">
                  <c:v>43983</c:v>
                </c:pt>
                <c:pt idx="1061">
                  <c:v>43983</c:v>
                </c:pt>
                <c:pt idx="1062">
                  <c:v>43983</c:v>
                </c:pt>
                <c:pt idx="1063">
                  <c:v>43983</c:v>
                </c:pt>
                <c:pt idx="1064">
                  <c:v>43983</c:v>
                </c:pt>
                <c:pt idx="1065">
                  <c:v>43983</c:v>
                </c:pt>
                <c:pt idx="1066">
                  <c:v>43983</c:v>
                </c:pt>
                <c:pt idx="1067">
                  <c:v>43983</c:v>
                </c:pt>
                <c:pt idx="1068">
                  <c:v>43983</c:v>
                </c:pt>
                <c:pt idx="1069">
                  <c:v>43983</c:v>
                </c:pt>
                <c:pt idx="1070">
                  <c:v>44013</c:v>
                </c:pt>
                <c:pt idx="1071">
                  <c:v>44013</c:v>
                </c:pt>
                <c:pt idx="1072">
                  <c:v>44013</c:v>
                </c:pt>
                <c:pt idx="1073">
                  <c:v>44013</c:v>
                </c:pt>
                <c:pt idx="1074">
                  <c:v>44013</c:v>
                </c:pt>
                <c:pt idx="1075">
                  <c:v>44013</c:v>
                </c:pt>
                <c:pt idx="1076">
                  <c:v>44013</c:v>
                </c:pt>
                <c:pt idx="1077">
                  <c:v>44013</c:v>
                </c:pt>
                <c:pt idx="1078">
                  <c:v>44013</c:v>
                </c:pt>
                <c:pt idx="1079">
                  <c:v>44013</c:v>
                </c:pt>
                <c:pt idx="1080">
                  <c:v>44013</c:v>
                </c:pt>
                <c:pt idx="1081">
                  <c:v>44013</c:v>
                </c:pt>
                <c:pt idx="1082">
                  <c:v>44013</c:v>
                </c:pt>
                <c:pt idx="1083">
                  <c:v>44013</c:v>
                </c:pt>
                <c:pt idx="1084">
                  <c:v>44013</c:v>
                </c:pt>
                <c:pt idx="1085">
                  <c:v>44044</c:v>
                </c:pt>
                <c:pt idx="1086">
                  <c:v>44044</c:v>
                </c:pt>
                <c:pt idx="1087">
                  <c:v>44044</c:v>
                </c:pt>
                <c:pt idx="1088">
                  <c:v>44044</c:v>
                </c:pt>
                <c:pt idx="1089">
                  <c:v>44044</c:v>
                </c:pt>
                <c:pt idx="1090">
                  <c:v>44044</c:v>
                </c:pt>
                <c:pt idx="1091">
                  <c:v>44044</c:v>
                </c:pt>
                <c:pt idx="1092">
                  <c:v>44044</c:v>
                </c:pt>
                <c:pt idx="1093">
                  <c:v>44044</c:v>
                </c:pt>
                <c:pt idx="1094">
                  <c:v>44044</c:v>
                </c:pt>
                <c:pt idx="1095">
                  <c:v>44044</c:v>
                </c:pt>
                <c:pt idx="1096">
                  <c:v>44044</c:v>
                </c:pt>
                <c:pt idx="1097">
                  <c:v>44044</c:v>
                </c:pt>
                <c:pt idx="1098">
                  <c:v>44044</c:v>
                </c:pt>
                <c:pt idx="1099">
                  <c:v>44044</c:v>
                </c:pt>
                <c:pt idx="1100">
                  <c:v>44075</c:v>
                </c:pt>
                <c:pt idx="1101">
                  <c:v>44075</c:v>
                </c:pt>
                <c:pt idx="1102">
                  <c:v>44075</c:v>
                </c:pt>
                <c:pt idx="1103">
                  <c:v>44075</c:v>
                </c:pt>
                <c:pt idx="1104">
                  <c:v>44075</c:v>
                </c:pt>
                <c:pt idx="1105">
                  <c:v>44075</c:v>
                </c:pt>
                <c:pt idx="1106">
                  <c:v>44075</c:v>
                </c:pt>
                <c:pt idx="1107">
                  <c:v>44075</c:v>
                </c:pt>
                <c:pt idx="1108">
                  <c:v>44075</c:v>
                </c:pt>
                <c:pt idx="1109">
                  <c:v>44075</c:v>
                </c:pt>
                <c:pt idx="1110">
                  <c:v>44075</c:v>
                </c:pt>
                <c:pt idx="1111">
                  <c:v>44075</c:v>
                </c:pt>
                <c:pt idx="1112">
                  <c:v>44075</c:v>
                </c:pt>
                <c:pt idx="1113">
                  <c:v>44075</c:v>
                </c:pt>
                <c:pt idx="1114">
                  <c:v>44075</c:v>
                </c:pt>
                <c:pt idx="1115">
                  <c:v>44075</c:v>
                </c:pt>
                <c:pt idx="1116">
                  <c:v>44105</c:v>
                </c:pt>
                <c:pt idx="1117">
                  <c:v>44105</c:v>
                </c:pt>
                <c:pt idx="1118">
                  <c:v>44105</c:v>
                </c:pt>
                <c:pt idx="1119">
                  <c:v>44105</c:v>
                </c:pt>
                <c:pt idx="1120">
                  <c:v>44105</c:v>
                </c:pt>
                <c:pt idx="1121">
                  <c:v>44105</c:v>
                </c:pt>
                <c:pt idx="1122">
                  <c:v>44105</c:v>
                </c:pt>
                <c:pt idx="1123">
                  <c:v>44105</c:v>
                </c:pt>
                <c:pt idx="1124">
                  <c:v>44105</c:v>
                </c:pt>
                <c:pt idx="1125">
                  <c:v>44105</c:v>
                </c:pt>
                <c:pt idx="1126">
                  <c:v>44105</c:v>
                </c:pt>
                <c:pt idx="1127">
                  <c:v>44105</c:v>
                </c:pt>
                <c:pt idx="1128">
                  <c:v>44105</c:v>
                </c:pt>
                <c:pt idx="1129">
                  <c:v>44105</c:v>
                </c:pt>
                <c:pt idx="1130">
                  <c:v>44105</c:v>
                </c:pt>
                <c:pt idx="1131">
                  <c:v>44105</c:v>
                </c:pt>
                <c:pt idx="1132">
                  <c:v>44136</c:v>
                </c:pt>
                <c:pt idx="1133">
                  <c:v>44136</c:v>
                </c:pt>
                <c:pt idx="1134">
                  <c:v>44136</c:v>
                </c:pt>
                <c:pt idx="1135">
                  <c:v>44136</c:v>
                </c:pt>
                <c:pt idx="1136">
                  <c:v>44136</c:v>
                </c:pt>
                <c:pt idx="1137">
                  <c:v>44136</c:v>
                </c:pt>
                <c:pt idx="1138">
                  <c:v>44136</c:v>
                </c:pt>
                <c:pt idx="1139">
                  <c:v>44136</c:v>
                </c:pt>
                <c:pt idx="1140">
                  <c:v>44136</c:v>
                </c:pt>
                <c:pt idx="1141">
                  <c:v>44136</c:v>
                </c:pt>
                <c:pt idx="1142">
                  <c:v>44136</c:v>
                </c:pt>
                <c:pt idx="1143">
                  <c:v>44136</c:v>
                </c:pt>
                <c:pt idx="1144">
                  <c:v>44136</c:v>
                </c:pt>
                <c:pt idx="1145">
                  <c:v>44136</c:v>
                </c:pt>
                <c:pt idx="1146">
                  <c:v>44136</c:v>
                </c:pt>
                <c:pt idx="1147">
                  <c:v>44136</c:v>
                </c:pt>
                <c:pt idx="1148">
                  <c:v>44166</c:v>
                </c:pt>
                <c:pt idx="1149">
                  <c:v>44166</c:v>
                </c:pt>
                <c:pt idx="1150">
                  <c:v>44166</c:v>
                </c:pt>
                <c:pt idx="1151">
                  <c:v>44166</c:v>
                </c:pt>
                <c:pt idx="1152">
                  <c:v>44166</c:v>
                </c:pt>
                <c:pt idx="1153">
                  <c:v>44166</c:v>
                </c:pt>
                <c:pt idx="1154">
                  <c:v>44166</c:v>
                </c:pt>
                <c:pt idx="1155">
                  <c:v>44166</c:v>
                </c:pt>
                <c:pt idx="1156">
                  <c:v>44166</c:v>
                </c:pt>
                <c:pt idx="1157">
                  <c:v>44166</c:v>
                </c:pt>
                <c:pt idx="1158">
                  <c:v>44166</c:v>
                </c:pt>
                <c:pt idx="1159">
                  <c:v>44166</c:v>
                </c:pt>
                <c:pt idx="1160">
                  <c:v>44166</c:v>
                </c:pt>
                <c:pt idx="1161">
                  <c:v>44166</c:v>
                </c:pt>
                <c:pt idx="1162">
                  <c:v>44166</c:v>
                </c:pt>
                <c:pt idx="1163">
                  <c:v>44197</c:v>
                </c:pt>
                <c:pt idx="1164">
                  <c:v>44197</c:v>
                </c:pt>
                <c:pt idx="1165">
                  <c:v>44197</c:v>
                </c:pt>
                <c:pt idx="1166">
                  <c:v>44197</c:v>
                </c:pt>
                <c:pt idx="1167">
                  <c:v>44197</c:v>
                </c:pt>
                <c:pt idx="1168">
                  <c:v>44197</c:v>
                </c:pt>
                <c:pt idx="1169">
                  <c:v>44197</c:v>
                </c:pt>
                <c:pt idx="1170">
                  <c:v>44197</c:v>
                </c:pt>
                <c:pt idx="1171">
                  <c:v>44197</c:v>
                </c:pt>
                <c:pt idx="1172">
                  <c:v>44197</c:v>
                </c:pt>
                <c:pt idx="1173">
                  <c:v>44197</c:v>
                </c:pt>
                <c:pt idx="1174">
                  <c:v>44197</c:v>
                </c:pt>
                <c:pt idx="1175">
                  <c:v>44197</c:v>
                </c:pt>
                <c:pt idx="1176">
                  <c:v>44197</c:v>
                </c:pt>
                <c:pt idx="1177">
                  <c:v>44197</c:v>
                </c:pt>
                <c:pt idx="1178">
                  <c:v>44197</c:v>
                </c:pt>
                <c:pt idx="1179">
                  <c:v>44228</c:v>
                </c:pt>
                <c:pt idx="1180">
                  <c:v>44228</c:v>
                </c:pt>
                <c:pt idx="1181">
                  <c:v>44228</c:v>
                </c:pt>
                <c:pt idx="1182">
                  <c:v>44228</c:v>
                </c:pt>
                <c:pt idx="1183">
                  <c:v>44228</c:v>
                </c:pt>
                <c:pt idx="1184">
                  <c:v>44228</c:v>
                </c:pt>
                <c:pt idx="1185">
                  <c:v>44228</c:v>
                </c:pt>
                <c:pt idx="1186">
                  <c:v>44228</c:v>
                </c:pt>
                <c:pt idx="1187">
                  <c:v>44228</c:v>
                </c:pt>
                <c:pt idx="1188">
                  <c:v>44228</c:v>
                </c:pt>
                <c:pt idx="1189">
                  <c:v>44228</c:v>
                </c:pt>
                <c:pt idx="1190">
                  <c:v>44228</c:v>
                </c:pt>
                <c:pt idx="1191">
                  <c:v>44228</c:v>
                </c:pt>
                <c:pt idx="1192">
                  <c:v>44228</c:v>
                </c:pt>
                <c:pt idx="1193">
                  <c:v>44228</c:v>
                </c:pt>
                <c:pt idx="1194">
                  <c:v>44228</c:v>
                </c:pt>
                <c:pt idx="1195">
                  <c:v>44256</c:v>
                </c:pt>
                <c:pt idx="1196">
                  <c:v>44256</c:v>
                </c:pt>
                <c:pt idx="1197">
                  <c:v>44256</c:v>
                </c:pt>
                <c:pt idx="1198">
                  <c:v>44256</c:v>
                </c:pt>
                <c:pt idx="1199">
                  <c:v>44256</c:v>
                </c:pt>
                <c:pt idx="1200">
                  <c:v>44256</c:v>
                </c:pt>
                <c:pt idx="1201">
                  <c:v>44256</c:v>
                </c:pt>
                <c:pt idx="1202">
                  <c:v>44256</c:v>
                </c:pt>
                <c:pt idx="1203">
                  <c:v>44256</c:v>
                </c:pt>
                <c:pt idx="1204">
                  <c:v>44256</c:v>
                </c:pt>
                <c:pt idx="1205">
                  <c:v>44256</c:v>
                </c:pt>
                <c:pt idx="1206">
                  <c:v>44256</c:v>
                </c:pt>
                <c:pt idx="1207">
                  <c:v>44256</c:v>
                </c:pt>
                <c:pt idx="1208">
                  <c:v>44256</c:v>
                </c:pt>
                <c:pt idx="1209">
                  <c:v>44256</c:v>
                </c:pt>
                <c:pt idx="1210">
                  <c:v>44256</c:v>
                </c:pt>
                <c:pt idx="1211">
                  <c:v>44287</c:v>
                </c:pt>
                <c:pt idx="1212">
                  <c:v>44287</c:v>
                </c:pt>
                <c:pt idx="1213">
                  <c:v>44287</c:v>
                </c:pt>
                <c:pt idx="1214">
                  <c:v>44287</c:v>
                </c:pt>
                <c:pt idx="1215">
                  <c:v>44287</c:v>
                </c:pt>
                <c:pt idx="1216">
                  <c:v>44287</c:v>
                </c:pt>
                <c:pt idx="1217">
                  <c:v>44287</c:v>
                </c:pt>
                <c:pt idx="1218">
                  <c:v>44287</c:v>
                </c:pt>
                <c:pt idx="1219">
                  <c:v>44287</c:v>
                </c:pt>
                <c:pt idx="1220">
                  <c:v>44287</c:v>
                </c:pt>
                <c:pt idx="1221">
                  <c:v>44287</c:v>
                </c:pt>
                <c:pt idx="1222">
                  <c:v>44287</c:v>
                </c:pt>
                <c:pt idx="1223">
                  <c:v>44287</c:v>
                </c:pt>
                <c:pt idx="1224">
                  <c:v>44287</c:v>
                </c:pt>
                <c:pt idx="1225">
                  <c:v>44287</c:v>
                </c:pt>
                <c:pt idx="1226">
                  <c:v>44287</c:v>
                </c:pt>
                <c:pt idx="1227">
                  <c:v>44317</c:v>
                </c:pt>
                <c:pt idx="1228">
                  <c:v>44317</c:v>
                </c:pt>
                <c:pt idx="1229">
                  <c:v>44317</c:v>
                </c:pt>
                <c:pt idx="1230">
                  <c:v>44317</c:v>
                </c:pt>
                <c:pt idx="1231">
                  <c:v>44317</c:v>
                </c:pt>
                <c:pt idx="1232">
                  <c:v>44317</c:v>
                </c:pt>
                <c:pt idx="1233">
                  <c:v>44317</c:v>
                </c:pt>
                <c:pt idx="1234">
                  <c:v>44317</c:v>
                </c:pt>
                <c:pt idx="1235">
                  <c:v>44317</c:v>
                </c:pt>
                <c:pt idx="1236">
                  <c:v>44317</c:v>
                </c:pt>
                <c:pt idx="1237">
                  <c:v>44317</c:v>
                </c:pt>
                <c:pt idx="1238">
                  <c:v>44317</c:v>
                </c:pt>
                <c:pt idx="1239">
                  <c:v>44317</c:v>
                </c:pt>
                <c:pt idx="1240">
                  <c:v>44317</c:v>
                </c:pt>
                <c:pt idx="1241">
                  <c:v>44317</c:v>
                </c:pt>
                <c:pt idx="1242">
                  <c:v>44317</c:v>
                </c:pt>
                <c:pt idx="1243">
                  <c:v>44348</c:v>
                </c:pt>
                <c:pt idx="1244">
                  <c:v>44348</c:v>
                </c:pt>
                <c:pt idx="1245">
                  <c:v>44348</c:v>
                </c:pt>
                <c:pt idx="1246">
                  <c:v>44348</c:v>
                </c:pt>
                <c:pt idx="1247">
                  <c:v>44348</c:v>
                </c:pt>
                <c:pt idx="1248">
                  <c:v>44348</c:v>
                </c:pt>
                <c:pt idx="1249">
                  <c:v>44348</c:v>
                </c:pt>
                <c:pt idx="1250">
                  <c:v>44348</c:v>
                </c:pt>
                <c:pt idx="1251">
                  <c:v>44348</c:v>
                </c:pt>
                <c:pt idx="1252">
                  <c:v>44348</c:v>
                </c:pt>
                <c:pt idx="1253">
                  <c:v>44348</c:v>
                </c:pt>
                <c:pt idx="1254">
                  <c:v>44348</c:v>
                </c:pt>
                <c:pt idx="1255">
                  <c:v>44348</c:v>
                </c:pt>
                <c:pt idx="1256">
                  <c:v>44348</c:v>
                </c:pt>
                <c:pt idx="1257">
                  <c:v>44348</c:v>
                </c:pt>
                <c:pt idx="1258">
                  <c:v>44348</c:v>
                </c:pt>
                <c:pt idx="1259">
                  <c:v>44378</c:v>
                </c:pt>
                <c:pt idx="1260">
                  <c:v>44378</c:v>
                </c:pt>
                <c:pt idx="1261">
                  <c:v>44378</c:v>
                </c:pt>
                <c:pt idx="1262">
                  <c:v>44378</c:v>
                </c:pt>
                <c:pt idx="1263">
                  <c:v>44378</c:v>
                </c:pt>
                <c:pt idx="1264">
                  <c:v>44378</c:v>
                </c:pt>
                <c:pt idx="1265">
                  <c:v>44378</c:v>
                </c:pt>
                <c:pt idx="1266">
                  <c:v>44378</c:v>
                </c:pt>
                <c:pt idx="1267">
                  <c:v>44378</c:v>
                </c:pt>
                <c:pt idx="1268">
                  <c:v>44378</c:v>
                </c:pt>
                <c:pt idx="1269">
                  <c:v>44378</c:v>
                </c:pt>
                <c:pt idx="1270">
                  <c:v>44378</c:v>
                </c:pt>
                <c:pt idx="1271">
                  <c:v>44378</c:v>
                </c:pt>
                <c:pt idx="1272">
                  <c:v>44378</c:v>
                </c:pt>
                <c:pt idx="1273">
                  <c:v>44378</c:v>
                </c:pt>
                <c:pt idx="1274">
                  <c:v>44378</c:v>
                </c:pt>
                <c:pt idx="1275">
                  <c:v>44409</c:v>
                </c:pt>
                <c:pt idx="1276">
                  <c:v>44409</c:v>
                </c:pt>
                <c:pt idx="1277">
                  <c:v>44409</c:v>
                </c:pt>
                <c:pt idx="1278">
                  <c:v>44409</c:v>
                </c:pt>
                <c:pt idx="1279">
                  <c:v>44409</c:v>
                </c:pt>
                <c:pt idx="1280">
                  <c:v>44409</c:v>
                </c:pt>
                <c:pt idx="1281">
                  <c:v>44409</c:v>
                </c:pt>
                <c:pt idx="1282">
                  <c:v>44409</c:v>
                </c:pt>
                <c:pt idx="1283">
                  <c:v>44409</c:v>
                </c:pt>
                <c:pt idx="1284">
                  <c:v>44409</c:v>
                </c:pt>
                <c:pt idx="1285">
                  <c:v>44409</c:v>
                </c:pt>
                <c:pt idx="1286">
                  <c:v>44409</c:v>
                </c:pt>
                <c:pt idx="1287">
                  <c:v>44409</c:v>
                </c:pt>
                <c:pt idx="1288">
                  <c:v>44409</c:v>
                </c:pt>
                <c:pt idx="1289">
                  <c:v>44409</c:v>
                </c:pt>
                <c:pt idx="1290">
                  <c:v>44409</c:v>
                </c:pt>
                <c:pt idx="1291">
                  <c:v>44440</c:v>
                </c:pt>
                <c:pt idx="1292">
                  <c:v>44440</c:v>
                </c:pt>
                <c:pt idx="1293">
                  <c:v>44440</c:v>
                </c:pt>
                <c:pt idx="1294">
                  <c:v>44440</c:v>
                </c:pt>
                <c:pt idx="1295">
                  <c:v>44440</c:v>
                </c:pt>
                <c:pt idx="1296">
                  <c:v>44440</c:v>
                </c:pt>
                <c:pt idx="1297">
                  <c:v>44440</c:v>
                </c:pt>
                <c:pt idx="1298">
                  <c:v>44440</c:v>
                </c:pt>
                <c:pt idx="1299">
                  <c:v>44440</c:v>
                </c:pt>
                <c:pt idx="1300">
                  <c:v>44440</c:v>
                </c:pt>
                <c:pt idx="1301">
                  <c:v>44440</c:v>
                </c:pt>
                <c:pt idx="1302">
                  <c:v>44440</c:v>
                </c:pt>
                <c:pt idx="1303">
                  <c:v>44440</c:v>
                </c:pt>
                <c:pt idx="1304">
                  <c:v>44440</c:v>
                </c:pt>
                <c:pt idx="1305">
                  <c:v>44440</c:v>
                </c:pt>
                <c:pt idx="1306">
                  <c:v>44440</c:v>
                </c:pt>
                <c:pt idx="1307">
                  <c:v>44470</c:v>
                </c:pt>
                <c:pt idx="1308">
                  <c:v>44470</c:v>
                </c:pt>
                <c:pt idx="1309">
                  <c:v>44470</c:v>
                </c:pt>
                <c:pt idx="1310">
                  <c:v>44470</c:v>
                </c:pt>
                <c:pt idx="1311">
                  <c:v>44470</c:v>
                </c:pt>
                <c:pt idx="1312">
                  <c:v>44470</c:v>
                </c:pt>
                <c:pt idx="1313">
                  <c:v>44470</c:v>
                </c:pt>
                <c:pt idx="1314">
                  <c:v>44470</c:v>
                </c:pt>
                <c:pt idx="1315">
                  <c:v>44470</c:v>
                </c:pt>
                <c:pt idx="1316">
                  <c:v>44470</c:v>
                </c:pt>
                <c:pt idx="1317">
                  <c:v>44470</c:v>
                </c:pt>
                <c:pt idx="1318">
                  <c:v>44470</c:v>
                </c:pt>
                <c:pt idx="1319">
                  <c:v>44470</c:v>
                </c:pt>
                <c:pt idx="1320">
                  <c:v>44470</c:v>
                </c:pt>
                <c:pt idx="1321">
                  <c:v>44470</c:v>
                </c:pt>
                <c:pt idx="1322">
                  <c:v>44470</c:v>
                </c:pt>
                <c:pt idx="1323">
                  <c:v>44470</c:v>
                </c:pt>
                <c:pt idx="1324">
                  <c:v>44501</c:v>
                </c:pt>
                <c:pt idx="1325">
                  <c:v>44501</c:v>
                </c:pt>
                <c:pt idx="1326">
                  <c:v>44501</c:v>
                </c:pt>
                <c:pt idx="1327">
                  <c:v>44501</c:v>
                </c:pt>
                <c:pt idx="1328">
                  <c:v>44501</c:v>
                </c:pt>
                <c:pt idx="1329">
                  <c:v>44501</c:v>
                </c:pt>
                <c:pt idx="1330">
                  <c:v>44501</c:v>
                </c:pt>
                <c:pt idx="1331">
                  <c:v>44501</c:v>
                </c:pt>
                <c:pt idx="1332">
                  <c:v>44501</c:v>
                </c:pt>
                <c:pt idx="1333">
                  <c:v>44501</c:v>
                </c:pt>
                <c:pt idx="1334">
                  <c:v>44501</c:v>
                </c:pt>
                <c:pt idx="1335">
                  <c:v>44501</c:v>
                </c:pt>
                <c:pt idx="1336">
                  <c:v>44501</c:v>
                </c:pt>
                <c:pt idx="1337">
                  <c:v>44501</c:v>
                </c:pt>
                <c:pt idx="1338">
                  <c:v>44501</c:v>
                </c:pt>
                <c:pt idx="1339">
                  <c:v>44531</c:v>
                </c:pt>
                <c:pt idx="1340">
                  <c:v>44531</c:v>
                </c:pt>
                <c:pt idx="1341">
                  <c:v>44531</c:v>
                </c:pt>
                <c:pt idx="1342">
                  <c:v>44531</c:v>
                </c:pt>
                <c:pt idx="1343">
                  <c:v>44531</c:v>
                </c:pt>
                <c:pt idx="1344">
                  <c:v>44531</c:v>
                </c:pt>
                <c:pt idx="1345">
                  <c:v>44531</c:v>
                </c:pt>
                <c:pt idx="1346">
                  <c:v>44531</c:v>
                </c:pt>
                <c:pt idx="1347">
                  <c:v>44531</c:v>
                </c:pt>
                <c:pt idx="1348">
                  <c:v>44531</c:v>
                </c:pt>
                <c:pt idx="1349">
                  <c:v>44531</c:v>
                </c:pt>
                <c:pt idx="1350">
                  <c:v>44531</c:v>
                </c:pt>
                <c:pt idx="1351">
                  <c:v>44531</c:v>
                </c:pt>
                <c:pt idx="1352">
                  <c:v>44531</c:v>
                </c:pt>
                <c:pt idx="1353">
                  <c:v>44531</c:v>
                </c:pt>
                <c:pt idx="1354">
                  <c:v>44531</c:v>
                </c:pt>
                <c:pt idx="1355">
                  <c:v>44927</c:v>
                </c:pt>
                <c:pt idx="1356">
                  <c:v>44927</c:v>
                </c:pt>
                <c:pt idx="1357">
                  <c:v>44927</c:v>
                </c:pt>
                <c:pt idx="1358">
                  <c:v>44927</c:v>
                </c:pt>
                <c:pt idx="1359">
                  <c:v>44927</c:v>
                </c:pt>
                <c:pt idx="1360">
                  <c:v>44927</c:v>
                </c:pt>
                <c:pt idx="1361">
                  <c:v>44927</c:v>
                </c:pt>
                <c:pt idx="1362">
                  <c:v>44927</c:v>
                </c:pt>
                <c:pt idx="1363">
                  <c:v>44927</c:v>
                </c:pt>
                <c:pt idx="1364">
                  <c:v>44927</c:v>
                </c:pt>
                <c:pt idx="1365">
                  <c:v>44927</c:v>
                </c:pt>
                <c:pt idx="1366">
                  <c:v>44927</c:v>
                </c:pt>
                <c:pt idx="1367">
                  <c:v>44927</c:v>
                </c:pt>
                <c:pt idx="1368">
                  <c:v>44927</c:v>
                </c:pt>
                <c:pt idx="1369">
                  <c:v>44927</c:v>
                </c:pt>
                <c:pt idx="1370">
                  <c:v>44927</c:v>
                </c:pt>
                <c:pt idx="1371">
                  <c:v>44927</c:v>
                </c:pt>
                <c:pt idx="1372">
                  <c:v>44958</c:v>
                </c:pt>
                <c:pt idx="1373">
                  <c:v>44958</c:v>
                </c:pt>
                <c:pt idx="1374">
                  <c:v>44958</c:v>
                </c:pt>
                <c:pt idx="1375">
                  <c:v>44958</c:v>
                </c:pt>
                <c:pt idx="1376">
                  <c:v>44958</c:v>
                </c:pt>
                <c:pt idx="1377">
                  <c:v>44958</c:v>
                </c:pt>
                <c:pt idx="1378">
                  <c:v>44958</c:v>
                </c:pt>
                <c:pt idx="1379">
                  <c:v>44958</c:v>
                </c:pt>
                <c:pt idx="1380">
                  <c:v>44958</c:v>
                </c:pt>
                <c:pt idx="1381">
                  <c:v>44958</c:v>
                </c:pt>
                <c:pt idx="1382">
                  <c:v>44958</c:v>
                </c:pt>
                <c:pt idx="1383">
                  <c:v>44958</c:v>
                </c:pt>
                <c:pt idx="1384">
                  <c:v>44958</c:v>
                </c:pt>
                <c:pt idx="1385">
                  <c:v>44958</c:v>
                </c:pt>
                <c:pt idx="1386">
                  <c:v>44958</c:v>
                </c:pt>
                <c:pt idx="1387">
                  <c:v>44958</c:v>
                </c:pt>
                <c:pt idx="1388">
                  <c:v>44958</c:v>
                </c:pt>
                <c:pt idx="1389">
                  <c:v>44986</c:v>
                </c:pt>
                <c:pt idx="1390">
                  <c:v>44986</c:v>
                </c:pt>
                <c:pt idx="1391">
                  <c:v>44986</c:v>
                </c:pt>
                <c:pt idx="1392">
                  <c:v>44986</c:v>
                </c:pt>
                <c:pt idx="1393">
                  <c:v>44986</c:v>
                </c:pt>
                <c:pt idx="1394">
                  <c:v>44986</c:v>
                </c:pt>
                <c:pt idx="1395">
                  <c:v>44986</c:v>
                </c:pt>
                <c:pt idx="1396">
                  <c:v>44986</c:v>
                </c:pt>
                <c:pt idx="1397">
                  <c:v>44986</c:v>
                </c:pt>
                <c:pt idx="1398">
                  <c:v>44986</c:v>
                </c:pt>
                <c:pt idx="1399">
                  <c:v>44986</c:v>
                </c:pt>
                <c:pt idx="1400">
                  <c:v>44986</c:v>
                </c:pt>
                <c:pt idx="1401">
                  <c:v>44986</c:v>
                </c:pt>
                <c:pt idx="1402">
                  <c:v>44986</c:v>
                </c:pt>
                <c:pt idx="1403">
                  <c:v>44986</c:v>
                </c:pt>
                <c:pt idx="1404">
                  <c:v>44986</c:v>
                </c:pt>
                <c:pt idx="1405">
                  <c:v>45017</c:v>
                </c:pt>
                <c:pt idx="1406">
                  <c:v>45017</c:v>
                </c:pt>
                <c:pt idx="1407">
                  <c:v>45017</c:v>
                </c:pt>
                <c:pt idx="1408">
                  <c:v>45017</c:v>
                </c:pt>
                <c:pt idx="1409">
                  <c:v>45017</c:v>
                </c:pt>
                <c:pt idx="1410">
                  <c:v>45017</c:v>
                </c:pt>
                <c:pt idx="1411">
                  <c:v>45017</c:v>
                </c:pt>
                <c:pt idx="1412">
                  <c:v>45017</c:v>
                </c:pt>
                <c:pt idx="1413">
                  <c:v>45017</c:v>
                </c:pt>
                <c:pt idx="1414">
                  <c:v>45017</c:v>
                </c:pt>
                <c:pt idx="1415">
                  <c:v>45017</c:v>
                </c:pt>
                <c:pt idx="1416">
                  <c:v>45017</c:v>
                </c:pt>
                <c:pt idx="1417">
                  <c:v>45017</c:v>
                </c:pt>
                <c:pt idx="1418">
                  <c:v>45017</c:v>
                </c:pt>
                <c:pt idx="1419">
                  <c:v>45017</c:v>
                </c:pt>
                <c:pt idx="1420">
                  <c:v>45017</c:v>
                </c:pt>
                <c:pt idx="1421">
                  <c:v>45047</c:v>
                </c:pt>
                <c:pt idx="1422">
                  <c:v>45047</c:v>
                </c:pt>
                <c:pt idx="1423">
                  <c:v>45047</c:v>
                </c:pt>
                <c:pt idx="1424">
                  <c:v>45047</c:v>
                </c:pt>
                <c:pt idx="1425">
                  <c:v>45047</c:v>
                </c:pt>
                <c:pt idx="1426">
                  <c:v>45047</c:v>
                </c:pt>
                <c:pt idx="1427">
                  <c:v>45047</c:v>
                </c:pt>
                <c:pt idx="1428">
                  <c:v>45047</c:v>
                </c:pt>
                <c:pt idx="1429">
                  <c:v>45047</c:v>
                </c:pt>
                <c:pt idx="1430">
                  <c:v>45047</c:v>
                </c:pt>
                <c:pt idx="1431">
                  <c:v>45047</c:v>
                </c:pt>
                <c:pt idx="1432">
                  <c:v>45047</c:v>
                </c:pt>
                <c:pt idx="1433">
                  <c:v>45047</c:v>
                </c:pt>
                <c:pt idx="1434">
                  <c:v>45047</c:v>
                </c:pt>
                <c:pt idx="1435">
                  <c:v>45047</c:v>
                </c:pt>
                <c:pt idx="1436">
                  <c:v>45047</c:v>
                </c:pt>
                <c:pt idx="1437">
                  <c:v>45078</c:v>
                </c:pt>
                <c:pt idx="1438">
                  <c:v>45078</c:v>
                </c:pt>
                <c:pt idx="1439">
                  <c:v>45078</c:v>
                </c:pt>
                <c:pt idx="1440">
                  <c:v>45078</c:v>
                </c:pt>
                <c:pt idx="1441">
                  <c:v>45078</c:v>
                </c:pt>
                <c:pt idx="1442">
                  <c:v>45078</c:v>
                </c:pt>
                <c:pt idx="1443">
                  <c:v>45078</c:v>
                </c:pt>
                <c:pt idx="1444">
                  <c:v>45078</c:v>
                </c:pt>
                <c:pt idx="1445">
                  <c:v>45078</c:v>
                </c:pt>
                <c:pt idx="1446">
                  <c:v>45078</c:v>
                </c:pt>
                <c:pt idx="1447">
                  <c:v>45078</c:v>
                </c:pt>
                <c:pt idx="1448">
                  <c:v>45078</c:v>
                </c:pt>
                <c:pt idx="1449">
                  <c:v>45078</c:v>
                </c:pt>
                <c:pt idx="1450">
                  <c:v>45078</c:v>
                </c:pt>
                <c:pt idx="1451">
                  <c:v>45078</c:v>
                </c:pt>
                <c:pt idx="1452">
                  <c:v>45078</c:v>
                </c:pt>
                <c:pt idx="1453">
                  <c:v>45108</c:v>
                </c:pt>
                <c:pt idx="1454">
                  <c:v>45108</c:v>
                </c:pt>
                <c:pt idx="1455">
                  <c:v>45108</c:v>
                </c:pt>
                <c:pt idx="1456">
                  <c:v>45108</c:v>
                </c:pt>
                <c:pt idx="1457">
                  <c:v>45108</c:v>
                </c:pt>
                <c:pt idx="1458">
                  <c:v>45108</c:v>
                </c:pt>
                <c:pt idx="1459">
                  <c:v>45108</c:v>
                </c:pt>
                <c:pt idx="1460">
                  <c:v>45108</c:v>
                </c:pt>
                <c:pt idx="1461">
                  <c:v>45108</c:v>
                </c:pt>
                <c:pt idx="1462">
                  <c:v>45108</c:v>
                </c:pt>
                <c:pt idx="1463">
                  <c:v>45108</c:v>
                </c:pt>
                <c:pt idx="1464">
                  <c:v>45108</c:v>
                </c:pt>
                <c:pt idx="1465">
                  <c:v>45108</c:v>
                </c:pt>
                <c:pt idx="1466">
                  <c:v>45108</c:v>
                </c:pt>
                <c:pt idx="1467">
                  <c:v>45108</c:v>
                </c:pt>
                <c:pt idx="1468">
                  <c:v>45108</c:v>
                </c:pt>
                <c:pt idx="1469">
                  <c:v>45139</c:v>
                </c:pt>
                <c:pt idx="1470">
                  <c:v>45139</c:v>
                </c:pt>
                <c:pt idx="1471">
                  <c:v>45139</c:v>
                </c:pt>
                <c:pt idx="1472">
                  <c:v>45139</c:v>
                </c:pt>
                <c:pt idx="1473">
                  <c:v>45139</c:v>
                </c:pt>
                <c:pt idx="1474">
                  <c:v>45139</c:v>
                </c:pt>
                <c:pt idx="1475">
                  <c:v>45139</c:v>
                </c:pt>
                <c:pt idx="1476">
                  <c:v>45139</c:v>
                </c:pt>
                <c:pt idx="1477">
                  <c:v>45139</c:v>
                </c:pt>
                <c:pt idx="1478">
                  <c:v>45139</c:v>
                </c:pt>
                <c:pt idx="1479">
                  <c:v>45139</c:v>
                </c:pt>
                <c:pt idx="1480">
                  <c:v>45139</c:v>
                </c:pt>
                <c:pt idx="1481">
                  <c:v>45139</c:v>
                </c:pt>
                <c:pt idx="1482">
                  <c:v>45139</c:v>
                </c:pt>
                <c:pt idx="1483">
                  <c:v>45139</c:v>
                </c:pt>
                <c:pt idx="1484">
                  <c:v>45139</c:v>
                </c:pt>
                <c:pt idx="1485">
                  <c:v>45170</c:v>
                </c:pt>
                <c:pt idx="1486">
                  <c:v>45170</c:v>
                </c:pt>
                <c:pt idx="1487">
                  <c:v>45170</c:v>
                </c:pt>
                <c:pt idx="1488">
                  <c:v>45170</c:v>
                </c:pt>
                <c:pt idx="1489">
                  <c:v>45170</c:v>
                </c:pt>
                <c:pt idx="1490">
                  <c:v>45170</c:v>
                </c:pt>
                <c:pt idx="1491">
                  <c:v>45170</c:v>
                </c:pt>
                <c:pt idx="1492">
                  <c:v>45170</c:v>
                </c:pt>
                <c:pt idx="1493">
                  <c:v>45170</c:v>
                </c:pt>
                <c:pt idx="1494">
                  <c:v>45170</c:v>
                </c:pt>
                <c:pt idx="1495">
                  <c:v>45170</c:v>
                </c:pt>
                <c:pt idx="1496">
                  <c:v>45170</c:v>
                </c:pt>
                <c:pt idx="1497">
                  <c:v>45170</c:v>
                </c:pt>
                <c:pt idx="1498">
                  <c:v>45170</c:v>
                </c:pt>
                <c:pt idx="1499">
                  <c:v>45170</c:v>
                </c:pt>
                <c:pt idx="1500">
                  <c:v>45170</c:v>
                </c:pt>
                <c:pt idx="1501">
                  <c:v>45200</c:v>
                </c:pt>
                <c:pt idx="1502">
                  <c:v>45200</c:v>
                </c:pt>
                <c:pt idx="1503">
                  <c:v>45200</c:v>
                </c:pt>
                <c:pt idx="1504">
                  <c:v>45200</c:v>
                </c:pt>
                <c:pt idx="1505">
                  <c:v>45200</c:v>
                </c:pt>
                <c:pt idx="1506">
                  <c:v>45200</c:v>
                </c:pt>
                <c:pt idx="1507">
                  <c:v>45200</c:v>
                </c:pt>
                <c:pt idx="1508">
                  <c:v>45200</c:v>
                </c:pt>
                <c:pt idx="1509">
                  <c:v>45200</c:v>
                </c:pt>
                <c:pt idx="1510">
                  <c:v>45200</c:v>
                </c:pt>
                <c:pt idx="1511">
                  <c:v>45200</c:v>
                </c:pt>
                <c:pt idx="1512">
                  <c:v>45200</c:v>
                </c:pt>
                <c:pt idx="1513">
                  <c:v>45200</c:v>
                </c:pt>
                <c:pt idx="1514">
                  <c:v>45200</c:v>
                </c:pt>
                <c:pt idx="1515">
                  <c:v>45200</c:v>
                </c:pt>
                <c:pt idx="1516">
                  <c:v>45200</c:v>
                </c:pt>
              </c:numCache>
            </c:numRef>
          </c:xVal>
          <c:yVal>
            <c:numRef>
              <c:f>ExportsChartData!$B$2:$B$1518</c:f>
              <c:numCache>
                <c:formatCode>General</c:formatCode>
                <c:ptCount val="1517"/>
                <c:pt idx="0">
                  <c:v>2.4000000953674321</c:v>
                </c:pt>
                <c:pt idx="1">
                  <c:v>2.7000000476837158</c:v>
                </c:pt>
                <c:pt idx="2">
                  <c:v>2.7000000476837158</c:v>
                </c:pt>
                <c:pt idx="3">
                  <c:v>3.2999999523162842</c:v>
                </c:pt>
                <c:pt idx="4">
                  <c:v>3.7000000476837158</c:v>
                </c:pt>
                <c:pt idx="5">
                  <c:v>4</c:v>
                </c:pt>
                <c:pt idx="6">
                  <c:v>5.3333334922790527</c:v>
                </c:pt>
                <c:pt idx="7">
                  <c:v>6.5</c:v>
                </c:pt>
                <c:pt idx="8">
                  <c:v>10.52666664123535</c:v>
                </c:pt>
                <c:pt idx="9">
                  <c:v>2.7000000476837158</c:v>
                </c:pt>
                <c:pt idx="10">
                  <c:v>3.2000000476837158</c:v>
                </c:pt>
                <c:pt idx="11">
                  <c:v>3.2000000476837158</c:v>
                </c:pt>
                <c:pt idx="12">
                  <c:v>3.4249999523162842</c:v>
                </c:pt>
                <c:pt idx="13">
                  <c:v>3.5666666030883789</c:v>
                </c:pt>
                <c:pt idx="14">
                  <c:v>4</c:v>
                </c:pt>
                <c:pt idx="15">
                  <c:v>4.1500000953674316</c:v>
                </c:pt>
                <c:pt idx="16">
                  <c:v>4.6999998092651367</c:v>
                </c:pt>
                <c:pt idx="17">
                  <c:v>5</c:v>
                </c:pt>
                <c:pt idx="18">
                  <c:v>5.625</c:v>
                </c:pt>
                <c:pt idx="19">
                  <c:v>11.159523963928221</c:v>
                </c:pt>
                <c:pt idx="20">
                  <c:v>2.7000000476837158</c:v>
                </c:pt>
                <c:pt idx="21">
                  <c:v>2.7000000476837158</c:v>
                </c:pt>
                <c:pt idx="22">
                  <c:v>3.0111110210418701</c:v>
                </c:pt>
                <c:pt idx="23">
                  <c:v>3.0250000953674321</c:v>
                </c:pt>
                <c:pt idx="24">
                  <c:v>3.0999999046325679</c:v>
                </c:pt>
                <c:pt idx="25">
                  <c:v>3.15625</c:v>
                </c:pt>
                <c:pt idx="26">
                  <c:v>4</c:v>
                </c:pt>
                <c:pt idx="27">
                  <c:v>4.5</c:v>
                </c:pt>
                <c:pt idx="28">
                  <c:v>4.6999998092651367</c:v>
                </c:pt>
                <c:pt idx="29">
                  <c:v>5.7666664123535156</c:v>
                </c:pt>
                <c:pt idx="30">
                  <c:v>6</c:v>
                </c:pt>
                <c:pt idx="31">
                  <c:v>6</c:v>
                </c:pt>
                <c:pt idx="32">
                  <c:v>10.853030204772949</c:v>
                </c:pt>
                <c:pt idx="33">
                  <c:v>1.700000047683716</c:v>
                </c:pt>
                <c:pt idx="34">
                  <c:v>2.5</c:v>
                </c:pt>
                <c:pt idx="35">
                  <c:v>2.7000000476837158</c:v>
                </c:pt>
                <c:pt idx="36">
                  <c:v>2.7999999523162842</c:v>
                </c:pt>
                <c:pt idx="37">
                  <c:v>3.2294118404388432</c:v>
                </c:pt>
                <c:pt idx="38">
                  <c:v>3.822222232818604</c:v>
                </c:pt>
                <c:pt idx="39">
                  <c:v>4</c:v>
                </c:pt>
                <c:pt idx="40">
                  <c:v>4.6999998092651367</c:v>
                </c:pt>
                <c:pt idx="41">
                  <c:v>6.5</c:v>
                </c:pt>
                <c:pt idx="42">
                  <c:v>11.18020820617676</c:v>
                </c:pt>
                <c:pt idx="43">
                  <c:v>2.7000000476837158</c:v>
                </c:pt>
                <c:pt idx="44">
                  <c:v>2.7000000476837158</c:v>
                </c:pt>
                <c:pt idx="45">
                  <c:v>2.7000000476837158</c:v>
                </c:pt>
                <c:pt idx="46">
                  <c:v>3.2882354259490971</c:v>
                </c:pt>
                <c:pt idx="47">
                  <c:v>3.7999999523162842</c:v>
                </c:pt>
                <c:pt idx="48">
                  <c:v>4</c:v>
                </c:pt>
                <c:pt idx="49">
                  <c:v>4.6999998092651367</c:v>
                </c:pt>
                <c:pt idx="50">
                  <c:v>6.5</c:v>
                </c:pt>
                <c:pt idx="51">
                  <c:v>6.5</c:v>
                </c:pt>
                <c:pt idx="52">
                  <c:v>11.549484252929689</c:v>
                </c:pt>
                <c:pt idx="53">
                  <c:v>2.7000000476837158</c:v>
                </c:pt>
                <c:pt idx="54">
                  <c:v>2.7000000476837158</c:v>
                </c:pt>
                <c:pt idx="55">
                  <c:v>2.7000000476837158</c:v>
                </c:pt>
                <c:pt idx="56">
                  <c:v>3.1687500476837158</c:v>
                </c:pt>
                <c:pt idx="57">
                  <c:v>3.4500000476837158</c:v>
                </c:pt>
                <c:pt idx="58">
                  <c:v>4</c:v>
                </c:pt>
                <c:pt idx="59">
                  <c:v>4</c:v>
                </c:pt>
                <c:pt idx="60">
                  <c:v>6.5</c:v>
                </c:pt>
                <c:pt idx="61">
                  <c:v>6.5</c:v>
                </c:pt>
                <c:pt idx="62">
                  <c:v>10.99620246887207</c:v>
                </c:pt>
                <c:pt idx="63">
                  <c:v>2.0999999046325679</c:v>
                </c:pt>
                <c:pt idx="64">
                  <c:v>2.7000000476837158</c:v>
                </c:pt>
                <c:pt idx="65">
                  <c:v>2.7000000476837158</c:v>
                </c:pt>
                <c:pt idx="66">
                  <c:v>2.8499999046325679</c:v>
                </c:pt>
                <c:pt idx="67">
                  <c:v>3.2000000476837158</c:v>
                </c:pt>
                <c:pt idx="68">
                  <c:v>3.2000000476837158</c:v>
                </c:pt>
                <c:pt idx="69">
                  <c:v>4</c:v>
                </c:pt>
                <c:pt idx="70">
                  <c:v>4</c:v>
                </c:pt>
                <c:pt idx="71">
                  <c:v>6.5</c:v>
                </c:pt>
                <c:pt idx="72">
                  <c:v>6.5</c:v>
                </c:pt>
                <c:pt idx="73">
                  <c:v>11.0703125</c:v>
                </c:pt>
                <c:pt idx="74">
                  <c:v>2.7000000476837158</c:v>
                </c:pt>
                <c:pt idx="75">
                  <c:v>2.8666667938232422</c:v>
                </c:pt>
                <c:pt idx="76">
                  <c:v>2.9000000953674321</c:v>
                </c:pt>
                <c:pt idx="77">
                  <c:v>3.070000171661377</c:v>
                </c:pt>
                <c:pt idx="78">
                  <c:v>3.2300000190734859</c:v>
                </c:pt>
                <c:pt idx="79">
                  <c:v>3.3166666030883789</c:v>
                </c:pt>
                <c:pt idx="80">
                  <c:v>4</c:v>
                </c:pt>
                <c:pt idx="81">
                  <c:v>4.6999998092651367</c:v>
                </c:pt>
                <c:pt idx="82">
                  <c:v>5.4428572654724121</c:v>
                </c:pt>
                <c:pt idx="83">
                  <c:v>6.5</c:v>
                </c:pt>
                <c:pt idx="84">
                  <c:v>7.3499999046325684</c:v>
                </c:pt>
                <c:pt idx="85">
                  <c:v>10.641176223754879</c:v>
                </c:pt>
                <c:pt idx="86">
                  <c:v>2.779999971389771</c:v>
                </c:pt>
                <c:pt idx="87">
                  <c:v>2.990909099578857</c:v>
                </c:pt>
                <c:pt idx="88">
                  <c:v>3</c:v>
                </c:pt>
                <c:pt idx="89">
                  <c:v>3.033333301544189</c:v>
                </c:pt>
                <c:pt idx="90">
                  <c:v>3.0999999046325679</c:v>
                </c:pt>
                <c:pt idx="91">
                  <c:v>3.4000000953674321</c:v>
                </c:pt>
                <c:pt idx="92">
                  <c:v>3.9000000953674321</c:v>
                </c:pt>
                <c:pt idx="93">
                  <c:v>4</c:v>
                </c:pt>
                <c:pt idx="94">
                  <c:v>4.6999998092651367</c:v>
                </c:pt>
                <c:pt idx="95">
                  <c:v>5.8181819915771484</c:v>
                </c:pt>
                <c:pt idx="96">
                  <c:v>6.3000001907348633</c:v>
                </c:pt>
                <c:pt idx="97">
                  <c:v>10.439285278320311</c:v>
                </c:pt>
                <c:pt idx="98">
                  <c:v>1.700000047683716</c:v>
                </c:pt>
                <c:pt idx="99">
                  <c:v>2.5</c:v>
                </c:pt>
                <c:pt idx="100">
                  <c:v>2.7000000476837158</c:v>
                </c:pt>
                <c:pt idx="101">
                  <c:v>2.7750000953674321</c:v>
                </c:pt>
                <c:pt idx="102">
                  <c:v>3.1615386009216309</c:v>
                </c:pt>
                <c:pt idx="103">
                  <c:v>3.4249999523162842</c:v>
                </c:pt>
                <c:pt idx="104">
                  <c:v>4</c:v>
                </c:pt>
                <c:pt idx="105">
                  <c:v>6.0555553436279297</c:v>
                </c:pt>
                <c:pt idx="106">
                  <c:v>6.5</c:v>
                </c:pt>
                <c:pt idx="107">
                  <c:v>10.82736873626709</c:v>
                </c:pt>
                <c:pt idx="108">
                  <c:v>10.89999961853027</c:v>
                </c:pt>
                <c:pt idx="109">
                  <c:v>2.7000000476837158</c:v>
                </c:pt>
                <c:pt idx="110">
                  <c:v>3.2789473533630371</c:v>
                </c:pt>
                <c:pt idx="111">
                  <c:v>3.3499999046325679</c:v>
                </c:pt>
                <c:pt idx="112">
                  <c:v>3.693750143051147</c:v>
                </c:pt>
                <c:pt idx="113">
                  <c:v>3.7066667079925542</c:v>
                </c:pt>
                <c:pt idx="114">
                  <c:v>3.8636362552642818</c:v>
                </c:pt>
                <c:pt idx="115">
                  <c:v>4.6999998092651367</c:v>
                </c:pt>
                <c:pt idx="116">
                  <c:v>6.5</c:v>
                </c:pt>
                <c:pt idx="117">
                  <c:v>6.5</c:v>
                </c:pt>
                <c:pt idx="118">
                  <c:v>6.8499999046325684</c:v>
                </c:pt>
                <c:pt idx="119">
                  <c:v>10.89999961853027</c:v>
                </c:pt>
                <c:pt idx="120">
                  <c:v>11.0092306137085</c:v>
                </c:pt>
                <c:pt idx="121">
                  <c:v>2.7000000476837158</c:v>
                </c:pt>
                <c:pt idx="122">
                  <c:v>2.7000000476837158</c:v>
                </c:pt>
                <c:pt idx="123">
                  <c:v>2.8499999046325679</c:v>
                </c:pt>
                <c:pt idx="124">
                  <c:v>2.928571462631226</c:v>
                </c:pt>
                <c:pt idx="125">
                  <c:v>3.2333333492279048</c:v>
                </c:pt>
                <c:pt idx="126">
                  <c:v>3.2411766052246089</c:v>
                </c:pt>
                <c:pt idx="127">
                  <c:v>4</c:v>
                </c:pt>
                <c:pt idx="128">
                  <c:v>4.6999998092651367</c:v>
                </c:pt>
                <c:pt idx="129">
                  <c:v>5.8000001907348633</c:v>
                </c:pt>
                <c:pt idx="130">
                  <c:v>6.25</c:v>
                </c:pt>
                <c:pt idx="131">
                  <c:v>10.74406814575195</c:v>
                </c:pt>
                <c:pt idx="132">
                  <c:v>10.89999961853027</c:v>
                </c:pt>
                <c:pt idx="133">
                  <c:v>2.7000000476837158</c:v>
                </c:pt>
                <c:pt idx="134">
                  <c:v>2.7000000476837158</c:v>
                </c:pt>
                <c:pt idx="135">
                  <c:v>3.0166666507720952</c:v>
                </c:pt>
                <c:pt idx="136">
                  <c:v>3.1124999523162842</c:v>
                </c:pt>
                <c:pt idx="137">
                  <c:v>4.1333332061767578</c:v>
                </c:pt>
                <c:pt idx="138">
                  <c:v>4.5</c:v>
                </c:pt>
                <c:pt idx="139">
                  <c:v>4.6999998092651367</c:v>
                </c:pt>
                <c:pt idx="140">
                  <c:v>6.25</c:v>
                </c:pt>
                <c:pt idx="141">
                  <c:v>6.3499999046325684</c:v>
                </c:pt>
                <c:pt idx="142">
                  <c:v>10.25</c:v>
                </c:pt>
                <c:pt idx="143">
                  <c:v>2.7000000476837158</c:v>
                </c:pt>
                <c:pt idx="144">
                  <c:v>2.7000000476837158</c:v>
                </c:pt>
                <c:pt idx="145">
                  <c:v>2.7000000476837158</c:v>
                </c:pt>
                <c:pt idx="146">
                  <c:v>3.2000000476837158</c:v>
                </c:pt>
                <c:pt idx="147">
                  <c:v>3.3333332538604741</c:v>
                </c:pt>
                <c:pt idx="148">
                  <c:v>3.7000000476837158</c:v>
                </c:pt>
                <c:pt idx="149">
                  <c:v>4</c:v>
                </c:pt>
                <c:pt idx="150">
                  <c:v>4.6999998092651367</c:v>
                </c:pt>
                <c:pt idx="151">
                  <c:v>4.75</c:v>
                </c:pt>
                <c:pt idx="152">
                  <c:v>6.5</c:v>
                </c:pt>
                <c:pt idx="153">
                  <c:v>10.778947830200201</c:v>
                </c:pt>
                <c:pt idx="154">
                  <c:v>1.700000047683716</c:v>
                </c:pt>
                <c:pt idx="155">
                  <c:v>2.7000000476837158</c:v>
                </c:pt>
                <c:pt idx="156">
                  <c:v>2.7857143878936772</c:v>
                </c:pt>
                <c:pt idx="157">
                  <c:v>3.2000000476837158</c:v>
                </c:pt>
                <c:pt idx="158">
                  <c:v>3.2625000476837158</c:v>
                </c:pt>
                <c:pt idx="159">
                  <c:v>3.9000000953674321</c:v>
                </c:pt>
                <c:pt idx="160">
                  <c:v>4</c:v>
                </c:pt>
                <c:pt idx="161">
                  <c:v>4.6999998092651367</c:v>
                </c:pt>
                <c:pt idx="162">
                  <c:v>6.2916665077209473</c:v>
                </c:pt>
                <c:pt idx="163">
                  <c:v>6.5</c:v>
                </c:pt>
                <c:pt idx="164">
                  <c:v>11.272340774536129</c:v>
                </c:pt>
                <c:pt idx="165">
                  <c:v>2.7000000476837158</c:v>
                </c:pt>
                <c:pt idx="166">
                  <c:v>2.7000000476837158</c:v>
                </c:pt>
                <c:pt idx="167">
                  <c:v>2.8499999046325679</c:v>
                </c:pt>
                <c:pt idx="168">
                  <c:v>3.1230769157409668</c:v>
                </c:pt>
                <c:pt idx="169">
                  <c:v>3.2999999523162842</c:v>
                </c:pt>
                <c:pt idx="170">
                  <c:v>3.6400001049041748</c:v>
                </c:pt>
                <c:pt idx="171">
                  <c:v>4</c:v>
                </c:pt>
                <c:pt idx="172">
                  <c:v>4.6999998092651367</c:v>
                </c:pt>
                <c:pt idx="173">
                  <c:v>5.5833334922790527</c:v>
                </c:pt>
                <c:pt idx="174">
                  <c:v>6.3454546928405762</c:v>
                </c:pt>
                <c:pt idx="175">
                  <c:v>11.29682540893555</c:v>
                </c:pt>
                <c:pt idx="176">
                  <c:v>1.700000047683716</c:v>
                </c:pt>
                <c:pt idx="177">
                  <c:v>2.3499999046325679</c:v>
                </c:pt>
                <c:pt idx="178">
                  <c:v>2.7000000476837158</c:v>
                </c:pt>
                <c:pt idx="179">
                  <c:v>2.7000000476837158</c:v>
                </c:pt>
                <c:pt idx="180">
                  <c:v>2.7666666507720952</c:v>
                </c:pt>
                <c:pt idx="181">
                  <c:v>3.144444465637207</c:v>
                </c:pt>
                <c:pt idx="182">
                  <c:v>3.6666667461395259</c:v>
                </c:pt>
                <c:pt idx="183">
                  <c:v>4</c:v>
                </c:pt>
                <c:pt idx="184">
                  <c:v>4.6999998092651367</c:v>
                </c:pt>
                <c:pt idx="185">
                  <c:v>5.6999998092651367</c:v>
                </c:pt>
                <c:pt idx="186">
                  <c:v>6.5</c:v>
                </c:pt>
                <c:pt idx="187">
                  <c:v>10.89999961853027</c:v>
                </c:pt>
                <c:pt idx="188">
                  <c:v>11.098386764526371</c:v>
                </c:pt>
                <c:pt idx="189">
                  <c:v>2.3499999046325679</c:v>
                </c:pt>
                <c:pt idx="190">
                  <c:v>2.7000000476837158</c:v>
                </c:pt>
                <c:pt idx="191">
                  <c:v>2.7000000476837158</c:v>
                </c:pt>
                <c:pt idx="192">
                  <c:v>3.4200000762939449</c:v>
                </c:pt>
                <c:pt idx="193">
                  <c:v>3.7999999523162842</c:v>
                </c:pt>
                <c:pt idx="194">
                  <c:v>4</c:v>
                </c:pt>
                <c:pt idx="195">
                  <c:v>4.320000171661377</c:v>
                </c:pt>
                <c:pt idx="196">
                  <c:v>4.6999998092651367</c:v>
                </c:pt>
                <c:pt idx="197">
                  <c:v>5.9666666984558114</c:v>
                </c:pt>
                <c:pt idx="198">
                  <c:v>6.1999998092651367</c:v>
                </c:pt>
                <c:pt idx="199">
                  <c:v>10.91874980926514</c:v>
                </c:pt>
                <c:pt idx="200">
                  <c:v>1.800000071525574</c:v>
                </c:pt>
                <c:pt idx="201">
                  <c:v>2.7000000476837158</c:v>
                </c:pt>
                <c:pt idx="202">
                  <c:v>2.7000000476837158</c:v>
                </c:pt>
                <c:pt idx="203">
                  <c:v>2.7000000476837158</c:v>
                </c:pt>
                <c:pt idx="204">
                  <c:v>2.7000000476837158</c:v>
                </c:pt>
                <c:pt idx="205">
                  <c:v>3.0666666030883789</c:v>
                </c:pt>
                <c:pt idx="206">
                  <c:v>4</c:v>
                </c:pt>
                <c:pt idx="207">
                  <c:v>4.3499999046325684</c:v>
                </c:pt>
                <c:pt idx="208">
                  <c:v>5.3000001907348633</c:v>
                </c:pt>
                <c:pt idx="209">
                  <c:v>6.5</c:v>
                </c:pt>
                <c:pt idx="210">
                  <c:v>10.89999961853027</c:v>
                </c:pt>
                <c:pt idx="211">
                  <c:v>11.070212364196779</c:v>
                </c:pt>
                <c:pt idx="212">
                  <c:v>2.7000000476837158</c:v>
                </c:pt>
                <c:pt idx="213">
                  <c:v>2.7000000476837158</c:v>
                </c:pt>
                <c:pt idx="214">
                  <c:v>3.2000000476837158</c:v>
                </c:pt>
                <c:pt idx="215">
                  <c:v>3.466666698455811</c:v>
                </c:pt>
                <c:pt idx="216">
                  <c:v>3.7000000476837158</c:v>
                </c:pt>
                <c:pt idx="217">
                  <c:v>4</c:v>
                </c:pt>
                <c:pt idx="218">
                  <c:v>4.6999998092651367</c:v>
                </c:pt>
                <c:pt idx="219">
                  <c:v>5.5</c:v>
                </c:pt>
                <c:pt idx="220">
                  <c:v>6.4499998092651367</c:v>
                </c:pt>
                <c:pt idx="221">
                  <c:v>10.91304302215576</c:v>
                </c:pt>
                <c:pt idx="222">
                  <c:v>1.700000047683716</c:v>
                </c:pt>
                <c:pt idx="223">
                  <c:v>2.5750000476837158</c:v>
                </c:pt>
                <c:pt idx="224">
                  <c:v>2.7000000476837158</c:v>
                </c:pt>
                <c:pt idx="225">
                  <c:v>3.1076922416687012</c:v>
                </c:pt>
                <c:pt idx="226">
                  <c:v>3.18666672706604</c:v>
                </c:pt>
                <c:pt idx="227">
                  <c:v>3.4874999523162842</c:v>
                </c:pt>
                <c:pt idx="228">
                  <c:v>4</c:v>
                </c:pt>
                <c:pt idx="229">
                  <c:v>4.6999998092651367</c:v>
                </c:pt>
                <c:pt idx="230">
                  <c:v>5.2142858505249023</c:v>
                </c:pt>
                <c:pt idx="231">
                  <c:v>6.5</c:v>
                </c:pt>
                <c:pt idx="232">
                  <c:v>10.91379356384277</c:v>
                </c:pt>
                <c:pt idx="233">
                  <c:v>1.700000047683716</c:v>
                </c:pt>
                <c:pt idx="234">
                  <c:v>2.7000000476837158</c:v>
                </c:pt>
                <c:pt idx="235">
                  <c:v>2.7000000476837158</c:v>
                </c:pt>
                <c:pt idx="236">
                  <c:v>3</c:v>
                </c:pt>
                <c:pt idx="237">
                  <c:v>3.2285714149475102</c:v>
                </c:pt>
                <c:pt idx="238">
                  <c:v>4</c:v>
                </c:pt>
                <c:pt idx="239">
                  <c:v>4.6999998092651367</c:v>
                </c:pt>
                <c:pt idx="240">
                  <c:v>5.1666665077209473</c:v>
                </c:pt>
                <c:pt idx="241">
                  <c:v>6.4749999046325684</c:v>
                </c:pt>
                <c:pt idx="242">
                  <c:v>10.808333396911619</c:v>
                </c:pt>
                <c:pt idx="243">
                  <c:v>10.89999961853027</c:v>
                </c:pt>
                <c:pt idx="244">
                  <c:v>1.700000047683716</c:v>
                </c:pt>
                <c:pt idx="245">
                  <c:v>2.7000000476837158</c:v>
                </c:pt>
                <c:pt idx="246">
                  <c:v>2.7000000476837158</c:v>
                </c:pt>
                <c:pt idx="247">
                  <c:v>2.7000000476837158</c:v>
                </c:pt>
                <c:pt idx="248">
                  <c:v>2.880000114440918</c:v>
                </c:pt>
                <c:pt idx="249">
                  <c:v>3.0894737243652339</c:v>
                </c:pt>
                <c:pt idx="250">
                  <c:v>4</c:v>
                </c:pt>
                <c:pt idx="251">
                  <c:v>4.3499999046325684</c:v>
                </c:pt>
                <c:pt idx="252">
                  <c:v>5.25</c:v>
                </c:pt>
                <c:pt idx="253">
                  <c:v>6.5</c:v>
                </c:pt>
                <c:pt idx="254">
                  <c:v>10.795000076293951</c:v>
                </c:pt>
                <c:pt idx="255">
                  <c:v>2.7000000476837158</c:v>
                </c:pt>
                <c:pt idx="256">
                  <c:v>2.7000000476837158</c:v>
                </c:pt>
                <c:pt idx="257">
                  <c:v>2.966666698455811</c:v>
                </c:pt>
                <c:pt idx="258">
                  <c:v>3.160000085830688</c:v>
                </c:pt>
                <c:pt idx="259">
                  <c:v>4</c:v>
                </c:pt>
                <c:pt idx="260">
                  <c:v>4.4000000953674316</c:v>
                </c:pt>
                <c:pt idx="261">
                  <c:v>4.9444446563720703</c:v>
                </c:pt>
                <c:pt idx="262">
                  <c:v>6.5</c:v>
                </c:pt>
                <c:pt idx="263">
                  <c:v>10.80606079101563</c:v>
                </c:pt>
                <c:pt idx="264">
                  <c:v>10.89999961853027</c:v>
                </c:pt>
                <c:pt idx="265">
                  <c:v>2.7000000476837158</c:v>
                </c:pt>
                <c:pt idx="266">
                  <c:v>2.7000000476837158</c:v>
                </c:pt>
                <c:pt idx="267">
                  <c:v>2.7100000381469731</c:v>
                </c:pt>
                <c:pt idx="268">
                  <c:v>4</c:v>
                </c:pt>
                <c:pt idx="269">
                  <c:v>4.5666666030883789</c:v>
                </c:pt>
                <c:pt idx="270">
                  <c:v>5.5</c:v>
                </c:pt>
                <c:pt idx="271">
                  <c:v>6.0909090042114258</c:v>
                </c:pt>
                <c:pt idx="272">
                  <c:v>7</c:v>
                </c:pt>
                <c:pt idx="273">
                  <c:v>10.761111259460449</c:v>
                </c:pt>
                <c:pt idx="274">
                  <c:v>10.89999961853027</c:v>
                </c:pt>
                <c:pt idx="275">
                  <c:v>2.7000000476837158</c:v>
                </c:pt>
                <c:pt idx="276">
                  <c:v>2.7000000476837158</c:v>
                </c:pt>
                <c:pt idx="277">
                  <c:v>2.888888835906982</c:v>
                </c:pt>
                <c:pt idx="278">
                  <c:v>3</c:v>
                </c:pt>
                <c:pt idx="279">
                  <c:v>3.3499999046325679</c:v>
                </c:pt>
                <c:pt idx="280">
                  <c:v>4</c:v>
                </c:pt>
                <c:pt idx="281">
                  <c:v>6.5</c:v>
                </c:pt>
                <c:pt idx="282">
                  <c:v>10.89999961853027</c:v>
                </c:pt>
                <c:pt idx="283">
                  <c:v>10.94444465637207</c:v>
                </c:pt>
                <c:pt idx="284">
                  <c:v>12</c:v>
                </c:pt>
                <c:pt idx="285">
                  <c:v>2.7000000476837158</c:v>
                </c:pt>
                <c:pt idx="286">
                  <c:v>3</c:v>
                </c:pt>
                <c:pt idx="287">
                  <c:v>3</c:v>
                </c:pt>
                <c:pt idx="288">
                  <c:v>3.3600001335144039</c:v>
                </c:pt>
                <c:pt idx="289">
                  <c:v>3.5625</c:v>
                </c:pt>
                <c:pt idx="290">
                  <c:v>3.75</c:v>
                </c:pt>
                <c:pt idx="291">
                  <c:v>3.7599999904632568</c:v>
                </c:pt>
                <c:pt idx="292">
                  <c:v>4.1500000953674316</c:v>
                </c:pt>
                <c:pt idx="293">
                  <c:v>4.6999998092651367</c:v>
                </c:pt>
                <c:pt idx="294">
                  <c:v>4.9000000953674316</c:v>
                </c:pt>
                <c:pt idx="295">
                  <c:v>6.5</c:v>
                </c:pt>
                <c:pt idx="296">
                  <c:v>10.89999961853027</c:v>
                </c:pt>
                <c:pt idx="297">
                  <c:v>10.948684692382811</c:v>
                </c:pt>
                <c:pt idx="298">
                  <c:v>1.700000047683716</c:v>
                </c:pt>
                <c:pt idx="299">
                  <c:v>2.7000000476837158</c:v>
                </c:pt>
                <c:pt idx="300">
                  <c:v>2.8666667938232422</c:v>
                </c:pt>
                <c:pt idx="301">
                  <c:v>3.2266666889190669</c:v>
                </c:pt>
                <c:pt idx="302">
                  <c:v>3.3499999046325679</c:v>
                </c:pt>
                <c:pt idx="303">
                  <c:v>3.7333333492279048</c:v>
                </c:pt>
                <c:pt idx="304">
                  <c:v>4</c:v>
                </c:pt>
                <c:pt idx="305">
                  <c:v>4.6999998092651367</c:v>
                </c:pt>
                <c:pt idx="306">
                  <c:v>5.3571429252624512</c:v>
                </c:pt>
                <c:pt idx="307">
                  <c:v>5.5999999046325684</c:v>
                </c:pt>
                <c:pt idx="308">
                  <c:v>6.5</c:v>
                </c:pt>
                <c:pt idx="309">
                  <c:v>10.89999961853027</c:v>
                </c:pt>
                <c:pt idx="310">
                  <c:v>11.454667091369631</c:v>
                </c:pt>
                <c:pt idx="311">
                  <c:v>2.7000000476837158</c:v>
                </c:pt>
                <c:pt idx="312">
                  <c:v>2.7599999904632568</c:v>
                </c:pt>
                <c:pt idx="313">
                  <c:v>2.8933334350585942</c:v>
                </c:pt>
                <c:pt idx="314">
                  <c:v>3.7857143878936772</c:v>
                </c:pt>
                <c:pt idx="315">
                  <c:v>4.0142855644226074</c:v>
                </c:pt>
                <c:pt idx="316">
                  <c:v>4.6333332061767578</c:v>
                </c:pt>
                <c:pt idx="317">
                  <c:v>4.6999998092651367</c:v>
                </c:pt>
                <c:pt idx="318">
                  <c:v>5.2142858505249023</c:v>
                </c:pt>
                <c:pt idx="319">
                  <c:v>6.5</c:v>
                </c:pt>
                <c:pt idx="320">
                  <c:v>8.6999998092651367</c:v>
                </c:pt>
                <c:pt idx="321">
                  <c:v>11.13199996948242</c:v>
                </c:pt>
                <c:pt idx="322">
                  <c:v>2.7000000476837158</c:v>
                </c:pt>
                <c:pt idx="323">
                  <c:v>2.7000000476837158</c:v>
                </c:pt>
                <c:pt idx="324">
                  <c:v>2.7000000476837158</c:v>
                </c:pt>
                <c:pt idx="325">
                  <c:v>2.7750000953674321</c:v>
                </c:pt>
                <c:pt idx="326">
                  <c:v>3.162500143051147</c:v>
                </c:pt>
                <c:pt idx="327">
                  <c:v>3.2428572177886958</c:v>
                </c:pt>
                <c:pt idx="328">
                  <c:v>4</c:v>
                </c:pt>
                <c:pt idx="329">
                  <c:v>4</c:v>
                </c:pt>
                <c:pt idx="330">
                  <c:v>4.384615421295166</c:v>
                </c:pt>
                <c:pt idx="331">
                  <c:v>4.6999998092651367</c:v>
                </c:pt>
                <c:pt idx="332">
                  <c:v>6.5</c:v>
                </c:pt>
                <c:pt idx="333">
                  <c:v>10.89999961853027</c:v>
                </c:pt>
                <c:pt idx="334">
                  <c:v>11.09523773193359</c:v>
                </c:pt>
                <c:pt idx="335">
                  <c:v>2.7000000476837158</c:v>
                </c:pt>
                <c:pt idx="336">
                  <c:v>2.7000000476837158</c:v>
                </c:pt>
                <c:pt idx="337">
                  <c:v>2.7000000476837158</c:v>
                </c:pt>
                <c:pt idx="338">
                  <c:v>3.25</c:v>
                </c:pt>
                <c:pt idx="339">
                  <c:v>3.3499999046325679</c:v>
                </c:pt>
                <c:pt idx="340">
                  <c:v>4</c:v>
                </c:pt>
                <c:pt idx="341">
                  <c:v>4.1500000953674316</c:v>
                </c:pt>
                <c:pt idx="342">
                  <c:v>5.3000001907348633</c:v>
                </c:pt>
                <c:pt idx="343">
                  <c:v>6.5</c:v>
                </c:pt>
                <c:pt idx="344">
                  <c:v>7</c:v>
                </c:pt>
                <c:pt idx="345">
                  <c:v>10.595999717712401</c:v>
                </c:pt>
                <c:pt idx="346">
                  <c:v>10.89999961853027</c:v>
                </c:pt>
                <c:pt idx="347">
                  <c:v>2.7000000476837158</c:v>
                </c:pt>
                <c:pt idx="348">
                  <c:v>2.9000000953674321</c:v>
                </c:pt>
                <c:pt idx="349">
                  <c:v>3.0909092426300049</c:v>
                </c:pt>
                <c:pt idx="350">
                  <c:v>3.1666667461395259</c:v>
                </c:pt>
                <c:pt idx="351">
                  <c:v>3.2625000476837158</c:v>
                </c:pt>
                <c:pt idx="352">
                  <c:v>4</c:v>
                </c:pt>
                <c:pt idx="353">
                  <c:v>4.6999998092651367</c:v>
                </c:pt>
                <c:pt idx="354">
                  <c:v>5</c:v>
                </c:pt>
                <c:pt idx="355">
                  <c:v>5.5999999046325684</c:v>
                </c:pt>
                <c:pt idx="356">
                  <c:v>6.3636364936828613</c:v>
                </c:pt>
                <c:pt idx="357">
                  <c:v>6.7538461685180664</c:v>
                </c:pt>
                <c:pt idx="358">
                  <c:v>8</c:v>
                </c:pt>
                <c:pt idx="359">
                  <c:v>11.304224967956539</c:v>
                </c:pt>
                <c:pt idx="360">
                  <c:v>2.7000000476837158</c:v>
                </c:pt>
                <c:pt idx="361">
                  <c:v>2.7000000476837158</c:v>
                </c:pt>
                <c:pt idx="362">
                  <c:v>2.7000000476837158</c:v>
                </c:pt>
                <c:pt idx="363">
                  <c:v>3.1500000953674321</c:v>
                </c:pt>
                <c:pt idx="364">
                  <c:v>3.3499999046325679</c:v>
                </c:pt>
                <c:pt idx="365">
                  <c:v>4</c:v>
                </c:pt>
                <c:pt idx="366">
                  <c:v>4.9000000953674316</c:v>
                </c:pt>
                <c:pt idx="367">
                  <c:v>6.375</c:v>
                </c:pt>
                <c:pt idx="368">
                  <c:v>10.89999961853027</c:v>
                </c:pt>
                <c:pt idx="369">
                  <c:v>10.960317611694339</c:v>
                </c:pt>
                <c:pt idx="370">
                  <c:v>2.7000000476837158</c:v>
                </c:pt>
                <c:pt idx="371">
                  <c:v>2.7000000476837158</c:v>
                </c:pt>
                <c:pt idx="372">
                  <c:v>2.9000000953674321</c:v>
                </c:pt>
                <c:pt idx="373">
                  <c:v>4</c:v>
                </c:pt>
                <c:pt idx="374">
                  <c:v>4.0250000953674316</c:v>
                </c:pt>
                <c:pt idx="375">
                  <c:v>4.0857143402099609</c:v>
                </c:pt>
                <c:pt idx="376">
                  <c:v>4.75</c:v>
                </c:pt>
                <c:pt idx="377">
                  <c:v>5.2333335876464844</c:v>
                </c:pt>
                <c:pt idx="378">
                  <c:v>6.4875001907348633</c:v>
                </c:pt>
                <c:pt idx="379">
                  <c:v>10.52040863037109</c:v>
                </c:pt>
                <c:pt idx="380">
                  <c:v>10.89999961853027</c:v>
                </c:pt>
                <c:pt idx="381">
                  <c:v>2.7000000476837158</c:v>
                </c:pt>
                <c:pt idx="382">
                  <c:v>2.7000000476837158</c:v>
                </c:pt>
                <c:pt idx="383">
                  <c:v>3</c:v>
                </c:pt>
                <c:pt idx="384">
                  <c:v>3.2285714149475102</c:v>
                </c:pt>
                <c:pt idx="385">
                  <c:v>3.4500000476837158</c:v>
                </c:pt>
                <c:pt idx="386">
                  <c:v>3.5</c:v>
                </c:pt>
                <c:pt idx="387">
                  <c:v>4</c:v>
                </c:pt>
                <c:pt idx="388">
                  <c:v>4.0250000953674316</c:v>
                </c:pt>
                <c:pt idx="389">
                  <c:v>5.375</c:v>
                </c:pt>
                <c:pt idx="390">
                  <c:v>6.2941174507141113</c:v>
                </c:pt>
                <c:pt idx="391">
                  <c:v>6.9499998092651367</c:v>
                </c:pt>
                <c:pt idx="392">
                  <c:v>10.70549488067627</c:v>
                </c:pt>
                <c:pt idx="393">
                  <c:v>10.89999961853027</c:v>
                </c:pt>
                <c:pt idx="394">
                  <c:v>2.7000000476837158</c:v>
                </c:pt>
                <c:pt idx="395">
                  <c:v>2.7000000476837158</c:v>
                </c:pt>
                <c:pt idx="396">
                  <c:v>3.2000000476837158</c:v>
                </c:pt>
                <c:pt idx="397">
                  <c:v>3.5</c:v>
                </c:pt>
                <c:pt idx="398">
                  <c:v>4</c:v>
                </c:pt>
                <c:pt idx="399">
                  <c:v>4.6999998092651367</c:v>
                </c:pt>
                <c:pt idx="400">
                  <c:v>4.8333334922790527</c:v>
                </c:pt>
                <c:pt idx="401">
                  <c:v>6.2777776718139648</c:v>
                </c:pt>
                <c:pt idx="402">
                  <c:v>7</c:v>
                </c:pt>
                <c:pt idx="403">
                  <c:v>8.5</c:v>
                </c:pt>
                <c:pt idx="404">
                  <c:v>8.9749994277954102</c:v>
                </c:pt>
                <c:pt idx="405">
                  <c:v>10.772727012634279</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c:v>
                </c:pt>
                <c:pt idx="1480">
                  <c:v>0</c:v>
                </c:pt>
                <c:pt idx="1481">
                  <c:v>0</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numCache>
            </c:numRef>
          </c:yVal>
          <c:smooth val="0"/>
          <c:extLst>
            <c:ext xmlns:c16="http://schemas.microsoft.com/office/drawing/2014/chart" uri="{C3380CC4-5D6E-409C-BE32-E72D297353CC}">
              <c16:uniqueId val="{00000000-20ED-46BE-93B4-562423C88920}"/>
            </c:ext>
          </c:extLst>
        </c:ser>
        <c:ser>
          <c:idx val="1"/>
          <c:order val="1"/>
          <c:tx>
            <c:v>Live animals; animal products</c:v>
          </c:tx>
          <c:spPr>
            <a:ln w="28575">
              <a:noFill/>
            </a:ln>
            <a:effectLst/>
          </c:spPr>
          <c:marker>
            <c:symbol val="circle"/>
            <c:size val="4"/>
            <c:spPr>
              <a:solidFill>
                <a:srgbClr val="FF0000"/>
              </a:solidFill>
              <a:ln w="9525" cap="flat" cmpd="sng">
                <a:solidFill>
                  <a:srgbClr val="FF0000"/>
                </a:solidFill>
              </a:ln>
              <a:effectLst/>
            </c:spPr>
          </c:marker>
          <c:xVal>
            <c:numRef>
              <c:f>ExportsChartData!$C$2:$C$85</c:f>
              <c:numCache>
                <c:formatCode>General</c:formatCode>
                <c:ptCount val="84"/>
                <c:pt idx="0">
                  <c:v>41699</c:v>
                </c:pt>
                <c:pt idx="1">
                  <c:v>41883</c:v>
                </c:pt>
                <c:pt idx="2">
                  <c:v>41944</c:v>
                </c:pt>
                <c:pt idx="3">
                  <c:v>42036</c:v>
                </c:pt>
                <c:pt idx="4">
                  <c:v>42095</c:v>
                </c:pt>
                <c:pt idx="5">
                  <c:v>42125</c:v>
                </c:pt>
                <c:pt idx="6">
                  <c:v>42156</c:v>
                </c:pt>
                <c:pt idx="7">
                  <c:v>42186</c:v>
                </c:pt>
                <c:pt idx="8">
                  <c:v>42217</c:v>
                </c:pt>
                <c:pt idx="9">
                  <c:v>42552</c:v>
                </c:pt>
                <c:pt idx="10">
                  <c:v>42583</c:v>
                </c:pt>
                <c:pt idx="11">
                  <c:v>42614</c:v>
                </c:pt>
                <c:pt idx="12">
                  <c:v>42644</c:v>
                </c:pt>
                <c:pt idx="13">
                  <c:v>42675</c:v>
                </c:pt>
                <c:pt idx="14">
                  <c:v>42736</c:v>
                </c:pt>
                <c:pt idx="15">
                  <c:v>42767</c:v>
                </c:pt>
                <c:pt idx="16">
                  <c:v>42795</c:v>
                </c:pt>
                <c:pt idx="17">
                  <c:v>42826</c:v>
                </c:pt>
                <c:pt idx="18">
                  <c:v>42856</c:v>
                </c:pt>
                <c:pt idx="19">
                  <c:v>42887</c:v>
                </c:pt>
                <c:pt idx="20">
                  <c:v>42917</c:v>
                </c:pt>
                <c:pt idx="21">
                  <c:v>42948</c:v>
                </c:pt>
                <c:pt idx="22">
                  <c:v>42979</c:v>
                </c:pt>
                <c:pt idx="23">
                  <c:v>43009</c:v>
                </c:pt>
                <c:pt idx="24">
                  <c:v>43040</c:v>
                </c:pt>
                <c:pt idx="25">
                  <c:v>43070</c:v>
                </c:pt>
                <c:pt idx="26">
                  <c:v>43101</c:v>
                </c:pt>
                <c:pt idx="27">
                  <c:v>43132</c:v>
                </c:pt>
                <c:pt idx="28">
                  <c:v>43160</c:v>
                </c:pt>
                <c:pt idx="29">
                  <c:v>43191</c:v>
                </c:pt>
                <c:pt idx="30">
                  <c:v>43221</c:v>
                </c:pt>
                <c:pt idx="31">
                  <c:v>43252</c:v>
                </c:pt>
                <c:pt idx="32">
                  <c:v>43282</c:v>
                </c:pt>
                <c:pt idx="33">
                  <c:v>43313</c:v>
                </c:pt>
                <c:pt idx="34">
                  <c:v>43344</c:v>
                </c:pt>
                <c:pt idx="35">
                  <c:v>43374</c:v>
                </c:pt>
                <c:pt idx="36">
                  <c:v>43405</c:v>
                </c:pt>
                <c:pt idx="37">
                  <c:v>43435</c:v>
                </c:pt>
                <c:pt idx="38">
                  <c:v>43466</c:v>
                </c:pt>
                <c:pt idx="39">
                  <c:v>43497</c:v>
                </c:pt>
                <c:pt idx="40">
                  <c:v>43525</c:v>
                </c:pt>
                <c:pt idx="41">
                  <c:v>43556</c:v>
                </c:pt>
                <c:pt idx="42">
                  <c:v>43586</c:v>
                </c:pt>
                <c:pt idx="43">
                  <c:v>43617</c:v>
                </c:pt>
                <c:pt idx="44">
                  <c:v>43647</c:v>
                </c:pt>
                <c:pt idx="45">
                  <c:v>43678</c:v>
                </c:pt>
                <c:pt idx="46">
                  <c:v>43709</c:v>
                </c:pt>
                <c:pt idx="47">
                  <c:v>43739</c:v>
                </c:pt>
                <c:pt idx="48">
                  <c:v>43770</c:v>
                </c:pt>
                <c:pt idx="49">
                  <c:v>43800</c:v>
                </c:pt>
                <c:pt idx="50">
                  <c:v>43831</c:v>
                </c:pt>
                <c:pt idx="51">
                  <c:v>43862</c:v>
                </c:pt>
                <c:pt idx="52">
                  <c:v>43891</c:v>
                </c:pt>
                <c:pt idx="53">
                  <c:v>43922</c:v>
                </c:pt>
                <c:pt idx="54">
                  <c:v>43952</c:v>
                </c:pt>
                <c:pt idx="55">
                  <c:v>43983</c:v>
                </c:pt>
                <c:pt idx="56">
                  <c:v>44013</c:v>
                </c:pt>
                <c:pt idx="57">
                  <c:v>44044</c:v>
                </c:pt>
                <c:pt idx="58">
                  <c:v>44075</c:v>
                </c:pt>
                <c:pt idx="59">
                  <c:v>44105</c:v>
                </c:pt>
                <c:pt idx="60">
                  <c:v>44136</c:v>
                </c:pt>
                <c:pt idx="61">
                  <c:v>44166</c:v>
                </c:pt>
                <c:pt idx="62">
                  <c:v>44197</c:v>
                </c:pt>
                <c:pt idx="63">
                  <c:v>44228</c:v>
                </c:pt>
                <c:pt idx="64">
                  <c:v>44256</c:v>
                </c:pt>
                <c:pt idx="65">
                  <c:v>44287</c:v>
                </c:pt>
                <c:pt idx="66">
                  <c:v>44317</c:v>
                </c:pt>
                <c:pt idx="67">
                  <c:v>44348</c:v>
                </c:pt>
                <c:pt idx="68">
                  <c:v>44378</c:v>
                </c:pt>
                <c:pt idx="69">
                  <c:v>44409</c:v>
                </c:pt>
                <c:pt idx="70">
                  <c:v>44440</c:v>
                </c:pt>
                <c:pt idx="71">
                  <c:v>44470</c:v>
                </c:pt>
                <c:pt idx="72">
                  <c:v>44501</c:v>
                </c:pt>
                <c:pt idx="73">
                  <c:v>44531</c:v>
                </c:pt>
                <c:pt idx="74">
                  <c:v>44927</c:v>
                </c:pt>
                <c:pt idx="75">
                  <c:v>44958</c:v>
                </c:pt>
                <c:pt idx="76">
                  <c:v>44986</c:v>
                </c:pt>
                <c:pt idx="77">
                  <c:v>45017</c:v>
                </c:pt>
                <c:pt idx="78">
                  <c:v>45047</c:v>
                </c:pt>
                <c:pt idx="79">
                  <c:v>45078</c:v>
                </c:pt>
                <c:pt idx="80">
                  <c:v>45108</c:v>
                </c:pt>
                <c:pt idx="81">
                  <c:v>45139</c:v>
                </c:pt>
                <c:pt idx="82">
                  <c:v>45170</c:v>
                </c:pt>
                <c:pt idx="83">
                  <c:v>45200</c:v>
                </c:pt>
              </c:numCache>
            </c:numRef>
          </c:xVal>
          <c:yVal>
            <c:numRef>
              <c:f>ExportsChartData!$D$2:$D$85</c:f>
              <c:numCache>
                <c:formatCode>General</c:formatCode>
                <c:ptCount val="84"/>
                <c:pt idx="0">
                  <c:v>7.5</c:v>
                </c:pt>
                <c:pt idx="1">
                  <c:v>7.5</c:v>
                </c:pt>
                <c:pt idx="2">
                  <c:v>7.5</c:v>
                </c:pt>
                <c:pt idx="3">
                  <c:v>12.5</c:v>
                </c:pt>
                <c:pt idx="4">
                  <c:v>7.5</c:v>
                </c:pt>
                <c:pt idx="5">
                  <c:v>8.625</c:v>
                </c:pt>
                <c:pt idx="6">
                  <c:v>7.5</c:v>
                </c:pt>
                <c:pt idx="7">
                  <c:v>7.5</c:v>
                </c:pt>
                <c:pt idx="8">
                  <c:v>7.5</c:v>
                </c:pt>
                <c:pt idx="9">
                  <c:v>11</c:v>
                </c:pt>
                <c:pt idx="10">
                  <c:v>11</c:v>
                </c:pt>
                <c:pt idx="11">
                  <c:v>12</c:v>
                </c:pt>
                <c:pt idx="12">
                  <c:v>12</c:v>
                </c:pt>
                <c:pt idx="13">
                  <c:v>11</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numCache>
            </c:numRef>
          </c:yVal>
          <c:smooth val="0"/>
          <c:extLst>
            <c:ext xmlns:c16="http://schemas.microsoft.com/office/drawing/2014/chart" uri="{C3380CC4-5D6E-409C-BE32-E72D297353CC}">
              <c16:uniqueId val="{00000001-20ED-46BE-93B4-562423C88920}"/>
            </c:ext>
          </c:extLst>
        </c:ser>
        <c:ser>
          <c:idx val="2"/>
          <c:order val="2"/>
          <c:tx>
            <c:v>Vegetable products</c:v>
          </c:tx>
          <c:spPr>
            <a:ln w="28575">
              <a:noFill/>
            </a:ln>
            <a:effectLst/>
          </c:spPr>
          <c:marker>
            <c:symbol val="triangle"/>
            <c:size val="5"/>
            <c:spPr>
              <a:solidFill>
                <a:srgbClr val="008000"/>
              </a:solidFill>
              <a:ln w="9525" cap="flat" cmpd="sng">
                <a:solidFill>
                  <a:srgbClr val="008000"/>
                </a:solidFill>
              </a:ln>
              <a:effectLst/>
            </c:spPr>
          </c:marker>
          <c:xVal>
            <c:numRef>
              <c:f>ExportsChartData!$E$2:$E$107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ExportsChartData!$F$2:$F$107</c:f>
              <c:numCache>
                <c:formatCode>General</c:formatCode>
                <c:ptCount val="106"/>
                <c:pt idx="0">
                  <c:v>11.89850521087646</c:v>
                </c:pt>
                <c:pt idx="1">
                  <c:v>11.93354511260986</c:v>
                </c:pt>
                <c:pt idx="2">
                  <c:v>11.89480018615723</c:v>
                </c:pt>
                <c:pt idx="3">
                  <c:v>11.91329288482666</c:v>
                </c:pt>
                <c:pt idx="4">
                  <c:v>11.91343879699707</c:v>
                </c:pt>
                <c:pt idx="5">
                  <c:v>11.899065017700201</c:v>
                </c:pt>
                <c:pt idx="6">
                  <c:v>11.867751121521</c:v>
                </c:pt>
                <c:pt idx="7">
                  <c:v>11.921792984008791</c:v>
                </c:pt>
                <c:pt idx="8">
                  <c:v>11.901445388793951</c:v>
                </c:pt>
                <c:pt idx="9">
                  <c:v>11.91242694854736</c:v>
                </c:pt>
                <c:pt idx="10">
                  <c:v>11.90776252746582</c:v>
                </c:pt>
                <c:pt idx="11">
                  <c:v>11.920968055725099</c:v>
                </c:pt>
                <c:pt idx="12">
                  <c:v>11.904964447021481</c:v>
                </c:pt>
                <c:pt idx="13">
                  <c:v>11.91356372833252</c:v>
                </c:pt>
                <c:pt idx="14">
                  <c:v>11.854118347167971</c:v>
                </c:pt>
                <c:pt idx="15">
                  <c:v>11.862113952636721</c:v>
                </c:pt>
                <c:pt idx="16">
                  <c:v>11.858378410339361</c:v>
                </c:pt>
                <c:pt idx="17">
                  <c:v>11.859663963317869</c:v>
                </c:pt>
                <c:pt idx="18">
                  <c:v>11.84332370758057</c:v>
                </c:pt>
                <c:pt idx="19">
                  <c:v>11.79826068878174</c:v>
                </c:pt>
                <c:pt idx="20">
                  <c:v>11.866035461425779</c:v>
                </c:pt>
                <c:pt idx="21">
                  <c:v>11.827223777771</c:v>
                </c:pt>
                <c:pt idx="22">
                  <c:v>11.7996768951416</c:v>
                </c:pt>
                <c:pt idx="23">
                  <c:v>11.88677310943604</c:v>
                </c:pt>
                <c:pt idx="24">
                  <c:v>11.842581748962401</c:v>
                </c:pt>
                <c:pt idx="25">
                  <c:v>11.822426795959471</c:v>
                </c:pt>
                <c:pt idx="26">
                  <c:v>11.859457969665529</c:v>
                </c:pt>
                <c:pt idx="27">
                  <c:v>11.8397159576416</c:v>
                </c:pt>
                <c:pt idx="28">
                  <c:v>11.783793449401861</c:v>
                </c:pt>
                <c:pt idx="29">
                  <c:v>11.774490356445311</c:v>
                </c:pt>
                <c:pt idx="30">
                  <c:v>11.76626777648926</c:v>
                </c:pt>
                <c:pt idx="31">
                  <c:v>11.791939735412599</c:v>
                </c:pt>
                <c:pt idx="32">
                  <c:v>11.795566558837891</c:v>
                </c:pt>
                <c:pt idx="33">
                  <c:v>11.807291984558111</c:v>
                </c:pt>
                <c:pt idx="34">
                  <c:v>11.820407867431641</c:v>
                </c:pt>
                <c:pt idx="35">
                  <c:v>11.773167610168461</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numCache>
            </c:numRef>
          </c:yVal>
          <c:smooth val="0"/>
          <c:extLst>
            <c:ext xmlns:c16="http://schemas.microsoft.com/office/drawing/2014/chart" uri="{C3380CC4-5D6E-409C-BE32-E72D297353CC}">
              <c16:uniqueId val="{00000002-20ED-46BE-93B4-562423C88920}"/>
            </c:ext>
          </c:extLst>
        </c:ser>
        <c:ser>
          <c:idx val="3"/>
          <c:order val="3"/>
          <c:tx>
            <c:v>Prepared foodstuffs; beverages; tobacco</c:v>
          </c:tx>
          <c:spPr>
            <a:ln w="28575">
              <a:noFill/>
            </a:ln>
            <a:effectLst/>
          </c:spPr>
          <c:marker>
            <c:symbol val="square"/>
            <c:size val="4"/>
            <c:spPr>
              <a:solidFill>
                <a:srgbClr val="0000FF"/>
              </a:solidFill>
              <a:ln w="9525" cap="flat" cmpd="sng">
                <a:solidFill>
                  <a:srgbClr val="0000FF"/>
                </a:solidFill>
              </a:ln>
              <a:effectLst/>
            </c:spPr>
          </c:marker>
          <c:xVal>
            <c:numRef>
              <c:f>ExportsChartData!$G$2:$G$107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ExportsChartData!$H$2:$H$107</c:f>
              <c:numCache>
                <c:formatCode>General</c:formatCode>
                <c:ptCount val="106"/>
                <c:pt idx="0">
                  <c:v>11.568888664245611</c:v>
                </c:pt>
                <c:pt idx="1">
                  <c:v>11.139622688293461</c:v>
                </c:pt>
                <c:pt idx="2">
                  <c:v>12.322414398193359</c:v>
                </c:pt>
                <c:pt idx="3">
                  <c:v>11.325424194335939</c:v>
                </c:pt>
                <c:pt idx="4">
                  <c:v>11.20204067230225</c:v>
                </c:pt>
                <c:pt idx="5">
                  <c:v>11.355319023132321</c:v>
                </c:pt>
                <c:pt idx="6">
                  <c:v>11.738571166992189</c:v>
                </c:pt>
                <c:pt idx="7">
                  <c:v>11.87027072906494</c:v>
                </c:pt>
                <c:pt idx="8">
                  <c:v>11.684482574462891</c:v>
                </c:pt>
                <c:pt idx="9">
                  <c:v>12.2656717300415</c:v>
                </c:pt>
                <c:pt idx="10">
                  <c:v>11.556715965271</c:v>
                </c:pt>
                <c:pt idx="11">
                  <c:v>11.664706230163571</c:v>
                </c:pt>
                <c:pt idx="12">
                  <c:v>11.01951217651367</c:v>
                </c:pt>
                <c:pt idx="13">
                  <c:v>11.175510406494141</c:v>
                </c:pt>
                <c:pt idx="14">
                  <c:v>11.110713958740231</c:v>
                </c:pt>
                <c:pt idx="15">
                  <c:v>10.347368240356451</c:v>
                </c:pt>
                <c:pt idx="16">
                  <c:v>11.44339656829834</c:v>
                </c:pt>
                <c:pt idx="17">
                  <c:v>11.933333396911619</c:v>
                </c:pt>
                <c:pt idx="18">
                  <c:v>10.57090950012207</c:v>
                </c:pt>
                <c:pt idx="19">
                  <c:v>12.180233001708981</c:v>
                </c:pt>
                <c:pt idx="20">
                  <c:v>11.955769538879389</c:v>
                </c:pt>
                <c:pt idx="21">
                  <c:v>12.57419395446777</c:v>
                </c:pt>
                <c:pt idx="22">
                  <c:v>11.233333587646481</c:v>
                </c:pt>
                <c:pt idx="23">
                  <c:v>11.870370864868161</c:v>
                </c:pt>
                <c:pt idx="24">
                  <c:v>10.49642848968506</c:v>
                </c:pt>
                <c:pt idx="25">
                  <c:v>11.749056816101071</c:v>
                </c:pt>
                <c:pt idx="26">
                  <c:v>10.56724166870117</c:v>
                </c:pt>
                <c:pt idx="27">
                  <c:v>10.88913059234619</c:v>
                </c:pt>
                <c:pt idx="28">
                  <c:v>11.283561706542971</c:v>
                </c:pt>
                <c:pt idx="29">
                  <c:v>11.4777774810791</c:v>
                </c:pt>
                <c:pt idx="30">
                  <c:v>11.61830997467041</c:v>
                </c:pt>
                <c:pt idx="31">
                  <c:v>11.654385566711429</c:v>
                </c:pt>
                <c:pt idx="32">
                  <c:v>11.3068962097168</c:v>
                </c:pt>
                <c:pt idx="33">
                  <c:v>13.086441040039061</c:v>
                </c:pt>
                <c:pt idx="34">
                  <c:v>10.262857437133791</c:v>
                </c:pt>
                <c:pt idx="35">
                  <c:v>11.57543849945068</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numCache>
            </c:numRef>
          </c:yVal>
          <c:smooth val="0"/>
          <c:extLst>
            <c:ext xmlns:c16="http://schemas.microsoft.com/office/drawing/2014/chart" uri="{C3380CC4-5D6E-409C-BE32-E72D297353CC}">
              <c16:uniqueId val="{00000003-20ED-46BE-93B4-562423C88920}"/>
            </c:ext>
          </c:extLst>
        </c:ser>
        <c:ser>
          <c:idx val="4"/>
          <c:order val="4"/>
          <c:tx>
            <c:v>Machinery and electrical equipment</c:v>
          </c:tx>
          <c:spPr>
            <a:ln w="28575">
              <a:noFill/>
            </a:ln>
            <a:effectLst/>
          </c:spPr>
          <c:marker>
            <c:symbol val="diamond"/>
            <c:size val="4"/>
            <c:spPr>
              <a:solidFill>
                <a:srgbClr val="000000"/>
              </a:solidFill>
              <a:ln w="9525" cap="flat" cmpd="sng">
                <a:solidFill>
                  <a:srgbClr val="000000"/>
                </a:solidFill>
              </a:ln>
              <a:effectLst/>
            </c:spPr>
          </c:marker>
          <c:xVal>
            <c:numRef>
              <c:f>ExportsChartData!$I$2:$I$107</c:f>
              <c:numCache>
                <c:formatCode>General</c:formatCode>
                <c:ptCount val="106"/>
                <c:pt idx="0">
                  <c:v>41640</c:v>
                </c:pt>
                <c:pt idx="1">
                  <c:v>41671</c:v>
                </c:pt>
                <c:pt idx="2">
                  <c:v>41699</c:v>
                </c:pt>
                <c:pt idx="3">
                  <c:v>41730</c:v>
                </c:pt>
                <c:pt idx="4">
                  <c:v>41760</c:v>
                </c:pt>
                <c:pt idx="5">
                  <c:v>41791</c:v>
                </c:pt>
                <c:pt idx="6">
                  <c:v>41821</c:v>
                </c:pt>
                <c:pt idx="7">
                  <c:v>41852</c:v>
                </c:pt>
                <c:pt idx="8">
                  <c:v>41883</c:v>
                </c:pt>
                <c:pt idx="9">
                  <c:v>41913</c:v>
                </c:pt>
                <c:pt idx="10">
                  <c:v>41944</c:v>
                </c:pt>
                <c:pt idx="11">
                  <c:v>41974</c:v>
                </c:pt>
                <c:pt idx="12">
                  <c:v>42005</c:v>
                </c:pt>
                <c:pt idx="13">
                  <c:v>42036</c:v>
                </c:pt>
                <c:pt idx="14">
                  <c:v>42064</c:v>
                </c:pt>
                <c:pt idx="15">
                  <c:v>42095</c:v>
                </c:pt>
                <c:pt idx="16">
                  <c:v>42125</c:v>
                </c:pt>
                <c:pt idx="17">
                  <c:v>42156</c:v>
                </c:pt>
                <c:pt idx="18">
                  <c:v>42186</c:v>
                </c:pt>
                <c:pt idx="19">
                  <c:v>42217</c:v>
                </c:pt>
                <c:pt idx="20">
                  <c:v>42248</c:v>
                </c:pt>
                <c:pt idx="21">
                  <c:v>42278</c:v>
                </c:pt>
                <c:pt idx="22">
                  <c:v>42309</c:v>
                </c:pt>
                <c:pt idx="23">
                  <c:v>42339</c:v>
                </c:pt>
                <c:pt idx="24">
                  <c:v>42370</c:v>
                </c:pt>
                <c:pt idx="25">
                  <c:v>42401</c:v>
                </c:pt>
                <c:pt idx="26">
                  <c:v>42430</c:v>
                </c:pt>
                <c:pt idx="27">
                  <c:v>42461</c:v>
                </c:pt>
                <c:pt idx="28">
                  <c:v>42491</c:v>
                </c:pt>
                <c:pt idx="29">
                  <c:v>42522</c:v>
                </c:pt>
                <c:pt idx="30">
                  <c:v>42552</c:v>
                </c:pt>
                <c:pt idx="31">
                  <c:v>42583</c:v>
                </c:pt>
                <c:pt idx="32">
                  <c:v>42614</c:v>
                </c:pt>
                <c:pt idx="33">
                  <c:v>42644</c:v>
                </c:pt>
                <c:pt idx="34">
                  <c:v>42675</c:v>
                </c:pt>
                <c:pt idx="35">
                  <c:v>42705</c:v>
                </c:pt>
                <c:pt idx="36">
                  <c:v>42736</c:v>
                </c:pt>
                <c:pt idx="37">
                  <c:v>42767</c:v>
                </c:pt>
                <c:pt idx="38">
                  <c:v>42795</c:v>
                </c:pt>
                <c:pt idx="39">
                  <c:v>42826</c:v>
                </c:pt>
                <c:pt idx="40">
                  <c:v>42856</c:v>
                </c:pt>
                <c:pt idx="41">
                  <c:v>42887</c:v>
                </c:pt>
                <c:pt idx="42">
                  <c:v>42917</c:v>
                </c:pt>
                <c:pt idx="43">
                  <c:v>42948</c:v>
                </c:pt>
                <c:pt idx="44">
                  <c:v>42979</c:v>
                </c:pt>
                <c:pt idx="45">
                  <c:v>43009</c:v>
                </c:pt>
                <c:pt idx="46">
                  <c:v>43040</c:v>
                </c:pt>
                <c:pt idx="47">
                  <c:v>43070</c:v>
                </c:pt>
                <c:pt idx="48">
                  <c:v>43101</c:v>
                </c:pt>
                <c:pt idx="49">
                  <c:v>43132</c:v>
                </c:pt>
                <c:pt idx="50">
                  <c:v>43160</c:v>
                </c:pt>
                <c:pt idx="51">
                  <c:v>43191</c:v>
                </c:pt>
                <c:pt idx="52">
                  <c:v>43221</c:v>
                </c:pt>
                <c:pt idx="53">
                  <c:v>43252</c:v>
                </c:pt>
                <c:pt idx="54">
                  <c:v>43282</c:v>
                </c:pt>
                <c:pt idx="55">
                  <c:v>43313</c:v>
                </c:pt>
                <c:pt idx="56">
                  <c:v>43344</c:v>
                </c:pt>
                <c:pt idx="57">
                  <c:v>43374</c:v>
                </c:pt>
                <c:pt idx="58">
                  <c:v>43405</c:v>
                </c:pt>
                <c:pt idx="59">
                  <c:v>43435</c:v>
                </c:pt>
                <c:pt idx="60">
                  <c:v>43466</c:v>
                </c:pt>
                <c:pt idx="61">
                  <c:v>43497</c:v>
                </c:pt>
                <c:pt idx="62">
                  <c:v>43525</c:v>
                </c:pt>
                <c:pt idx="63">
                  <c:v>43556</c:v>
                </c:pt>
                <c:pt idx="64">
                  <c:v>43586</c:v>
                </c:pt>
                <c:pt idx="65">
                  <c:v>43617</c:v>
                </c:pt>
                <c:pt idx="66">
                  <c:v>43647</c:v>
                </c:pt>
                <c:pt idx="67">
                  <c:v>43678</c:v>
                </c:pt>
                <c:pt idx="68">
                  <c:v>43709</c:v>
                </c:pt>
                <c:pt idx="69">
                  <c:v>43739</c:v>
                </c:pt>
                <c:pt idx="70">
                  <c:v>43770</c:v>
                </c:pt>
                <c:pt idx="71">
                  <c:v>43800</c:v>
                </c:pt>
                <c:pt idx="72">
                  <c:v>43831</c:v>
                </c:pt>
                <c:pt idx="73">
                  <c:v>43862</c:v>
                </c:pt>
                <c:pt idx="74">
                  <c:v>43891</c:v>
                </c:pt>
                <c:pt idx="75">
                  <c:v>43922</c:v>
                </c:pt>
                <c:pt idx="76">
                  <c:v>43952</c:v>
                </c:pt>
                <c:pt idx="77">
                  <c:v>43983</c:v>
                </c:pt>
                <c:pt idx="78">
                  <c:v>44013</c:v>
                </c:pt>
                <c:pt idx="79">
                  <c:v>44044</c:v>
                </c:pt>
                <c:pt idx="80">
                  <c:v>44075</c:v>
                </c:pt>
                <c:pt idx="81">
                  <c:v>44105</c:v>
                </c:pt>
                <c:pt idx="82">
                  <c:v>44136</c:v>
                </c:pt>
                <c:pt idx="83">
                  <c:v>44166</c:v>
                </c:pt>
                <c:pt idx="84">
                  <c:v>44197</c:v>
                </c:pt>
                <c:pt idx="85">
                  <c:v>44228</c:v>
                </c:pt>
                <c:pt idx="86">
                  <c:v>44256</c:v>
                </c:pt>
                <c:pt idx="87">
                  <c:v>44287</c:v>
                </c:pt>
                <c:pt idx="88">
                  <c:v>44317</c:v>
                </c:pt>
                <c:pt idx="89">
                  <c:v>44348</c:v>
                </c:pt>
                <c:pt idx="90">
                  <c:v>44378</c:v>
                </c:pt>
                <c:pt idx="91">
                  <c:v>44409</c:v>
                </c:pt>
                <c:pt idx="92">
                  <c:v>44440</c:v>
                </c:pt>
                <c:pt idx="93">
                  <c:v>44470</c:v>
                </c:pt>
                <c:pt idx="94">
                  <c:v>44501</c:v>
                </c:pt>
                <c:pt idx="95">
                  <c:v>44531</c:v>
                </c:pt>
                <c:pt idx="96">
                  <c:v>44927</c:v>
                </c:pt>
                <c:pt idx="97">
                  <c:v>44958</c:v>
                </c:pt>
                <c:pt idx="98">
                  <c:v>44986</c:v>
                </c:pt>
                <c:pt idx="99">
                  <c:v>45017</c:v>
                </c:pt>
                <c:pt idx="100">
                  <c:v>45047</c:v>
                </c:pt>
                <c:pt idx="101">
                  <c:v>45078</c:v>
                </c:pt>
                <c:pt idx="102">
                  <c:v>45108</c:v>
                </c:pt>
                <c:pt idx="103">
                  <c:v>45139</c:v>
                </c:pt>
                <c:pt idx="104">
                  <c:v>45170</c:v>
                </c:pt>
                <c:pt idx="105">
                  <c:v>45200</c:v>
                </c:pt>
              </c:numCache>
            </c:numRef>
          </c:xVal>
          <c:yVal>
            <c:numRef>
              <c:f>ExportsChartData!$J$2:$J$107</c:f>
              <c:numCache>
                <c:formatCode>General</c:formatCode>
                <c:ptCount val="106"/>
                <c:pt idx="0">
                  <c:v>3.8499999046325679</c:v>
                </c:pt>
                <c:pt idx="1">
                  <c:v>4.3600001335144043</c:v>
                </c:pt>
                <c:pt idx="2">
                  <c:v>2.811111211776733</c:v>
                </c:pt>
                <c:pt idx="3">
                  <c:v>2.7000000476837158</c:v>
                </c:pt>
                <c:pt idx="4">
                  <c:v>2.3499999046325679</c:v>
                </c:pt>
                <c:pt idx="5">
                  <c:v>2.220000028610229</c:v>
                </c:pt>
                <c:pt idx="6">
                  <c:v>2.8090908527374272</c:v>
                </c:pt>
                <c:pt idx="7">
                  <c:v>2.523809432983398</c:v>
                </c:pt>
                <c:pt idx="8">
                  <c:v>2.5222222805023189</c:v>
                </c:pt>
                <c:pt idx="9">
                  <c:v>2.9333333969116211</c:v>
                </c:pt>
                <c:pt idx="10">
                  <c:v>3.4333333969116211</c:v>
                </c:pt>
                <c:pt idx="11">
                  <c:v>2.2400000095367432</c:v>
                </c:pt>
                <c:pt idx="12">
                  <c:v>2.600000143051147</c:v>
                </c:pt>
                <c:pt idx="13">
                  <c:v>3.2125000953674321</c:v>
                </c:pt>
                <c:pt idx="14">
                  <c:v>3.5444445610046391</c:v>
                </c:pt>
                <c:pt idx="15">
                  <c:v>3.2210526466369629</c:v>
                </c:pt>
                <c:pt idx="16">
                  <c:v>1.985714316368103</c:v>
                </c:pt>
                <c:pt idx="17">
                  <c:v>2.5619049072265629</c:v>
                </c:pt>
                <c:pt idx="18">
                  <c:v>2.2249999046325679</c:v>
                </c:pt>
                <c:pt idx="19">
                  <c:v>3.2999999523162842</c:v>
                </c:pt>
                <c:pt idx="20">
                  <c:v>3.4200000762939449</c:v>
                </c:pt>
                <c:pt idx="21">
                  <c:v>2.9000000953674321</c:v>
                </c:pt>
                <c:pt idx="22">
                  <c:v>3.5999999046325679</c:v>
                </c:pt>
                <c:pt idx="23">
                  <c:v>2.736842155456543</c:v>
                </c:pt>
                <c:pt idx="24">
                  <c:v>2.54285717010498</c:v>
                </c:pt>
                <c:pt idx="25">
                  <c:v>2.5399999618530269</c:v>
                </c:pt>
                <c:pt idx="26">
                  <c:v>3.1333332061767578</c:v>
                </c:pt>
                <c:pt idx="27">
                  <c:v>2.4562499523162842</c:v>
                </c:pt>
                <c:pt idx="28">
                  <c:v>2.5</c:v>
                </c:pt>
                <c:pt idx="29">
                  <c:v>3.3190476894378662</c:v>
                </c:pt>
                <c:pt idx="30">
                  <c:v>1.700000047683716</c:v>
                </c:pt>
                <c:pt idx="31">
                  <c:v>2.7999999523162842</c:v>
                </c:pt>
                <c:pt idx="32">
                  <c:v>3.2000000476837158</c:v>
                </c:pt>
                <c:pt idx="33">
                  <c:v>2.6400001049041748</c:v>
                </c:pt>
                <c:pt idx="34">
                  <c:v>2.9312500953674321</c:v>
                </c:pt>
                <c:pt idx="35">
                  <c:v>2.6666667461395259</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numCache>
            </c:numRef>
          </c:yVal>
          <c:smooth val="0"/>
          <c:extLst>
            <c:ext xmlns:c16="http://schemas.microsoft.com/office/drawing/2014/chart" uri="{C3380CC4-5D6E-409C-BE32-E72D297353CC}">
              <c16:uniqueId val="{00000004-20ED-46BE-93B4-562423C88920}"/>
            </c:ext>
          </c:extLst>
        </c:ser>
        <c:ser>
          <c:idx val="5"/>
          <c:order val="5"/>
          <c:tx>
            <c:v>July 2014</c:v>
          </c:tx>
          <c:spPr>
            <a:ln w="12700" cmpd="sng">
              <a:solidFill>
                <a:srgbClr val="000000"/>
              </a:solidFill>
            </a:ln>
            <a:effectLst/>
          </c:spPr>
          <c:marker>
            <c:symbol val="none"/>
          </c:marker>
          <c:xVal>
            <c:numRef>
              <c:f>ExportsChartData!$K$2:$K$3</c:f>
              <c:numCache>
                <c:formatCode>General</c:formatCode>
                <c:ptCount val="2"/>
                <c:pt idx="0">
                  <c:v>41821</c:v>
                </c:pt>
                <c:pt idx="1">
                  <c:v>41821</c:v>
                </c:pt>
              </c:numCache>
            </c:numRef>
          </c:xVal>
          <c:yVal>
            <c:numRef>
              <c:f>ExportsChartData!$L$2:$L$3</c:f>
              <c:numCache>
                <c:formatCode>General</c:formatCode>
                <c:ptCount val="2"/>
                <c:pt idx="0">
                  <c:v>0</c:v>
                </c:pt>
                <c:pt idx="1">
                  <c:v>31</c:v>
                </c:pt>
              </c:numCache>
            </c:numRef>
          </c:yVal>
          <c:smooth val="0"/>
          <c:extLst>
            <c:ext xmlns:c16="http://schemas.microsoft.com/office/drawing/2014/chart" uri="{C3380CC4-5D6E-409C-BE32-E72D297353CC}">
              <c16:uniqueId val="{00000005-20ED-46BE-93B4-562423C88920}"/>
            </c:ext>
          </c:extLst>
        </c:ser>
        <c:ser>
          <c:idx val="6"/>
          <c:order val="6"/>
          <c:tx>
            <c:v>Jan 2017</c:v>
          </c:tx>
          <c:spPr>
            <a:ln w="12700" cmpd="sng">
              <a:solidFill>
                <a:srgbClr val="FF0000"/>
              </a:solidFill>
            </a:ln>
            <a:effectLst/>
          </c:spPr>
          <c:marker>
            <c:symbol val="none"/>
          </c:marker>
          <c:xVal>
            <c:numRef>
              <c:f>ExportsChartData!$M$2:$M$3</c:f>
              <c:numCache>
                <c:formatCode>General</c:formatCode>
                <c:ptCount val="2"/>
                <c:pt idx="0">
                  <c:v>42736</c:v>
                </c:pt>
                <c:pt idx="1">
                  <c:v>42736</c:v>
                </c:pt>
              </c:numCache>
            </c:numRef>
          </c:xVal>
          <c:yVal>
            <c:numRef>
              <c:f>ExportsChartData!$N$2:$N$3</c:f>
              <c:numCache>
                <c:formatCode>General</c:formatCode>
                <c:ptCount val="2"/>
                <c:pt idx="0">
                  <c:v>0</c:v>
                </c:pt>
                <c:pt idx="1">
                  <c:v>31</c:v>
                </c:pt>
              </c:numCache>
            </c:numRef>
          </c:yVal>
          <c:smooth val="0"/>
          <c:extLst>
            <c:ext xmlns:c16="http://schemas.microsoft.com/office/drawing/2014/chart" uri="{C3380CC4-5D6E-409C-BE32-E72D297353CC}">
              <c16:uniqueId val="{00000006-20ED-46BE-93B4-562423C88920}"/>
            </c:ext>
          </c:extLst>
        </c:ser>
        <c:dLbls>
          <c:showLegendKey val="0"/>
          <c:showVal val="0"/>
          <c:showCatName val="0"/>
          <c:showSerName val="0"/>
          <c:showPercent val="0"/>
          <c:showBubbleSize val="0"/>
        </c:dLbls>
        <c:axId val="48457259"/>
        <c:axId val="2733688"/>
      </c:scatterChart>
      <c:valAx>
        <c:axId val="48457259"/>
        <c:scaling>
          <c:orientation val="minMax"/>
          <c:max val="45200"/>
          <c:min val="41640"/>
        </c:scaling>
        <c:delete val="0"/>
        <c:axPos val="b"/>
        <c:numFmt formatCode="yyyy&quot;m&quot;m" sourceLinked="0"/>
        <c:majorTickMark val="out"/>
        <c:minorTickMark val="none"/>
        <c:tickLblPos val="nextTo"/>
        <c:spPr>
          <a:ln w="12700" cap="flat" cmpd="sng">
            <a:solidFill>
              <a:srgbClr val="000000"/>
            </a:solidFill>
          </a:ln>
          <a:effectLst/>
        </c:spPr>
        <c:txPr>
          <a:bodyPr rot="-2700000" vert="horz" wrap="square"/>
          <a:lstStyle/>
          <a:p>
            <a:pPr>
              <a:defRPr lang="en-US" sz="1000" u="none" baseline="0">
                <a:latin typeface="Times New Roman" panose="02020603050405020304" pitchFamily="18" charset="0"/>
                <a:cs typeface="Times New Roman" panose="02020603050405020304" pitchFamily="18" charset="0"/>
              </a:defRPr>
            </a:pPr>
            <a:endParaRPr lang="en-US"/>
          </a:p>
        </c:txPr>
        <c:crossAx val="2733688"/>
        <c:crosses val="autoZero"/>
        <c:crossBetween val="midCat"/>
        <c:majorUnit val="274"/>
      </c:valAx>
      <c:valAx>
        <c:axId val="2733688"/>
        <c:scaling>
          <c:orientation val="minMax"/>
          <c:max val="31"/>
          <c:min val="-1"/>
        </c:scaling>
        <c:delete val="0"/>
        <c:axPos val="l"/>
        <c:numFmt formatCode="0" sourceLinked="0"/>
        <c:majorTickMark val="out"/>
        <c:minorTickMark val="none"/>
        <c:tickLblPos val="nextTo"/>
        <c:spPr>
          <a:ln w="12700" cap="flat" cmpd="sng">
            <a:solidFill>
              <a:srgbClr val="000000"/>
            </a:solidFill>
          </a:ln>
          <a:effectLst/>
        </c:spPr>
        <c:crossAx val="48457259"/>
        <c:crosses val="autoZero"/>
        <c:crossBetween val="midCat"/>
        <c:majorUnit val="10"/>
      </c:valAx>
      <c:spPr>
        <a:solidFill>
          <a:schemeClr val="bg1"/>
        </a:solidFill>
        <a:ln w="12700" cap="flat" cmpd="sng">
          <a:solidFill>
            <a:srgbClr val="000000"/>
          </a:solidFill>
        </a:ln>
        <a:effectLst/>
      </c:spPr>
    </c:plotArea>
    <c:plotVisOnly val="1"/>
    <c:dispBlanksAs val="gap"/>
    <c:showDLblsOverMax val="0"/>
  </c:chart>
  <c:spPr>
    <a:solidFill>
      <a:srgbClr val="FFFFFF"/>
    </a:solidFill>
    <a:ln w="12700" cap="flat" cmpd="sng">
      <a:solidFill>
        <a:srgbClr val="000000"/>
      </a:solidFill>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Imports</a:t>
            </a:r>
          </a:p>
        </c:rich>
      </c:tx>
      <c:overlay val="0"/>
      <c:spPr>
        <a:noFill/>
        <a:ln w="12700">
          <a:noFill/>
        </a:ln>
        <a:effectLst/>
      </c:spPr>
    </c:title>
    <c:autoTitleDeleted val="0"/>
    <c:plotArea>
      <c:layout/>
      <c:barChart>
        <c:barDir val="col"/>
        <c:grouping val="clustered"/>
        <c:varyColors val="0"/>
        <c:ser>
          <c:idx val="3"/>
          <c:order val="3"/>
          <c:spPr>
            <a:solidFill>
              <a:srgbClr val="0F9ED5"/>
            </a:solidFill>
            <a:ln w="12700">
              <a:noFill/>
            </a:ln>
            <a:effectLst/>
          </c:spPr>
          <c:invertIfNegative val="0"/>
          <c:dPt>
            <c:idx val="48"/>
            <c:invertIfNegative val="0"/>
            <c:bubble3D val="0"/>
            <c:spPr>
              <a:solidFill>
                <a:srgbClr val="000000"/>
              </a:solidFill>
              <a:ln w="381">
                <a:noFill/>
              </a:ln>
              <a:effectLst/>
            </c:spPr>
            <c:extLst>
              <c:ext xmlns:c16="http://schemas.microsoft.com/office/drawing/2014/chart" uri="{C3380CC4-5D6E-409C-BE32-E72D297353CC}">
                <c16:uniqueId val="{00000001-3648-4858-9EE1-D186A21F9FF5}"/>
              </c:ext>
            </c:extLst>
          </c:dPt>
          <c:cat>
            <c:numRef>
              <c:f>'Figure 3'!$D$2:$D$133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3'!$I$2:$I$133</c:f>
              <c:numCache>
                <c:formatCode>General</c:formatCode>
                <c:ptCount val="132"/>
                <c:pt idx="48" formatCode="0">
                  <c:v>2500</c:v>
                </c:pt>
              </c:numCache>
            </c:numRef>
          </c:val>
          <c:extLst>
            <c:ext xmlns:c16="http://schemas.microsoft.com/office/drawing/2014/chart" uri="{C3380CC4-5D6E-409C-BE32-E72D297353CC}">
              <c16:uniqueId val="{00000002-3648-4858-9EE1-D186A21F9FF5}"/>
            </c:ext>
          </c:extLst>
        </c:ser>
        <c:dLbls>
          <c:showLegendKey val="0"/>
          <c:showVal val="0"/>
          <c:showCatName val="0"/>
          <c:showSerName val="0"/>
          <c:showPercent val="0"/>
          <c:showBubbleSize val="0"/>
        </c:dLbls>
        <c:gapWidth val="111"/>
        <c:axId val="1176992"/>
        <c:axId val="47059363"/>
        <c:extLst/>
      </c:barChart>
      <c:lineChart>
        <c:grouping val="standard"/>
        <c:varyColors val="0"/>
        <c:ser>
          <c:idx val="1"/>
          <c:order val="1"/>
          <c:tx>
            <c:strRef>
              <c:f>'Figure 3'!$G$1</c:f>
              <c:strCache>
                <c:ptCount val="1"/>
                <c:pt idx="0">
                  <c:v>Number of firms (left) </c:v>
                </c:pt>
              </c:strCache>
            </c:strRef>
          </c:tx>
          <c:spPr>
            <a:ln w="12700" cap="rnd" cmpd="sng">
              <a:solidFill>
                <a:srgbClr val="0070C0"/>
              </a:solidFill>
              <a:round/>
            </a:ln>
            <a:effectLst/>
          </c:spPr>
          <c:marker>
            <c:symbol val="none"/>
          </c:marker>
          <c:cat>
            <c:numRef>
              <c:f>'Figure 3'!$D$2:$D$133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3'!$G$2:$G$132</c:f>
              <c:numCache>
                <c:formatCode>0</c:formatCode>
                <c:ptCount val="131"/>
                <c:pt idx="0">
                  <c:v>1715.859375</c:v>
                </c:pt>
                <c:pt idx="1">
                  <c:v>1788.935791015625</c:v>
                </c:pt>
                <c:pt idx="2">
                  <c:v>1623.78271484375</c:v>
                </c:pt>
                <c:pt idx="3">
                  <c:v>1960.551025390625</c:v>
                </c:pt>
                <c:pt idx="4">
                  <c:v>1724.289916992188</c:v>
                </c:pt>
                <c:pt idx="5">
                  <c:v>1617.630126953125</c:v>
                </c:pt>
                <c:pt idx="6">
                  <c:v>1628.350341796875</c:v>
                </c:pt>
                <c:pt idx="7">
                  <c:v>1570.181884765625</c:v>
                </c:pt>
                <c:pt idx="8">
                  <c:v>1634.012084960938</c:v>
                </c:pt>
                <c:pt idx="9">
                  <c:v>1546.439697265625</c:v>
                </c:pt>
                <c:pt idx="10">
                  <c:v>1604.265502929688</c:v>
                </c:pt>
                <c:pt idx="11">
                  <c:v>1527.701538085938</c:v>
                </c:pt>
                <c:pt idx="12">
                  <c:v>1619.859375</c:v>
                </c:pt>
                <c:pt idx="13">
                  <c:v>1817.935791015625</c:v>
                </c:pt>
                <c:pt idx="14">
                  <c:v>1613.78271484375</c:v>
                </c:pt>
                <c:pt idx="15">
                  <c:v>1941.551025390625</c:v>
                </c:pt>
                <c:pt idx="16">
                  <c:v>1727.289916992188</c:v>
                </c:pt>
                <c:pt idx="17">
                  <c:v>1643.630126953125</c:v>
                </c:pt>
                <c:pt idx="18">
                  <c:v>1649.350341796875</c:v>
                </c:pt>
                <c:pt idx="19">
                  <c:v>1637.181884765625</c:v>
                </c:pt>
                <c:pt idx="20">
                  <c:v>1650.012084960938</c:v>
                </c:pt>
                <c:pt idx="21">
                  <c:v>1619.439697265625</c:v>
                </c:pt>
                <c:pt idx="22">
                  <c:v>1732.265502929688</c:v>
                </c:pt>
                <c:pt idx="23">
                  <c:v>1650.701538085938</c:v>
                </c:pt>
                <c:pt idx="24">
                  <c:v>1581.859375</c:v>
                </c:pt>
                <c:pt idx="25">
                  <c:v>1809.935791015625</c:v>
                </c:pt>
                <c:pt idx="26">
                  <c:v>1745.78271484375</c:v>
                </c:pt>
                <c:pt idx="27">
                  <c:v>2006.551025390625</c:v>
                </c:pt>
                <c:pt idx="28">
                  <c:v>1634.289916992188</c:v>
                </c:pt>
                <c:pt idx="29">
                  <c:v>1690.630126953125</c:v>
                </c:pt>
                <c:pt idx="30">
                  <c:v>1633.350341796875</c:v>
                </c:pt>
                <c:pt idx="31">
                  <c:v>1525.181884765625</c:v>
                </c:pt>
                <c:pt idx="32">
                  <c:v>1611.012084960938</c:v>
                </c:pt>
                <c:pt idx="33">
                  <c:v>1483.439697265625</c:v>
                </c:pt>
                <c:pt idx="34">
                  <c:v>1506.265502929688</c:v>
                </c:pt>
                <c:pt idx="35">
                  <c:v>1535.701538085938</c:v>
                </c:pt>
                <c:pt idx="36">
                  <c:v>1423.859375</c:v>
                </c:pt>
                <c:pt idx="37">
                  <c:v>1736.935791015625</c:v>
                </c:pt>
                <c:pt idx="38">
                  <c:v>1592.78271484375</c:v>
                </c:pt>
                <c:pt idx="39">
                  <c:v>1766.551025390625</c:v>
                </c:pt>
                <c:pt idx="40">
                  <c:v>1521.289916992188</c:v>
                </c:pt>
                <c:pt idx="41">
                  <c:v>1515.630126953125</c:v>
                </c:pt>
                <c:pt idx="42">
                  <c:v>1411.350341796875</c:v>
                </c:pt>
                <c:pt idx="43">
                  <c:v>1418.181884765625</c:v>
                </c:pt>
                <c:pt idx="44">
                  <c:v>1548.012084960938</c:v>
                </c:pt>
                <c:pt idx="45">
                  <c:v>1395.439697265625</c:v>
                </c:pt>
                <c:pt idx="46">
                  <c:v>1576.265502929688</c:v>
                </c:pt>
                <c:pt idx="47">
                  <c:v>1543.701538085938</c:v>
                </c:pt>
                <c:pt idx="48">
                  <c:v>1577.859375</c:v>
                </c:pt>
                <c:pt idx="49">
                  <c:v>1723.935791015625</c:v>
                </c:pt>
                <c:pt idx="50">
                  <c:v>1797.78271484375</c:v>
                </c:pt>
                <c:pt idx="51">
                  <c:v>1865.551025390625</c:v>
                </c:pt>
                <c:pt idx="52">
                  <c:v>1709.289916992188</c:v>
                </c:pt>
                <c:pt idx="53">
                  <c:v>1757.630126953125</c:v>
                </c:pt>
                <c:pt idx="54">
                  <c:v>1620.350341796875</c:v>
                </c:pt>
                <c:pt idx="55">
                  <c:v>1740.181884765625</c:v>
                </c:pt>
                <c:pt idx="56">
                  <c:v>1670.012084960938</c:v>
                </c:pt>
                <c:pt idx="57">
                  <c:v>1647.439697265625</c:v>
                </c:pt>
                <c:pt idx="58">
                  <c:v>1843.265502929688</c:v>
                </c:pt>
                <c:pt idx="59">
                  <c:v>1693.701538085938</c:v>
                </c:pt>
                <c:pt idx="60">
                  <c:v>1826.859375</c:v>
                </c:pt>
                <c:pt idx="61">
                  <c:v>1983.935791015625</c:v>
                </c:pt>
                <c:pt idx="62">
                  <c:v>1787.78271484375</c:v>
                </c:pt>
                <c:pt idx="63">
                  <c:v>2091.551025390625</c:v>
                </c:pt>
                <c:pt idx="64">
                  <c:v>1929.289916992188</c:v>
                </c:pt>
                <c:pt idx="65">
                  <c:v>1647.630126953125</c:v>
                </c:pt>
                <c:pt idx="66">
                  <c:v>1873.350341796875</c:v>
                </c:pt>
                <c:pt idx="67">
                  <c:v>1752.181884765625</c:v>
                </c:pt>
                <c:pt idx="68">
                  <c:v>1760.012084960938</c:v>
                </c:pt>
                <c:pt idx="69">
                  <c:v>1776.439697265625</c:v>
                </c:pt>
                <c:pt idx="70">
                  <c:v>1790.265502929688</c:v>
                </c:pt>
                <c:pt idx="71">
                  <c:v>1743.701538085938</c:v>
                </c:pt>
                <c:pt idx="72">
                  <c:v>1906.859375</c:v>
                </c:pt>
                <c:pt idx="73">
                  <c:v>1999.935791015625</c:v>
                </c:pt>
                <c:pt idx="74">
                  <c:v>1877.78271484375</c:v>
                </c:pt>
                <c:pt idx="75">
                  <c:v>2115.551025390625</c:v>
                </c:pt>
                <c:pt idx="76">
                  <c:v>1833.289916992188</c:v>
                </c:pt>
                <c:pt idx="77">
                  <c:v>1787.630126953125</c:v>
                </c:pt>
                <c:pt idx="78">
                  <c:v>1865.350341796875</c:v>
                </c:pt>
                <c:pt idx="79">
                  <c:v>1774.181884765625</c:v>
                </c:pt>
                <c:pt idx="80">
                  <c:v>1828.012084960938</c:v>
                </c:pt>
                <c:pt idx="81">
                  <c:v>1764.439697265625</c:v>
                </c:pt>
                <c:pt idx="82">
                  <c:v>1784.265502929688</c:v>
                </c:pt>
                <c:pt idx="83">
                  <c:v>1749.701538085938</c:v>
                </c:pt>
                <c:pt idx="84">
                  <c:v>1874.859375</c:v>
                </c:pt>
                <c:pt idx="85">
                  <c:v>1975.935791015625</c:v>
                </c:pt>
                <c:pt idx="86">
                  <c:v>1686.78271484375</c:v>
                </c:pt>
                <c:pt idx="87">
                  <c:v>1635.551025390625</c:v>
                </c:pt>
                <c:pt idx="88">
                  <c:v>1337.289916992188</c:v>
                </c:pt>
                <c:pt idx="89">
                  <c:v>1265.630126953125</c:v>
                </c:pt>
                <c:pt idx="90">
                  <c:v>1397.350341796875</c:v>
                </c:pt>
                <c:pt idx="91">
                  <c:v>1362.181884765625</c:v>
                </c:pt>
                <c:pt idx="92">
                  <c:v>1551.012084960938</c:v>
                </c:pt>
                <c:pt idx="93">
                  <c:v>1509.439697265625</c:v>
                </c:pt>
                <c:pt idx="94">
                  <c:v>1696.265502929688</c:v>
                </c:pt>
                <c:pt idx="95">
                  <c:v>1781.701538085938</c:v>
                </c:pt>
                <c:pt idx="96">
                  <c:v>2033.859375</c:v>
                </c:pt>
                <c:pt idx="97">
                  <c:v>2377.935791015625</c:v>
                </c:pt>
                <c:pt idx="98">
                  <c:v>2461.78271484375</c:v>
                </c:pt>
                <c:pt idx="99">
                  <c:v>2541.551025390625</c:v>
                </c:pt>
                <c:pt idx="100">
                  <c:v>2297.289794921875</c:v>
                </c:pt>
                <c:pt idx="101">
                  <c:v>2337.630126953125</c:v>
                </c:pt>
                <c:pt idx="102">
                  <c:v>2197.350341796875</c:v>
                </c:pt>
                <c:pt idx="103">
                  <c:v>2129.181884765625</c:v>
                </c:pt>
                <c:pt idx="104">
                  <c:v>2317.01220703125</c:v>
                </c:pt>
                <c:pt idx="105">
                  <c:v>2156.439697265625</c:v>
                </c:pt>
                <c:pt idx="106">
                  <c:v>2295.265625</c:v>
                </c:pt>
                <c:pt idx="107">
                  <c:v>2250.701416015625</c:v>
                </c:pt>
                <c:pt idx="120">
                  <c:v>2215.859375</c:v>
                </c:pt>
                <c:pt idx="121">
                  <c:v>2415.935791015625</c:v>
                </c:pt>
                <c:pt idx="122">
                  <c:v>2363.78271484375</c:v>
                </c:pt>
                <c:pt idx="123">
                  <c:v>2530.551025390625</c:v>
                </c:pt>
                <c:pt idx="124">
                  <c:v>2455.289794921875</c:v>
                </c:pt>
                <c:pt idx="125">
                  <c:v>2299.630126953125</c:v>
                </c:pt>
                <c:pt idx="126">
                  <c:v>2268.350341796875</c:v>
                </c:pt>
                <c:pt idx="127">
                  <c:v>2348.181884765625</c:v>
                </c:pt>
                <c:pt idx="128">
                  <c:v>2197.01220703125</c:v>
                </c:pt>
                <c:pt idx="129">
                  <c:v>2168.439697265625</c:v>
                </c:pt>
                <c:pt idx="130">
                  <c:v>2254.265625</c:v>
                </c:pt>
              </c:numCache>
            </c:numRef>
          </c:val>
          <c:smooth val="0"/>
          <c:extLst>
            <c:ext xmlns:c16="http://schemas.microsoft.com/office/drawing/2014/chart" uri="{C3380CC4-5D6E-409C-BE32-E72D297353CC}">
              <c16:uniqueId val="{00000003-3648-4858-9EE1-D186A21F9FF5}"/>
            </c:ext>
          </c:extLst>
        </c:ser>
        <c:dLbls>
          <c:showLegendKey val="0"/>
          <c:showVal val="0"/>
          <c:showCatName val="0"/>
          <c:showSerName val="0"/>
          <c:showPercent val="0"/>
          <c:showBubbleSize val="0"/>
        </c:dLbls>
        <c:marker val="1"/>
        <c:smooth val="0"/>
        <c:axId val="1355463"/>
        <c:axId val="64371101"/>
        <c:extLst>
          <c:ext xmlns:c15="http://schemas.microsoft.com/office/drawing/2012/chart" uri="{02D57815-91ED-43cb-92C2-25804820EDAC}">
            <c15:filteredLineSeries>
              <c15:ser>
                <c:idx val="0"/>
                <c:order val="0"/>
                <c:tx>
                  <c:strRef>
                    <c:extLst>
                      <c:ext uri="{02D57815-91ED-43cb-92C2-25804820EDAC}">
                        <c15:formulaRef>
                          <c15:sqref>'Figure 3'!$F$1</c15:sqref>
                        </c15:formulaRef>
                      </c:ext>
                    </c:extLst>
                    <c:strCache>
                      <c:ptCount val="1"/>
                      <c:pt idx="0">
                        <c:v>month</c:v>
                      </c:pt>
                    </c:strCache>
                  </c:strRef>
                </c:tx>
                <c:spPr>
                  <a:ln w="28575" cap="rnd" cmpd="sng">
                    <a:solidFill>
                      <a:schemeClr val="accent1"/>
                    </a:solidFill>
                    <a:round/>
                  </a:ln>
                  <a:effectLst/>
                </c:spPr>
                <c:marker>
                  <c:symbol val="none"/>
                </c:marker>
                <c:cat>
                  <c:numRef>
                    <c:extLst>
                      <c:ext uri="{02D57815-91ED-43cb-92C2-25804820EDAC}">
                        <c15:formulaRef>
                          <c15:sqref>'Figure 3'!$D$2:$D$133</c15:sqref>
                        </c15:formulaRef>
                      </c:ext>
                    </c:extLst>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extLst>
                      <c:ext uri="{02D57815-91ED-43cb-92C2-25804820EDAC}">
                        <c15:formulaRef>
                          <c15:sqref>'Figure 3'!$F$2:$F$132</c15:sqref>
                        </c15:formulaRef>
                      </c:ext>
                    </c:extLst>
                    <c:numCache>
                      <c:formatCode>0</c:formatCode>
                      <c:ptCount val="131"/>
                      <c:pt idx="0">
                        <c:v>1</c:v>
                      </c:pt>
                      <c:pt idx="1">
                        <c:v>2</c:v>
                      </c:pt>
                      <c:pt idx="2">
                        <c:v>3</c:v>
                      </c:pt>
                      <c:pt idx="3">
                        <c:v>4</c:v>
                      </c:pt>
                      <c:pt idx="4">
                        <c:v>5</c:v>
                      </c:pt>
                      <c:pt idx="5">
                        <c:v>6</c:v>
                      </c:pt>
                      <c:pt idx="6">
                        <c:v>7</c:v>
                      </c:pt>
                      <c:pt idx="7">
                        <c:v>8</c:v>
                      </c:pt>
                      <c:pt idx="8">
                        <c:v>9</c:v>
                      </c:pt>
                      <c:pt idx="9">
                        <c:v>10</c:v>
                      </c:pt>
                      <c:pt idx="10">
                        <c:v>11</c:v>
                      </c:pt>
                      <c:pt idx="11">
                        <c:v>12</c:v>
                      </c:pt>
                      <c:pt idx="12">
                        <c:v>1</c:v>
                      </c:pt>
                      <c:pt idx="13">
                        <c:v>2</c:v>
                      </c:pt>
                      <c:pt idx="14">
                        <c:v>3</c:v>
                      </c:pt>
                      <c:pt idx="15">
                        <c:v>4</c:v>
                      </c:pt>
                      <c:pt idx="16">
                        <c:v>5</c:v>
                      </c:pt>
                      <c:pt idx="17">
                        <c:v>6</c:v>
                      </c:pt>
                      <c:pt idx="18">
                        <c:v>7</c:v>
                      </c:pt>
                      <c:pt idx="19">
                        <c:v>8</c:v>
                      </c:pt>
                      <c:pt idx="20">
                        <c:v>9</c:v>
                      </c:pt>
                      <c:pt idx="21">
                        <c:v>10</c:v>
                      </c:pt>
                      <c:pt idx="22">
                        <c:v>11</c:v>
                      </c:pt>
                      <c:pt idx="23">
                        <c:v>12</c:v>
                      </c:pt>
                      <c:pt idx="24">
                        <c:v>1</c:v>
                      </c:pt>
                      <c:pt idx="25">
                        <c:v>2</c:v>
                      </c:pt>
                      <c:pt idx="26">
                        <c:v>3</c:v>
                      </c:pt>
                      <c:pt idx="27">
                        <c:v>4</c:v>
                      </c:pt>
                      <c:pt idx="28">
                        <c:v>5</c:v>
                      </c:pt>
                      <c:pt idx="29">
                        <c:v>6</c:v>
                      </c:pt>
                      <c:pt idx="30">
                        <c:v>7</c:v>
                      </c:pt>
                      <c:pt idx="31">
                        <c:v>8</c:v>
                      </c:pt>
                      <c:pt idx="32">
                        <c:v>9</c:v>
                      </c:pt>
                      <c:pt idx="33">
                        <c:v>10</c:v>
                      </c:pt>
                      <c:pt idx="34">
                        <c:v>11</c:v>
                      </c:pt>
                      <c:pt idx="35">
                        <c:v>12</c:v>
                      </c:pt>
                      <c:pt idx="36">
                        <c:v>1</c:v>
                      </c:pt>
                      <c:pt idx="37">
                        <c:v>2</c:v>
                      </c:pt>
                      <c:pt idx="38">
                        <c:v>3</c:v>
                      </c:pt>
                      <c:pt idx="39">
                        <c:v>4</c:v>
                      </c:pt>
                      <c:pt idx="40">
                        <c:v>5</c:v>
                      </c:pt>
                      <c:pt idx="41">
                        <c:v>6</c:v>
                      </c:pt>
                      <c:pt idx="42">
                        <c:v>7</c:v>
                      </c:pt>
                      <c:pt idx="43">
                        <c:v>8</c:v>
                      </c:pt>
                      <c:pt idx="44">
                        <c:v>9</c:v>
                      </c:pt>
                      <c:pt idx="45">
                        <c:v>10</c:v>
                      </c:pt>
                      <c:pt idx="46">
                        <c:v>11</c:v>
                      </c:pt>
                      <c:pt idx="47">
                        <c:v>12</c:v>
                      </c:pt>
                      <c:pt idx="48">
                        <c:v>1</c:v>
                      </c:pt>
                      <c:pt idx="49">
                        <c:v>2</c:v>
                      </c:pt>
                      <c:pt idx="50">
                        <c:v>3</c:v>
                      </c:pt>
                      <c:pt idx="51">
                        <c:v>4</c:v>
                      </c:pt>
                      <c:pt idx="52">
                        <c:v>5</c:v>
                      </c:pt>
                      <c:pt idx="53">
                        <c:v>6</c:v>
                      </c:pt>
                      <c:pt idx="54">
                        <c:v>7</c:v>
                      </c:pt>
                      <c:pt idx="55">
                        <c:v>8</c:v>
                      </c:pt>
                      <c:pt idx="56">
                        <c:v>9</c:v>
                      </c:pt>
                      <c:pt idx="57">
                        <c:v>10</c:v>
                      </c:pt>
                      <c:pt idx="58">
                        <c:v>11</c:v>
                      </c:pt>
                      <c:pt idx="59">
                        <c:v>12</c:v>
                      </c:pt>
                      <c:pt idx="60">
                        <c:v>1</c:v>
                      </c:pt>
                      <c:pt idx="61">
                        <c:v>2</c:v>
                      </c:pt>
                      <c:pt idx="62">
                        <c:v>3</c:v>
                      </c:pt>
                      <c:pt idx="63">
                        <c:v>4</c:v>
                      </c:pt>
                      <c:pt idx="64">
                        <c:v>5</c:v>
                      </c:pt>
                      <c:pt idx="65">
                        <c:v>6</c:v>
                      </c:pt>
                      <c:pt idx="66">
                        <c:v>7</c:v>
                      </c:pt>
                      <c:pt idx="67">
                        <c:v>8</c:v>
                      </c:pt>
                      <c:pt idx="68">
                        <c:v>9</c:v>
                      </c:pt>
                      <c:pt idx="69">
                        <c:v>10</c:v>
                      </c:pt>
                      <c:pt idx="70">
                        <c:v>11</c:v>
                      </c:pt>
                      <c:pt idx="71">
                        <c:v>12</c:v>
                      </c:pt>
                      <c:pt idx="72">
                        <c:v>1</c:v>
                      </c:pt>
                      <c:pt idx="73">
                        <c:v>2</c:v>
                      </c:pt>
                      <c:pt idx="74">
                        <c:v>3</c:v>
                      </c:pt>
                      <c:pt idx="75">
                        <c:v>4</c:v>
                      </c:pt>
                      <c:pt idx="76">
                        <c:v>5</c:v>
                      </c:pt>
                      <c:pt idx="77">
                        <c:v>6</c:v>
                      </c:pt>
                      <c:pt idx="78">
                        <c:v>7</c:v>
                      </c:pt>
                      <c:pt idx="79">
                        <c:v>8</c:v>
                      </c:pt>
                      <c:pt idx="80">
                        <c:v>9</c:v>
                      </c:pt>
                      <c:pt idx="81">
                        <c:v>10</c:v>
                      </c:pt>
                      <c:pt idx="82">
                        <c:v>11</c:v>
                      </c:pt>
                      <c:pt idx="83">
                        <c:v>12</c:v>
                      </c:pt>
                      <c:pt idx="84">
                        <c:v>1</c:v>
                      </c:pt>
                      <c:pt idx="85">
                        <c:v>2</c:v>
                      </c:pt>
                      <c:pt idx="86">
                        <c:v>3</c:v>
                      </c:pt>
                      <c:pt idx="87">
                        <c:v>4</c:v>
                      </c:pt>
                      <c:pt idx="88">
                        <c:v>5</c:v>
                      </c:pt>
                      <c:pt idx="89">
                        <c:v>6</c:v>
                      </c:pt>
                      <c:pt idx="90">
                        <c:v>7</c:v>
                      </c:pt>
                      <c:pt idx="91">
                        <c:v>8</c:v>
                      </c:pt>
                      <c:pt idx="92">
                        <c:v>9</c:v>
                      </c:pt>
                      <c:pt idx="93">
                        <c:v>10</c:v>
                      </c:pt>
                      <c:pt idx="94">
                        <c:v>11</c:v>
                      </c:pt>
                      <c:pt idx="95">
                        <c:v>12</c:v>
                      </c:pt>
                      <c:pt idx="96">
                        <c:v>1</c:v>
                      </c:pt>
                      <c:pt idx="97">
                        <c:v>2</c:v>
                      </c:pt>
                      <c:pt idx="98">
                        <c:v>3</c:v>
                      </c:pt>
                      <c:pt idx="99">
                        <c:v>4</c:v>
                      </c:pt>
                      <c:pt idx="100">
                        <c:v>5</c:v>
                      </c:pt>
                      <c:pt idx="101">
                        <c:v>6</c:v>
                      </c:pt>
                      <c:pt idx="102">
                        <c:v>7</c:v>
                      </c:pt>
                      <c:pt idx="103">
                        <c:v>8</c:v>
                      </c:pt>
                      <c:pt idx="104">
                        <c:v>9</c:v>
                      </c:pt>
                      <c:pt idx="105">
                        <c:v>10</c:v>
                      </c:pt>
                      <c:pt idx="106">
                        <c:v>11</c:v>
                      </c:pt>
                      <c:pt idx="107">
                        <c:v>12</c:v>
                      </c:pt>
                      <c:pt idx="108">
                        <c:v>1</c:v>
                      </c:pt>
                      <c:pt idx="109">
                        <c:v>2</c:v>
                      </c:pt>
                      <c:pt idx="110">
                        <c:v>3</c:v>
                      </c:pt>
                      <c:pt idx="111">
                        <c:v>4</c:v>
                      </c:pt>
                      <c:pt idx="112">
                        <c:v>5</c:v>
                      </c:pt>
                      <c:pt idx="113">
                        <c:v>6</c:v>
                      </c:pt>
                      <c:pt idx="114">
                        <c:v>7</c:v>
                      </c:pt>
                      <c:pt idx="115">
                        <c:v>8</c:v>
                      </c:pt>
                      <c:pt idx="116">
                        <c:v>9</c:v>
                      </c:pt>
                      <c:pt idx="117">
                        <c:v>10</c:v>
                      </c:pt>
                      <c:pt idx="118">
                        <c:v>11</c:v>
                      </c:pt>
                      <c:pt idx="119">
                        <c:v>12</c:v>
                      </c:pt>
                      <c:pt idx="120">
                        <c:v>1</c:v>
                      </c:pt>
                      <c:pt idx="121">
                        <c:v>2</c:v>
                      </c:pt>
                      <c:pt idx="122">
                        <c:v>3</c:v>
                      </c:pt>
                      <c:pt idx="123">
                        <c:v>4</c:v>
                      </c:pt>
                      <c:pt idx="124">
                        <c:v>5</c:v>
                      </c:pt>
                      <c:pt idx="125">
                        <c:v>6</c:v>
                      </c:pt>
                      <c:pt idx="126">
                        <c:v>7</c:v>
                      </c:pt>
                      <c:pt idx="127">
                        <c:v>8</c:v>
                      </c:pt>
                      <c:pt idx="128">
                        <c:v>9</c:v>
                      </c:pt>
                      <c:pt idx="129">
                        <c:v>10</c:v>
                      </c:pt>
                      <c:pt idx="130">
                        <c:v>11</c:v>
                      </c:pt>
                    </c:numCache>
                  </c:numRef>
                </c:val>
                <c:smooth val="0"/>
                <c:extLst>
                  <c:ext xmlns:c16="http://schemas.microsoft.com/office/drawing/2014/chart" uri="{C3380CC4-5D6E-409C-BE32-E72D297353CC}">
                    <c16:uniqueId val="{00000005-3648-4858-9EE1-D186A21F9FF5}"/>
                  </c:ext>
                </c:extLst>
              </c15:ser>
            </c15:filteredLineSeries>
          </c:ext>
        </c:extLst>
      </c:lineChart>
      <c:lineChart>
        <c:grouping val="standard"/>
        <c:varyColors val="0"/>
        <c:ser>
          <c:idx val="2"/>
          <c:order val="2"/>
          <c:tx>
            <c:strRef>
              <c:f>'Figure 3'!$H$1</c:f>
              <c:strCache>
                <c:ptCount val="1"/>
                <c:pt idx="0">
                  <c:v>Share wrt total number of firms</c:v>
                </c:pt>
              </c:strCache>
            </c:strRef>
          </c:tx>
          <c:spPr>
            <a:ln w="12700" cap="rnd" cmpd="sng">
              <a:solidFill>
                <a:srgbClr val="FF0000"/>
              </a:solidFill>
              <a:prstDash val="dash"/>
              <a:round/>
            </a:ln>
            <a:effectLst/>
          </c:spPr>
          <c:marker>
            <c:symbol val="none"/>
          </c:marker>
          <c:cat>
            <c:numRef>
              <c:f>'Figure 3'!$D$2:$D$133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3'!$H$2:$H$132</c:f>
              <c:numCache>
                <c:formatCode>0</c:formatCode>
                <c:ptCount val="131"/>
                <c:pt idx="0">
                  <c:v>22.36312103271484</c:v>
                </c:pt>
                <c:pt idx="1">
                  <c:v>24.1981201171875</c:v>
                </c:pt>
                <c:pt idx="2">
                  <c:v>22.1932373046875</c:v>
                </c:pt>
                <c:pt idx="3">
                  <c:v>24.318113327026371</c:v>
                </c:pt>
                <c:pt idx="4">
                  <c:v>21.452848434448239</c:v>
                </c:pt>
                <c:pt idx="5">
                  <c:v>21.564779281616211</c:v>
                </c:pt>
                <c:pt idx="6">
                  <c:v>20.866384506225589</c:v>
                </c:pt>
                <c:pt idx="7">
                  <c:v>19.922719955444339</c:v>
                </c:pt>
                <c:pt idx="8">
                  <c:v>21.207098007202148</c:v>
                </c:pt>
                <c:pt idx="9">
                  <c:v>20.149370193481449</c:v>
                </c:pt>
                <c:pt idx="10">
                  <c:v>20.58721923828125</c:v>
                </c:pt>
                <c:pt idx="11">
                  <c:v>20.126750946044918</c:v>
                </c:pt>
                <c:pt idx="12">
                  <c:v>21.438852310180661</c:v>
                </c:pt>
                <c:pt idx="13">
                  <c:v>23.548784255981449</c:v>
                </c:pt>
                <c:pt idx="14">
                  <c:v>22.43058013916016</c:v>
                </c:pt>
                <c:pt idx="15">
                  <c:v>23.99019813537598</c:v>
                </c:pt>
                <c:pt idx="16">
                  <c:v>21.57607460021973</c:v>
                </c:pt>
                <c:pt idx="17">
                  <c:v>21.384004592895511</c:v>
                </c:pt>
                <c:pt idx="18">
                  <c:v>20.38071441650391</c:v>
                </c:pt>
                <c:pt idx="19">
                  <c:v>21.299821853637699</c:v>
                </c:pt>
                <c:pt idx="20">
                  <c:v>20.88352012634277</c:v>
                </c:pt>
                <c:pt idx="21">
                  <c:v>19.865846633911129</c:v>
                </c:pt>
                <c:pt idx="22">
                  <c:v>21.6275520324707</c:v>
                </c:pt>
                <c:pt idx="23">
                  <c:v>19.52475547790527</c:v>
                </c:pt>
                <c:pt idx="24">
                  <c:v>21.487636566162109</c:v>
                </c:pt>
                <c:pt idx="25">
                  <c:v>23.294282913208011</c:v>
                </c:pt>
                <c:pt idx="26">
                  <c:v>22.59162712097168</c:v>
                </c:pt>
                <c:pt idx="27">
                  <c:v>24.962997436523441</c:v>
                </c:pt>
                <c:pt idx="28">
                  <c:v>22.941974639892582</c:v>
                </c:pt>
                <c:pt idx="29">
                  <c:v>22.125019073486332</c:v>
                </c:pt>
                <c:pt idx="30">
                  <c:v>21.85463714599609</c:v>
                </c:pt>
                <c:pt idx="31">
                  <c:v>22.019952774047852</c:v>
                </c:pt>
                <c:pt idx="32">
                  <c:v>21.59237098693848</c:v>
                </c:pt>
                <c:pt idx="33">
                  <c:v>20.864486694335941</c:v>
                </c:pt>
                <c:pt idx="34">
                  <c:v>21.445985794067379</c:v>
                </c:pt>
                <c:pt idx="35">
                  <c:v>21.073371887207031</c:v>
                </c:pt>
                <c:pt idx="36">
                  <c:v>22.30105018615723</c:v>
                </c:pt>
                <c:pt idx="37">
                  <c:v>25.49117469787598</c:v>
                </c:pt>
                <c:pt idx="38">
                  <c:v>23.707183837890629</c:v>
                </c:pt>
                <c:pt idx="39">
                  <c:v>25.7248420715332</c:v>
                </c:pt>
                <c:pt idx="40">
                  <c:v>23.37360763549805</c:v>
                </c:pt>
                <c:pt idx="41">
                  <c:v>22.610343933105469</c:v>
                </c:pt>
                <c:pt idx="42">
                  <c:v>22.143341064453129</c:v>
                </c:pt>
                <c:pt idx="43">
                  <c:v>21.00897216796875</c:v>
                </c:pt>
                <c:pt idx="44">
                  <c:v>21.91402435302734</c:v>
                </c:pt>
                <c:pt idx="45">
                  <c:v>20.94349479675293</c:v>
                </c:pt>
                <c:pt idx="46">
                  <c:v>22.600307464599609</c:v>
                </c:pt>
                <c:pt idx="47">
                  <c:v>21.18896484375</c:v>
                </c:pt>
                <c:pt idx="48">
                  <c:v>23.25264930725098</c:v>
                </c:pt>
                <c:pt idx="49">
                  <c:v>24.65628623962402</c:v>
                </c:pt>
                <c:pt idx="50">
                  <c:v>23.882658004760739</c:v>
                </c:pt>
                <c:pt idx="51">
                  <c:v>25.583173751831051</c:v>
                </c:pt>
                <c:pt idx="52">
                  <c:v>23.022041320800781</c:v>
                </c:pt>
                <c:pt idx="53">
                  <c:v>22.547422409057621</c:v>
                </c:pt>
                <c:pt idx="54">
                  <c:v>21.357772827148441</c:v>
                </c:pt>
                <c:pt idx="55">
                  <c:v>21.458921432495121</c:v>
                </c:pt>
                <c:pt idx="56">
                  <c:v>21.8330078125</c:v>
                </c:pt>
                <c:pt idx="57">
                  <c:v>21.08620452880859</c:v>
                </c:pt>
                <c:pt idx="58">
                  <c:v>22.118659973144531</c:v>
                </c:pt>
                <c:pt idx="59">
                  <c:v>21.260555267333981</c:v>
                </c:pt>
                <c:pt idx="60">
                  <c:v>23.1373405456543</c:v>
                </c:pt>
                <c:pt idx="61">
                  <c:v>25.110342025756839</c:v>
                </c:pt>
                <c:pt idx="62">
                  <c:v>21.894168853759769</c:v>
                </c:pt>
                <c:pt idx="63">
                  <c:v>25.259967803955082</c:v>
                </c:pt>
                <c:pt idx="64">
                  <c:v>23.477592468261719</c:v>
                </c:pt>
                <c:pt idx="65">
                  <c:v>21.239847183227539</c:v>
                </c:pt>
                <c:pt idx="66">
                  <c:v>23.148641586303711</c:v>
                </c:pt>
                <c:pt idx="67">
                  <c:v>20.596063613891602</c:v>
                </c:pt>
                <c:pt idx="68">
                  <c:v>22.052457809448239</c:v>
                </c:pt>
                <c:pt idx="69">
                  <c:v>20.661371231079102</c:v>
                </c:pt>
                <c:pt idx="70">
                  <c:v>21.110298156738281</c:v>
                </c:pt>
                <c:pt idx="71">
                  <c:v>21.289567947387699</c:v>
                </c:pt>
                <c:pt idx="72">
                  <c:v>22.731235504150391</c:v>
                </c:pt>
                <c:pt idx="73">
                  <c:v>24.306844711303711</c:v>
                </c:pt>
                <c:pt idx="74">
                  <c:v>23.426702499389648</c:v>
                </c:pt>
                <c:pt idx="75">
                  <c:v>25.39951133728027</c:v>
                </c:pt>
                <c:pt idx="76">
                  <c:v>21.761201858520511</c:v>
                </c:pt>
                <c:pt idx="77">
                  <c:v>21.92534255981445</c:v>
                </c:pt>
                <c:pt idx="78">
                  <c:v>22.008213043212891</c:v>
                </c:pt>
                <c:pt idx="79">
                  <c:v>21.53299522399902</c:v>
                </c:pt>
                <c:pt idx="80">
                  <c:v>21.979160308837891</c:v>
                </c:pt>
                <c:pt idx="81">
                  <c:v>20.627363204956051</c:v>
                </c:pt>
                <c:pt idx="82">
                  <c:v>21.675985336303711</c:v>
                </c:pt>
                <c:pt idx="83">
                  <c:v>21.240936279296879</c:v>
                </c:pt>
                <c:pt idx="84">
                  <c:v>22.070882797241211</c:v>
                </c:pt>
                <c:pt idx="85">
                  <c:v>24.533988952636719</c:v>
                </c:pt>
                <c:pt idx="86">
                  <c:v>23.373760223388668</c:v>
                </c:pt>
                <c:pt idx="87">
                  <c:v>27.748945236206051</c:v>
                </c:pt>
                <c:pt idx="88">
                  <c:v>20.343402862548832</c:v>
                </c:pt>
                <c:pt idx="89">
                  <c:v>17.941360473632809</c:v>
                </c:pt>
                <c:pt idx="90">
                  <c:v>18.319416046142582</c:v>
                </c:pt>
                <c:pt idx="91">
                  <c:v>18.01264762878418</c:v>
                </c:pt>
                <c:pt idx="92">
                  <c:v>19.37064170837402</c:v>
                </c:pt>
                <c:pt idx="93">
                  <c:v>18.2390251159668</c:v>
                </c:pt>
                <c:pt idx="94">
                  <c:v>20.529611587524411</c:v>
                </c:pt>
                <c:pt idx="95">
                  <c:v>20.192905426025391</c:v>
                </c:pt>
                <c:pt idx="96">
                  <c:v>19.0655517578125</c:v>
                </c:pt>
                <c:pt idx="97">
                  <c:v>21.961250305175781</c:v>
                </c:pt>
                <c:pt idx="98">
                  <c:v>21.230379104614261</c:v>
                </c:pt>
                <c:pt idx="99">
                  <c:v>22.847248077392582</c:v>
                </c:pt>
                <c:pt idx="100">
                  <c:v>20.567378997802731</c:v>
                </c:pt>
                <c:pt idx="101">
                  <c:v>19.92310905456543</c:v>
                </c:pt>
                <c:pt idx="102">
                  <c:v>19.21818923950195</c:v>
                </c:pt>
                <c:pt idx="103">
                  <c:v>19.153583526611332</c:v>
                </c:pt>
                <c:pt idx="104">
                  <c:v>19.620693206787109</c:v>
                </c:pt>
                <c:pt idx="105">
                  <c:v>19.378713607788089</c:v>
                </c:pt>
                <c:pt idx="106">
                  <c:v>20.008363723754879</c:v>
                </c:pt>
                <c:pt idx="107">
                  <c:v>19.4421501159668</c:v>
                </c:pt>
                <c:pt idx="120">
                  <c:v>19.683023452758789</c:v>
                </c:pt>
                <c:pt idx="121">
                  <c:v>21.722385406494141</c:v>
                </c:pt>
                <c:pt idx="122">
                  <c:v>20.186769485473629</c:v>
                </c:pt>
                <c:pt idx="123">
                  <c:v>21.841264724731449</c:v>
                </c:pt>
                <c:pt idx="124">
                  <c:v>19.688657760620121</c:v>
                </c:pt>
                <c:pt idx="125">
                  <c:v>18.648784637451168</c:v>
                </c:pt>
                <c:pt idx="126">
                  <c:v>19.210769653320309</c:v>
                </c:pt>
                <c:pt idx="127">
                  <c:v>18.921136856079102</c:v>
                </c:pt>
                <c:pt idx="128">
                  <c:v>18.734611511230469</c:v>
                </c:pt>
                <c:pt idx="129">
                  <c:v>17.9285774230957</c:v>
                </c:pt>
                <c:pt idx="130">
                  <c:v>18.88859748840332</c:v>
                </c:pt>
              </c:numCache>
            </c:numRef>
          </c:val>
          <c:smooth val="0"/>
          <c:extLst>
            <c:ext xmlns:c16="http://schemas.microsoft.com/office/drawing/2014/chart" uri="{C3380CC4-5D6E-409C-BE32-E72D297353CC}">
              <c16:uniqueId val="{00000004-3648-4858-9EE1-D186A21F9FF5}"/>
            </c:ext>
          </c:extLst>
        </c:ser>
        <c:dLbls>
          <c:showLegendKey val="0"/>
          <c:showVal val="0"/>
          <c:showCatName val="0"/>
          <c:showSerName val="0"/>
          <c:showPercent val="0"/>
          <c:showBubbleSize val="0"/>
        </c:dLbls>
        <c:marker val="1"/>
        <c:smooth val="0"/>
        <c:axId val="1176992"/>
        <c:axId val="47059363"/>
        <c:extLst/>
      </c:lineChart>
      <c:dateAx>
        <c:axId val="1355463"/>
        <c:scaling>
          <c:orientation val="minMax"/>
        </c:scaling>
        <c:delete val="0"/>
        <c:axPos val="b"/>
        <c:numFmt formatCode="m/d/yyyy"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4371101"/>
        <c:crosses val="autoZero"/>
        <c:auto val="1"/>
        <c:lblOffset val="100"/>
        <c:baseTimeUnit val="months"/>
      </c:dateAx>
      <c:valAx>
        <c:axId val="64371101"/>
        <c:scaling>
          <c:orientation val="minMax"/>
          <c:max val="2500"/>
          <c:min val="500"/>
        </c:scaling>
        <c:delete val="0"/>
        <c:axPos val="l"/>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mn-lt"/>
                    <a:ea typeface="+mn-ea"/>
                    <a:cs typeface="+mn-cs"/>
                  </a:defRPr>
                </a:pPr>
                <a:r>
                  <a:rPr lang="en-US"/>
                  <a:t>Number of firms</a:t>
                </a:r>
              </a:p>
            </c:rich>
          </c:tx>
          <c:overlay val="0"/>
          <c:spPr>
            <a:noFill/>
            <a:ln w="12700">
              <a:noFill/>
            </a:ln>
            <a:effectLst/>
          </c:spPr>
        </c:title>
        <c:numFmt formatCode="0" sourceLinked="1"/>
        <c:majorTickMark val="none"/>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5463"/>
        <c:crossesAt val="41275"/>
        <c:crossBetween val="between"/>
        <c:majorUnit val="500"/>
      </c:valAx>
      <c:dateAx>
        <c:axId val="1176992"/>
        <c:scaling>
          <c:orientation val="minMax"/>
        </c:scaling>
        <c:delete val="1"/>
        <c:axPos val="b"/>
        <c:numFmt formatCode="m/d/yyyy" sourceLinked="1"/>
        <c:majorTickMark val="out"/>
        <c:minorTickMark val="none"/>
        <c:tickLblPos val="nextTo"/>
        <c:crossAx val="47059363"/>
        <c:crosses val="autoZero"/>
        <c:auto val="1"/>
        <c:lblOffset val="100"/>
        <c:baseTimeUnit val="months"/>
      </c:dateAx>
      <c:valAx>
        <c:axId val="47059363"/>
        <c:scaling>
          <c:orientation val="minMax"/>
          <c:max val="35"/>
          <c:min val="15"/>
        </c:scaling>
        <c:delete val="0"/>
        <c:axPos val="r"/>
        <c:numFmt formatCode="General" sourceLinked="1"/>
        <c:majorTickMark val="out"/>
        <c:minorTickMark val="none"/>
        <c:tickLblPos val="nextTo"/>
        <c:spPr>
          <a:solidFill>
            <a:srgbClr val="FFFFFF"/>
          </a:solidFill>
          <a:ln w="12700">
            <a:noFill/>
          </a:ln>
          <a:effectLst/>
        </c:spPr>
        <c:txPr>
          <a:bodyPr rot="-5400000" vert="horz" wrap="square"/>
          <a:lstStyle/>
          <a:p>
            <a:pPr>
              <a:defRPr lang="en-US" sz="900" b="0" i="0" u="none" kern="1200" baseline="0">
                <a:noFill/>
                <a:latin typeface="Times New Roman" panose="02020603050405020304" pitchFamily="18" charset="0"/>
                <a:ea typeface="+mn-ea"/>
                <a:cs typeface="Times New Roman" panose="02020603050405020304" pitchFamily="18" charset="0"/>
              </a:defRPr>
            </a:pPr>
            <a:endParaRPr lang="en-US"/>
          </a:p>
        </c:txPr>
        <c:crossAx val="1176992"/>
        <c:crosses val="max"/>
        <c:crossBetween val="between"/>
        <c:majorUnit val="5"/>
      </c:valAx>
      <c:spPr>
        <a:noFill/>
        <a:ln w="12700">
          <a:noFill/>
        </a:ln>
        <a:effectLst/>
      </c:spPr>
    </c:plotArea>
    <c:legend>
      <c:legendPos val="b"/>
      <c:legendEntry>
        <c:idx val="0"/>
        <c:delete val="1"/>
      </c:legendEntry>
      <c:legendEntry>
        <c:idx val="1"/>
        <c:txPr>
          <a:bodyPr rot="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Exports</a:t>
            </a:r>
          </a:p>
        </c:rich>
      </c:tx>
      <c:overlay val="0"/>
      <c:spPr>
        <a:noFill/>
        <a:ln w="12700">
          <a:noFill/>
        </a:ln>
        <a:effectLst/>
      </c:spPr>
    </c:title>
    <c:autoTitleDeleted val="0"/>
    <c:plotArea>
      <c:layout/>
      <c:barChart>
        <c:barDir val="col"/>
        <c:grouping val="clustered"/>
        <c:varyColors val="0"/>
        <c:ser>
          <c:idx val="0"/>
          <c:order val="2"/>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61E3-4A89-8E08-CEA09B207067}"/>
              </c:ext>
            </c:extLst>
          </c:dPt>
          <c:cat>
            <c:numRef>
              <c:f>'Figure 3'!$D$134:$D$265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3'!$I$134:$I$265</c:f>
              <c:numCache>
                <c:formatCode>General</c:formatCode>
                <c:ptCount val="132"/>
                <c:pt idx="48" formatCode="0">
                  <c:v>2500</c:v>
                </c:pt>
              </c:numCache>
            </c:numRef>
          </c:val>
          <c:extLst>
            <c:ext xmlns:c16="http://schemas.microsoft.com/office/drawing/2014/chart" uri="{C3380CC4-5D6E-409C-BE32-E72D297353CC}">
              <c16:uniqueId val="{00000002-61E3-4A89-8E08-CEA09B207067}"/>
            </c:ext>
          </c:extLst>
        </c:ser>
        <c:dLbls>
          <c:showLegendKey val="0"/>
          <c:showVal val="0"/>
          <c:showCatName val="0"/>
          <c:showSerName val="0"/>
          <c:showPercent val="0"/>
          <c:showBubbleSize val="0"/>
        </c:dLbls>
        <c:gapWidth val="150"/>
        <c:axId val="2872501"/>
        <c:axId val="10197150"/>
      </c:barChart>
      <c:lineChart>
        <c:grouping val="standard"/>
        <c:varyColors val="0"/>
        <c:ser>
          <c:idx val="1"/>
          <c:order val="0"/>
          <c:tx>
            <c:strRef>
              <c:f>'Figure 3'!$G$1</c:f>
              <c:strCache>
                <c:ptCount val="1"/>
                <c:pt idx="0">
                  <c:v>Number of firms (left) </c:v>
                </c:pt>
              </c:strCache>
            </c:strRef>
          </c:tx>
          <c:spPr>
            <a:ln w="12700" cap="rnd" cmpd="sng">
              <a:solidFill>
                <a:srgbClr val="0070C0"/>
              </a:solidFill>
              <a:round/>
            </a:ln>
            <a:effectLst/>
          </c:spPr>
          <c:marker>
            <c:symbol val="none"/>
          </c:marker>
          <c:cat>
            <c:multiLvlStrRef>
              <c:f>'Figure 3'!$A$134:$E$265</c:f>
              <c:multiLvlStrCache>
                <c:ptCount val="132"/>
                <c:lvl>
                  <c:pt idx="0">
                    <c:v>2013</c:v>
                  </c:pt>
                  <c:pt idx="1">
                    <c:v>2013</c:v>
                  </c:pt>
                  <c:pt idx="2">
                    <c:v>2013</c:v>
                  </c:pt>
                  <c:pt idx="3">
                    <c:v>2013</c:v>
                  </c:pt>
                  <c:pt idx="4">
                    <c:v>2013</c:v>
                  </c:pt>
                  <c:pt idx="5">
                    <c:v>2013</c:v>
                  </c:pt>
                  <c:pt idx="6">
                    <c:v>2013</c:v>
                  </c:pt>
                  <c:pt idx="7">
                    <c:v>2013</c:v>
                  </c:pt>
                  <c:pt idx="8">
                    <c:v>2013</c:v>
                  </c:pt>
                  <c:pt idx="9">
                    <c:v>2013</c:v>
                  </c:pt>
                  <c:pt idx="10">
                    <c:v>2013</c:v>
                  </c:pt>
                  <c:pt idx="11">
                    <c:v>2013</c:v>
                  </c:pt>
                  <c:pt idx="12">
                    <c:v>2014</c:v>
                  </c:pt>
                  <c:pt idx="13">
                    <c:v>2014</c:v>
                  </c:pt>
                  <c:pt idx="14">
                    <c:v>2014</c:v>
                  </c:pt>
                  <c:pt idx="15">
                    <c:v>2014</c:v>
                  </c:pt>
                  <c:pt idx="16">
                    <c:v>2014</c:v>
                  </c:pt>
                  <c:pt idx="17">
                    <c:v>2014</c:v>
                  </c:pt>
                  <c:pt idx="18">
                    <c:v>2014</c:v>
                  </c:pt>
                  <c:pt idx="19">
                    <c:v>2014</c:v>
                  </c:pt>
                  <c:pt idx="20">
                    <c:v>2014</c:v>
                  </c:pt>
                  <c:pt idx="21">
                    <c:v>2014</c:v>
                  </c:pt>
                  <c:pt idx="22">
                    <c:v>2014</c:v>
                  </c:pt>
                  <c:pt idx="23">
                    <c:v>2014</c:v>
                  </c:pt>
                  <c:pt idx="24">
                    <c:v>2015</c:v>
                  </c:pt>
                  <c:pt idx="25">
                    <c:v>2015</c:v>
                  </c:pt>
                  <c:pt idx="26">
                    <c:v>2015</c:v>
                  </c:pt>
                  <c:pt idx="27">
                    <c:v>2015</c:v>
                  </c:pt>
                  <c:pt idx="28">
                    <c:v>2015</c:v>
                  </c:pt>
                  <c:pt idx="29">
                    <c:v>2015</c:v>
                  </c:pt>
                  <c:pt idx="30">
                    <c:v>2015</c:v>
                  </c:pt>
                  <c:pt idx="31">
                    <c:v>2015</c:v>
                  </c:pt>
                  <c:pt idx="32">
                    <c:v>2015</c:v>
                  </c:pt>
                  <c:pt idx="33">
                    <c:v>2015</c:v>
                  </c:pt>
                  <c:pt idx="34">
                    <c:v>2015</c:v>
                  </c:pt>
                  <c:pt idx="35">
                    <c:v>2015</c:v>
                  </c:pt>
                  <c:pt idx="36">
                    <c:v>2016</c:v>
                  </c:pt>
                  <c:pt idx="37">
                    <c:v>2016</c:v>
                  </c:pt>
                  <c:pt idx="38">
                    <c:v>2016</c:v>
                  </c:pt>
                  <c:pt idx="39">
                    <c:v>2016</c:v>
                  </c:pt>
                  <c:pt idx="40">
                    <c:v>2016</c:v>
                  </c:pt>
                  <c:pt idx="41">
                    <c:v>2016</c:v>
                  </c:pt>
                  <c:pt idx="42">
                    <c:v>2016</c:v>
                  </c:pt>
                  <c:pt idx="43">
                    <c:v>2016</c:v>
                  </c:pt>
                  <c:pt idx="44">
                    <c:v>2016</c:v>
                  </c:pt>
                  <c:pt idx="45">
                    <c:v>2016</c:v>
                  </c:pt>
                  <c:pt idx="46">
                    <c:v>2016</c:v>
                  </c:pt>
                  <c:pt idx="47">
                    <c:v>2016</c:v>
                  </c:pt>
                  <c:pt idx="48">
                    <c:v>2017</c:v>
                  </c:pt>
                  <c:pt idx="49">
                    <c:v>2017</c:v>
                  </c:pt>
                  <c:pt idx="50">
                    <c:v>2017</c:v>
                  </c:pt>
                  <c:pt idx="51">
                    <c:v>2017</c:v>
                  </c:pt>
                  <c:pt idx="52">
                    <c:v>2017</c:v>
                  </c:pt>
                  <c:pt idx="53">
                    <c:v>2017</c:v>
                  </c:pt>
                  <c:pt idx="54">
                    <c:v>2017</c:v>
                  </c:pt>
                  <c:pt idx="55">
                    <c:v>2017</c:v>
                  </c:pt>
                  <c:pt idx="56">
                    <c:v>2017</c:v>
                  </c:pt>
                  <c:pt idx="57">
                    <c:v>2017</c:v>
                  </c:pt>
                  <c:pt idx="58">
                    <c:v>2017</c:v>
                  </c:pt>
                  <c:pt idx="59">
                    <c:v>2017</c:v>
                  </c:pt>
                  <c:pt idx="60">
                    <c:v>2018</c:v>
                  </c:pt>
                  <c:pt idx="61">
                    <c:v>2018</c:v>
                  </c:pt>
                  <c:pt idx="62">
                    <c:v>2018</c:v>
                  </c:pt>
                  <c:pt idx="63">
                    <c:v>2018</c:v>
                  </c:pt>
                  <c:pt idx="64">
                    <c:v>2018</c:v>
                  </c:pt>
                  <c:pt idx="65">
                    <c:v>2018</c:v>
                  </c:pt>
                  <c:pt idx="66">
                    <c:v>2018</c:v>
                  </c:pt>
                  <c:pt idx="67">
                    <c:v>2018</c:v>
                  </c:pt>
                  <c:pt idx="68">
                    <c:v>2018</c:v>
                  </c:pt>
                  <c:pt idx="69">
                    <c:v>2018</c:v>
                  </c:pt>
                  <c:pt idx="70">
                    <c:v>2018</c:v>
                  </c:pt>
                  <c:pt idx="71">
                    <c:v>2018</c:v>
                  </c:pt>
                  <c:pt idx="72">
                    <c:v>2019</c:v>
                  </c:pt>
                  <c:pt idx="73">
                    <c:v>2019</c:v>
                  </c:pt>
                  <c:pt idx="74">
                    <c:v>2019</c:v>
                  </c:pt>
                  <c:pt idx="75">
                    <c:v>2019</c:v>
                  </c:pt>
                  <c:pt idx="76">
                    <c:v>2019</c:v>
                  </c:pt>
                  <c:pt idx="77">
                    <c:v>2019</c:v>
                  </c:pt>
                  <c:pt idx="78">
                    <c:v>2019</c:v>
                  </c:pt>
                  <c:pt idx="79">
                    <c:v>2019</c:v>
                  </c:pt>
                  <c:pt idx="80">
                    <c:v>2019</c:v>
                  </c:pt>
                  <c:pt idx="81">
                    <c:v>2019</c:v>
                  </c:pt>
                  <c:pt idx="82">
                    <c:v>2019</c:v>
                  </c:pt>
                  <c:pt idx="83">
                    <c:v>2019</c:v>
                  </c:pt>
                  <c:pt idx="84">
                    <c:v>2020</c:v>
                  </c:pt>
                  <c:pt idx="85">
                    <c:v>2020</c:v>
                  </c:pt>
                  <c:pt idx="86">
                    <c:v>2020</c:v>
                  </c:pt>
                  <c:pt idx="87">
                    <c:v>2020</c:v>
                  </c:pt>
                  <c:pt idx="88">
                    <c:v>2020</c:v>
                  </c:pt>
                  <c:pt idx="89">
                    <c:v>2020</c:v>
                  </c:pt>
                  <c:pt idx="90">
                    <c:v>2020</c:v>
                  </c:pt>
                  <c:pt idx="91">
                    <c:v>2020</c:v>
                  </c:pt>
                  <c:pt idx="92">
                    <c:v>2020</c:v>
                  </c:pt>
                  <c:pt idx="93">
                    <c:v>2020</c:v>
                  </c:pt>
                  <c:pt idx="94">
                    <c:v>2020</c:v>
                  </c:pt>
                  <c:pt idx="95">
                    <c:v>2020</c:v>
                  </c:pt>
                  <c:pt idx="96">
                    <c:v>2021</c:v>
                  </c:pt>
                  <c:pt idx="97">
                    <c:v>2021</c:v>
                  </c:pt>
                  <c:pt idx="98">
                    <c:v>2021</c:v>
                  </c:pt>
                  <c:pt idx="99">
                    <c:v>2021</c:v>
                  </c:pt>
                  <c:pt idx="100">
                    <c:v>2021</c:v>
                  </c:pt>
                  <c:pt idx="101">
                    <c:v>2021</c:v>
                  </c:pt>
                  <c:pt idx="102">
                    <c:v>2021</c:v>
                  </c:pt>
                  <c:pt idx="103">
                    <c:v>2021</c:v>
                  </c:pt>
                  <c:pt idx="104">
                    <c:v>2021</c:v>
                  </c:pt>
                  <c:pt idx="105">
                    <c:v>2021</c:v>
                  </c:pt>
                  <c:pt idx="106">
                    <c:v>2021</c:v>
                  </c:pt>
                  <c:pt idx="107">
                    <c:v>2021</c:v>
                  </c:pt>
                  <c:pt idx="108">
                    <c:v>2022</c:v>
                  </c:pt>
                  <c:pt idx="109">
                    <c:v>2022</c:v>
                  </c:pt>
                  <c:pt idx="110">
                    <c:v>2022</c:v>
                  </c:pt>
                  <c:pt idx="111">
                    <c:v>2022</c:v>
                  </c:pt>
                  <c:pt idx="112">
                    <c:v>2022</c:v>
                  </c:pt>
                  <c:pt idx="113">
                    <c:v>2022</c:v>
                  </c:pt>
                  <c:pt idx="114">
                    <c:v>2022</c:v>
                  </c:pt>
                  <c:pt idx="115">
                    <c:v>2022</c:v>
                  </c:pt>
                  <c:pt idx="116">
                    <c:v>2022</c:v>
                  </c:pt>
                  <c:pt idx="117">
                    <c:v>2022</c:v>
                  </c:pt>
                  <c:pt idx="118">
                    <c:v>2022</c:v>
                  </c:pt>
                  <c:pt idx="119">
                    <c:v>2022</c:v>
                  </c:pt>
                  <c:pt idx="120">
                    <c:v>2023</c:v>
                  </c:pt>
                  <c:pt idx="121">
                    <c:v>2023</c:v>
                  </c:pt>
                  <c:pt idx="122">
                    <c:v>2023</c:v>
                  </c:pt>
                  <c:pt idx="123">
                    <c:v>2023</c:v>
                  </c:pt>
                  <c:pt idx="124">
                    <c:v>2023</c:v>
                  </c:pt>
                  <c:pt idx="125">
                    <c:v>2023</c:v>
                  </c:pt>
                  <c:pt idx="126">
                    <c:v>2023</c:v>
                  </c:pt>
                  <c:pt idx="127">
                    <c:v>2023</c:v>
                  </c:pt>
                  <c:pt idx="128">
                    <c:v>2023</c:v>
                  </c:pt>
                  <c:pt idx="129">
                    <c:v>2023</c:v>
                  </c:pt>
                  <c:pt idx="130">
                    <c:v>2023</c:v>
                  </c:pt>
                  <c:pt idx="131">
                    <c:v>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multiLvlStrCache>
            </c:multiLvlStrRef>
          </c:cat>
          <c:val>
            <c:numRef>
              <c:f>'Figure 3'!$G$134:$G$265</c:f>
              <c:numCache>
                <c:formatCode>0</c:formatCode>
                <c:ptCount val="132"/>
                <c:pt idx="0">
                  <c:v>668.370849609375</c:v>
                </c:pt>
                <c:pt idx="1">
                  <c:v>649.54205322265625</c:v>
                </c:pt>
                <c:pt idx="2">
                  <c:v>657.588623046875</c:v>
                </c:pt>
                <c:pt idx="3">
                  <c:v>690.46099853515625</c:v>
                </c:pt>
                <c:pt idx="4">
                  <c:v>669.5609130859375</c:v>
                </c:pt>
                <c:pt idx="5">
                  <c:v>681.68768310546875</c:v>
                </c:pt>
                <c:pt idx="6">
                  <c:v>624.6387939453125</c:v>
                </c:pt>
                <c:pt idx="7">
                  <c:v>621.96142578125</c:v>
                </c:pt>
                <c:pt idx="8">
                  <c:v>660.50335693359375</c:v>
                </c:pt>
                <c:pt idx="9">
                  <c:v>670.4630126953125</c:v>
                </c:pt>
                <c:pt idx="10">
                  <c:v>644.9393310546875</c:v>
                </c:pt>
                <c:pt idx="11">
                  <c:v>657.2830810546875</c:v>
                </c:pt>
                <c:pt idx="12">
                  <c:v>672.370849609375</c:v>
                </c:pt>
                <c:pt idx="13">
                  <c:v>710.54205322265625</c:v>
                </c:pt>
                <c:pt idx="14">
                  <c:v>660.588623046875</c:v>
                </c:pt>
                <c:pt idx="15">
                  <c:v>732.46099853515625</c:v>
                </c:pt>
                <c:pt idx="16">
                  <c:v>700.5609130859375</c:v>
                </c:pt>
                <c:pt idx="17">
                  <c:v>677.68768310546875</c:v>
                </c:pt>
                <c:pt idx="18">
                  <c:v>647.6387939453125</c:v>
                </c:pt>
                <c:pt idx="19">
                  <c:v>670.96142578125</c:v>
                </c:pt>
                <c:pt idx="20">
                  <c:v>676.50335693359375</c:v>
                </c:pt>
                <c:pt idx="21">
                  <c:v>673.4630126953125</c:v>
                </c:pt>
                <c:pt idx="22">
                  <c:v>690.9393310546875</c:v>
                </c:pt>
                <c:pt idx="23">
                  <c:v>692.2830810546875</c:v>
                </c:pt>
                <c:pt idx="24">
                  <c:v>720.370849609375</c:v>
                </c:pt>
                <c:pt idx="25">
                  <c:v>733.54205322265625</c:v>
                </c:pt>
                <c:pt idx="26">
                  <c:v>710.588623046875</c:v>
                </c:pt>
                <c:pt idx="27">
                  <c:v>754.46099853515625</c:v>
                </c:pt>
                <c:pt idx="28">
                  <c:v>691.5609130859375</c:v>
                </c:pt>
                <c:pt idx="29">
                  <c:v>726.68768310546875</c:v>
                </c:pt>
                <c:pt idx="30">
                  <c:v>683.6387939453125</c:v>
                </c:pt>
                <c:pt idx="31">
                  <c:v>678.96142578125</c:v>
                </c:pt>
                <c:pt idx="32">
                  <c:v>708.50335693359375</c:v>
                </c:pt>
                <c:pt idx="33">
                  <c:v>692.4630126953125</c:v>
                </c:pt>
                <c:pt idx="34">
                  <c:v>652.9393310546875</c:v>
                </c:pt>
                <c:pt idx="35">
                  <c:v>736.2830810546875</c:v>
                </c:pt>
                <c:pt idx="36">
                  <c:v>674.370849609375</c:v>
                </c:pt>
                <c:pt idx="37">
                  <c:v>690.54205322265625</c:v>
                </c:pt>
                <c:pt idx="38">
                  <c:v>715.588623046875</c:v>
                </c:pt>
                <c:pt idx="39">
                  <c:v>752.46099853515625</c:v>
                </c:pt>
                <c:pt idx="40">
                  <c:v>725.5609130859375</c:v>
                </c:pt>
                <c:pt idx="41">
                  <c:v>667.68768310546875</c:v>
                </c:pt>
                <c:pt idx="42">
                  <c:v>673.6387939453125</c:v>
                </c:pt>
                <c:pt idx="43">
                  <c:v>722.96142578125</c:v>
                </c:pt>
                <c:pt idx="44">
                  <c:v>705.50335693359375</c:v>
                </c:pt>
                <c:pt idx="45">
                  <c:v>656.4630126953125</c:v>
                </c:pt>
                <c:pt idx="46">
                  <c:v>711.9393310546875</c:v>
                </c:pt>
                <c:pt idx="47">
                  <c:v>637.2830810546875</c:v>
                </c:pt>
                <c:pt idx="48">
                  <c:v>738.370849609375</c:v>
                </c:pt>
                <c:pt idx="49">
                  <c:v>756.54205322265625</c:v>
                </c:pt>
                <c:pt idx="50">
                  <c:v>741.588623046875</c:v>
                </c:pt>
                <c:pt idx="51">
                  <c:v>789.46099853515625</c:v>
                </c:pt>
                <c:pt idx="52">
                  <c:v>776.5609130859375</c:v>
                </c:pt>
                <c:pt idx="53">
                  <c:v>742.68768310546875</c:v>
                </c:pt>
                <c:pt idx="54">
                  <c:v>741.6387939453125</c:v>
                </c:pt>
                <c:pt idx="55">
                  <c:v>746.96142578125</c:v>
                </c:pt>
                <c:pt idx="56">
                  <c:v>738.50335693359375</c:v>
                </c:pt>
                <c:pt idx="57">
                  <c:v>741.4630126953125</c:v>
                </c:pt>
                <c:pt idx="58">
                  <c:v>726.9393310546875</c:v>
                </c:pt>
                <c:pt idx="59">
                  <c:v>746.2830810546875</c:v>
                </c:pt>
                <c:pt idx="60">
                  <c:v>790.370849609375</c:v>
                </c:pt>
                <c:pt idx="61">
                  <c:v>783.54205322265625</c:v>
                </c:pt>
                <c:pt idx="62">
                  <c:v>800.588623046875</c:v>
                </c:pt>
                <c:pt idx="63">
                  <c:v>817.46099853515625</c:v>
                </c:pt>
                <c:pt idx="64">
                  <c:v>837.5609130859375</c:v>
                </c:pt>
                <c:pt idx="65">
                  <c:v>805.68768310546875</c:v>
                </c:pt>
                <c:pt idx="66">
                  <c:v>796.6387939453125</c:v>
                </c:pt>
                <c:pt idx="67">
                  <c:v>767.96142578125</c:v>
                </c:pt>
                <c:pt idx="68">
                  <c:v>809.50335693359375</c:v>
                </c:pt>
                <c:pt idx="69">
                  <c:v>789.4630126953125</c:v>
                </c:pt>
                <c:pt idx="70">
                  <c:v>780.9393310546875</c:v>
                </c:pt>
                <c:pt idx="71">
                  <c:v>783.2830810546875</c:v>
                </c:pt>
                <c:pt idx="72">
                  <c:v>812.370849609375</c:v>
                </c:pt>
                <c:pt idx="73">
                  <c:v>826.54205322265625</c:v>
                </c:pt>
                <c:pt idx="74">
                  <c:v>774.588623046875</c:v>
                </c:pt>
                <c:pt idx="75">
                  <c:v>835.46099853515625</c:v>
                </c:pt>
                <c:pt idx="76">
                  <c:v>808.5609130859375</c:v>
                </c:pt>
                <c:pt idx="77">
                  <c:v>797.68768310546875</c:v>
                </c:pt>
                <c:pt idx="78">
                  <c:v>793.6387939453125</c:v>
                </c:pt>
                <c:pt idx="79">
                  <c:v>775.96142578125</c:v>
                </c:pt>
                <c:pt idx="80">
                  <c:v>785.50335693359375</c:v>
                </c:pt>
                <c:pt idx="81">
                  <c:v>731.4630126953125</c:v>
                </c:pt>
                <c:pt idx="82">
                  <c:v>798.9393310546875</c:v>
                </c:pt>
                <c:pt idx="83">
                  <c:v>794.2830810546875</c:v>
                </c:pt>
                <c:pt idx="84">
                  <c:v>788.370849609375</c:v>
                </c:pt>
                <c:pt idx="85">
                  <c:v>839.54205322265625</c:v>
                </c:pt>
                <c:pt idx="86">
                  <c:v>740.588623046875</c:v>
                </c:pt>
                <c:pt idx="87">
                  <c:v>642.46099853515625</c:v>
                </c:pt>
                <c:pt idx="88">
                  <c:v>733.5609130859375</c:v>
                </c:pt>
                <c:pt idx="89">
                  <c:v>767.68768310546875</c:v>
                </c:pt>
                <c:pt idx="90">
                  <c:v>807.6387939453125</c:v>
                </c:pt>
                <c:pt idx="91">
                  <c:v>805.96142578125</c:v>
                </c:pt>
                <c:pt idx="92">
                  <c:v>791.50335693359375</c:v>
                </c:pt>
                <c:pt idx="93">
                  <c:v>838.4630126953125</c:v>
                </c:pt>
                <c:pt idx="94">
                  <c:v>866.9393310546875</c:v>
                </c:pt>
                <c:pt idx="95">
                  <c:v>856.2830810546875</c:v>
                </c:pt>
                <c:pt idx="96">
                  <c:v>910.370849609375</c:v>
                </c:pt>
                <c:pt idx="97">
                  <c:v>893.54205322265625</c:v>
                </c:pt>
                <c:pt idx="98">
                  <c:v>876.588623046875</c:v>
                </c:pt>
                <c:pt idx="99">
                  <c:v>882.46099853515625</c:v>
                </c:pt>
                <c:pt idx="100">
                  <c:v>950.5609130859375</c:v>
                </c:pt>
                <c:pt idx="101">
                  <c:v>903.68768310546875</c:v>
                </c:pt>
                <c:pt idx="102">
                  <c:v>935.6387939453125</c:v>
                </c:pt>
                <c:pt idx="103">
                  <c:v>887.96142578125</c:v>
                </c:pt>
                <c:pt idx="104">
                  <c:v>895.50335693359375</c:v>
                </c:pt>
                <c:pt idx="105">
                  <c:v>921.4630126953125</c:v>
                </c:pt>
                <c:pt idx="106">
                  <c:v>890.9393310546875</c:v>
                </c:pt>
                <c:pt idx="107">
                  <c:v>865.2830810546875</c:v>
                </c:pt>
                <c:pt idx="120">
                  <c:v>940.370849609375</c:v>
                </c:pt>
                <c:pt idx="121">
                  <c:v>989.54205322265625</c:v>
                </c:pt>
                <c:pt idx="122">
                  <c:v>943.588623046875</c:v>
                </c:pt>
                <c:pt idx="123">
                  <c:v>1003.460998535156</c:v>
                </c:pt>
                <c:pt idx="124">
                  <c:v>996.5609130859375</c:v>
                </c:pt>
                <c:pt idx="125">
                  <c:v>1013.687683105469</c:v>
                </c:pt>
                <c:pt idx="126">
                  <c:v>952.6387939453125</c:v>
                </c:pt>
                <c:pt idx="127">
                  <c:v>985.96142578125</c:v>
                </c:pt>
                <c:pt idx="128">
                  <c:v>978.50335693359375</c:v>
                </c:pt>
                <c:pt idx="129">
                  <c:v>1000.463012695313</c:v>
                </c:pt>
                <c:pt idx="130">
                  <c:v>933.9393310546875</c:v>
                </c:pt>
                <c:pt idx="131">
                  <c:v>994.2830810546875</c:v>
                </c:pt>
              </c:numCache>
            </c:numRef>
          </c:val>
          <c:smooth val="0"/>
          <c:extLst>
            <c:ext xmlns:c16="http://schemas.microsoft.com/office/drawing/2014/chart" uri="{C3380CC4-5D6E-409C-BE32-E72D297353CC}">
              <c16:uniqueId val="{00000003-61E3-4A89-8E08-CEA09B207067}"/>
            </c:ext>
          </c:extLst>
        </c:ser>
        <c:dLbls>
          <c:showLegendKey val="0"/>
          <c:showVal val="0"/>
          <c:showCatName val="0"/>
          <c:showSerName val="0"/>
          <c:showPercent val="0"/>
          <c:showBubbleSize val="0"/>
        </c:dLbls>
        <c:marker val="1"/>
        <c:smooth val="0"/>
        <c:axId val="49599464"/>
        <c:axId val="46418724"/>
      </c:lineChart>
      <c:lineChart>
        <c:grouping val="standard"/>
        <c:varyColors val="0"/>
        <c:ser>
          <c:idx val="2"/>
          <c:order val="1"/>
          <c:tx>
            <c:strRef>
              <c:f>'Figure 3'!$H$1</c:f>
              <c:strCache>
                <c:ptCount val="1"/>
                <c:pt idx="0">
                  <c:v>Share wrt total number of firms</c:v>
                </c:pt>
              </c:strCache>
            </c:strRef>
          </c:tx>
          <c:spPr>
            <a:ln w="12700" cap="rnd" cmpd="sng">
              <a:solidFill>
                <a:srgbClr val="FF0000"/>
              </a:solidFill>
              <a:prstDash val="dash"/>
              <a:round/>
            </a:ln>
            <a:effectLst/>
          </c:spPr>
          <c:marker>
            <c:symbol val="none"/>
          </c:marker>
          <c:cat>
            <c:numRef>
              <c:f>'Figure 3'!$D$134:$D$265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3'!$H$134:$H$265</c:f>
              <c:numCache>
                <c:formatCode>0</c:formatCode>
                <c:ptCount val="132"/>
                <c:pt idx="0">
                  <c:v>29.682394027709961</c:v>
                </c:pt>
                <c:pt idx="1">
                  <c:v>29.283926010131839</c:v>
                </c:pt>
                <c:pt idx="2">
                  <c:v>29.094560623168949</c:v>
                </c:pt>
                <c:pt idx="3">
                  <c:v>29.545745849609379</c:v>
                </c:pt>
                <c:pt idx="4">
                  <c:v>29.585721969604489</c:v>
                </c:pt>
                <c:pt idx="5">
                  <c:v>29.854387283325199</c:v>
                </c:pt>
                <c:pt idx="6">
                  <c:v>27.969598770141602</c:v>
                </c:pt>
                <c:pt idx="7">
                  <c:v>28.195066452026371</c:v>
                </c:pt>
                <c:pt idx="8">
                  <c:v>29.13548469543457</c:v>
                </c:pt>
                <c:pt idx="9">
                  <c:v>29.126174926757809</c:v>
                </c:pt>
                <c:pt idx="10">
                  <c:v>27.740774154663089</c:v>
                </c:pt>
                <c:pt idx="11">
                  <c:v>28.68270111083984</c:v>
                </c:pt>
                <c:pt idx="12">
                  <c:v>29.649356842041019</c:v>
                </c:pt>
                <c:pt idx="13">
                  <c:v>30.75827789306641</c:v>
                </c:pt>
                <c:pt idx="14">
                  <c:v>29.034601211547852</c:v>
                </c:pt>
                <c:pt idx="15">
                  <c:v>30.431440353393551</c:v>
                </c:pt>
                <c:pt idx="16">
                  <c:v>29.13999176025391</c:v>
                </c:pt>
                <c:pt idx="17">
                  <c:v>29.00594329833984</c:v>
                </c:pt>
                <c:pt idx="18">
                  <c:v>27.780424118041989</c:v>
                </c:pt>
                <c:pt idx="19">
                  <c:v>28.347414016723629</c:v>
                </c:pt>
                <c:pt idx="20">
                  <c:v>28.81181716918945</c:v>
                </c:pt>
                <c:pt idx="21">
                  <c:v>28.904909133911129</c:v>
                </c:pt>
                <c:pt idx="22">
                  <c:v>28.826629638671879</c:v>
                </c:pt>
                <c:pt idx="23">
                  <c:v>28.611867904663089</c:v>
                </c:pt>
                <c:pt idx="24">
                  <c:v>30.11909103393555</c:v>
                </c:pt>
                <c:pt idx="25">
                  <c:v>30.9761848449707</c:v>
                </c:pt>
                <c:pt idx="26">
                  <c:v>29.48283767700195</c:v>
                </c:pt>
                <c:pt idx="27">
                  <c:v>31.410722732543949</c:v>
                </c:pt>
                <c:pt idx="28">
                  <c:v>29.43912506103516</c:v>
                </c:pt>
                <c:pt idx="29">
                  <c:v>30.400569915771481</c:v>
                </c:pt>
                <c:pt idx="30">
                  <c:v>28.866497039794918</c:v>
                </c:pt>
                <c:pt idx="31">
                  <c:v>29.44423866271973</c:v>
                </c:pt>
                <c:pt idx="32">
                  <c:v>29.496311187744141</c:v>
                </c:pt>
                <c:pt idx="33">
                  <c:v>29.707635879516602</c:v>
                </c:pt>
                <c:pt idx="34">
                  <c:v>28.601577758789059</c:v>
                </c:pt>
                <c:pt idx="35">
                  <c:v>30.180902481079102</c:v>
                </c:pt>
                <c:pt idx="36">
                  <c:v>29.594001770019531</c:v>
                </c:pt>
                <c:pt idx="37">
                  <c:v>30.08787727355957</c:v>
                </c:pt>
                <c:pt idx="38">
                  <c:v>29.813991546630859</c:v>
                </c:pt>
                <c:pt idx="39">
                  <c:v>30.663608551025391</c:v>
                </c:pt>
                <c:pt idx="40">
                  <c:v>30.217580795288089</c:v>
                </c:pt>
                <c:pt idx="41">
                  <c:v>28.987360000610352</c:v>
                </c:pt>
                <c:pt idx="42">
                  <c:v>28.846197128295898</c:v>
                </c:pt>
                <c:pt idx="43">
                  <c:v>30.011814117431641</c:v>
                </c:pt>
                <c:pt idx="44">
                  <c:v>29.16500282287598</c:v>
                </c:pt>
                <c:pt idx="45">
                  <c:v>28.199478149414059</c:v>
                </c:pt>
                <c:pt idx="46">
                  <c:v>30.25822639465332</c:v>
                </c:pt>
                <c:pt idx="47">
                  <c:v>27.895147323608398</c:v>
                </c:pt>
                <c:pt idx="48">
                  <c:v>30.214767456054691</c:v>
                </c:pt>
                <c:pt idx="49">
                  <c:v>31.338680267333981</c:v>
                </c:pt>
                <c:pt idx="50">
                  <c:v>30.92301177978516</c:v>
                </c:pt>
                <c:pt idx="51">
                  <c:v>31.416057586669918</c:v>
                </c:pt>
                <c:pt idx="52">
                  <c:v>31.400026321411129</c:v>
                </c:pt>
                <c:pt idx="53">
                  <c:v>30.149190902709961</c:v>
                </c:pt>
                <c:pt idx="54">
                  <c:v>29.4268684387207</c:v>
                </c:pt>
                <c:pt idx="55">
                  <c:v>29.915279388427731</c:v>
                </c:pt>
                <c:pt idx="56">
                  <c:v>30.155221939086911</c:v>
                </c:pt>
                <c:pt idx="57">
                  <c:v>28.806694030761719</c:v>
                </c:pt>
                <c:pt idx="58">
                  <c:v>28.871103286743161</c:v>
                </c:pt>
                <c:pt idx="59">
                  <c:v>29.293962478637699</c:v>
                </c:pt>
                <c:pt idx="60">
                  <c:v>30.649477005004879</c:v>
                </c:pt>
                <c:pt idx="61">
                  <c:v>31.265594482421879</c:v>
                </c:pt>
                <c:pt idx="62">
                  <c:v>30.695329666137699</c:v>
                </c:pt>
                <c:pt idx="63">
                  <c:v>31.14229774475098</c:v>
                </c:pt>
                <c:pt idx="64">
                  <c:v>31.332687377929691</c:v>
                </c:pt>
                <c:pt idx="65">
                  <c:v>30.606870651245121</c:v>
                </c:pt>
                <c:pt idx="66">
                  <c:v>30.67206954956055</c:v>
                </c:pt>
                <c:pt idx="67">
                  <c:v>29.91758918762207</c:v>
                </c:pt>
                <c:pt idx="68">
                  <c:v>30.398097991943359</c:v>
                </c:pt>
                <c:pt idx="69">
                  <c:v>29.72458648681641</c:v>
                </c:pt>
                <c:pt idx="70">
                  <c:v>29.79685211181641</c:v>
                </c:pt>
                <c:pt idx="71">
                  <c:v>29.5962028503418</c:v>
                </c:pt>
                <c:pt idx="72">
                  <c:v>31.284236907958981</c:v>
                </c:pt>
                <c:pt idx="73">
                  <c:v>31.13054275512695</c:v>
                </c:pt>
                <c:pt idx="74">
                  <c:v>29.76694297790527</c:v>
                </c:pt>
                <c:pt idx="75">
                  <c:v>30.80697059631348</c:v>
                </c:pt>
                <c:pt idx="76">
                  <c:v>30.754030227661129</c:v>
                </c:pt>
                <c:pt idx="77">
                  <c:v>29.961503982543949</c:v>
                </c:pt>
                <c:pt idx="78">
                  <c:v>29.7100830078125</c:v>
                </c:pt>
                <c:pt idx="79">
                  <c:v>29.128524780273441</c:v>
                </c:pt>
                <c:pt idx="80">
                  <c:v>29.5190315246582</c:v>
                </c:pt>
                <c:pt idx="81">
                  <c:v>28.6969108581543</c:v>
                </c:pt>
                <c:pt idx="82">
                  <c:v>29.095945358276371</c:v>
                </c:pt>
                <c:pt idx="83">
                  <c:v>28.961309432983398</c:v>
                </c:pt>
                <c:pt idx="84">
                  <c:v>29.310281753540039</c:v>
                </c:pt>
                <c:pt idx="85">
                  <c:v>30.318403244018551</c:v>
                </c:pt>
                <c:pt idx="86">
                  <c:v>29.740398406982418</c:v>
                </c:pt>
                <c:pt idx="87">
                  <c:v>31.74337005615234</c:v>
                </c:pt>
                <c:pt idx="88">
                  <c:v>31.028896331787109</c:v>
                </c:pt>
                <c:pt idx="89">
                  <c:v>30.459260940551761</c:v>
                </c:pt>
                <c:pt idx="90">
                  <c:v>29.920553207397461</c:v>
                </c:pt>
                <c:pt idx="91">
                  <c:v>29.351203918457031</c:v>
                </c:pt>
                <c:pt idx="92">
                  <c:v>28.918577194213871</c:v>
                </c:pt>
                <c:pt idx="93">
                  <c:v>29.348432540893551</c:v>
                </c:pt>
                <c:pt idx="94">
                  <c:v>29.660465240478519</c:v>
                </c:pt>
                <c:pt idx="95">
                  <c:v>29.37943267822266</c:v>
                </c:pt>
                <c:pt idx="96">
                  <c:v>30.779254913330082</c:v>
                </c:pt>
                <c:pt idx="97">
                  <c:v>30.412406921386719</c:v>
                </c:pt>
                <c:pt idx="98">
                  <c:v>28.938175201416019</c:v>
                </c:pt>
                <c:pt idx="99">
                  <c:v>28.96237754821777</c:v>
                </c:pt>
                <c:pt idx="100">
                  <c:v>31.06284332275391</c:v>
                </c:pt>
                <c:pt idx="101">
                  <c:v>28.88680267333984</c:v>
                </c:pt>
                <c:pt idx="102">
                  <c:v>29.43855094909668</c:v>
                </c:pt>
                <c:pt idx="103">
                  <c:v>27.959161758422852</c:v>
                </c:pt>
                <c:pt idx="104">
                  <c:v>28.080947875976559</c:v>
                </c:pt>
                <c:pt idx="105">
                  <c:v>28.52891731262207</c:v>
                </c:pt>
                <c:pt idx="106">
                  <c:v>28.07099723815918</c:v>
                </c:pt>
                <c:pt idx="107">
                  <c:v>28.024759292602539</c:v>
                </c:pt>
                <c:pt idx="120">
                  <c:v>29.704597473144531</c:v>
                </c:pt>
                <c:pt idx="121">
                  <c:v>30.531206130981449</c:v>
                </c:pt>
                <c:pt idx="122">
                  <c:v>28.292007446289059</c:v>
                </c:pt>
                <c:pt idx="123">
                  <c:v>29.653787612915039</c:v>
                </c:pt>
                <c:pt idx="124">
                  <c:v>29.448137283325199</c:v>
                </c:pt>
                <c:pt idx="125">
                  <c:v>29.99630165100098</c:v>
                </c:pt>
                <c:pt idx="126">
                  <c:v>29.174819946289059</c:v>
                </c:pt>
                <c:pt idx="127">
                  <c:v>29.309869766235352</c:v>
                </c:pt>
                <c:pt idx="128">
                  <c:v>29.932741165161129</c:v>
                </c:pt>
                <c:pt idx="129">
                  <c:v>29.847404479980469</c:v>
                </c:pt>
                <c:pt idx="130">
                  <c:v>28.518289566040039</c:v>
                </c:pt>
                <c:pt idx="131">
                  <c:v>29.710544586181641</c:v>
                </c:pt>
              </c:numCache>
            </c:numRef>
          </c:val>
          <c:smooth val="0"/>
          <c:extLst>
            <c:ext xmlns:c16="http://schemas.microsoft.com/office/drawing/2014/chart" uri="{C3380CC4-5D6E-409C-BE32-E72D297353CC}">
              <c16:uniqueId val="{00000004-61E3-4A89-8E08-CEA09B207067}"/>
            </c:ext>
          </c:extLst>
        </c:ser>
        <c:dLbls>
          <c:showLegendKey val="0"/>
          <c:showVal val="0"/>
          <c:showCatName val="0"/>
          <c:showSerName val="0"/>
          <c:showPercent val="0"/>
          <c:showBubbleSize val="0"/>
        </c:dLbls>
        <c:marker val="1"/>
        <c:smooth val="0"/>
        <c:axId val="2872501"/>
        <c:axId val="10197150"/>
      </c:lineChart>
      <c:catAx>
        <c:axId val="49599464"/>
        <c:scaling>
          <c:orientation val="minMax"/>
        </c:scaling>
        <c:delete val="0"/>
        <c:axPos val="b"/>
        <c:numFmt formatCode="m/d/yyyy" sourceLinked="0"/>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mn-lt"/>
                <a:ea typeface="+mn-ea"/>
                <a:cs typeface="+mn-cs"/>
              </a:defRPr>
            </a:pPr>
            <a:endParaRPr lang="en-US"/>
          </a:p>
        </c:txPr>
        <c:crossAx val="46418724"/>
        <c:crosses val="autoZero"/>
        <c:auto val="0"/>
        <c:lblAlgn val="ctr"/>
        <c:lblOffset val="100"/>
        <c:noMultiLvlLbl val="1"/>
      </c:catAx>
      <c:valAx>
        <c:axId val="46418724"/>
        <c:scaling>
          <c:orientation val="minMax"/>
          <c:max val="2500"/>
          <c:min val="500"/>
        </c:scaling>
        <c:delete val="0"/>
        <c:axPos val="l"/>
        <c:numFmt formatCode="0" sourceLinked="1"/>
        <c:majorTickMark val="none"/>
        <c:minorTickMark val="none"/>
        <c:tickLblPos val="nextTo"/>
        <c:spPr>
          <a:noFill/>
          <a:ln w="12700">
            <a:noFill/>
          </a:ln>
          <a:effectLst/>
        </c:spPr>
        <c:txPr>
          <a:bodyPr rot="-5400000" vert="horz" wrap="square"/>
          <a:lstStyle/>
          <a:p>
            <a:pPr>
              <a:defRPr lang="en-US" sz="900" b="0" i="0" u="none" kern="1200" baseline="0">
                <a:noFill/>
                <a:latin typeface="Times New Roman" panose="02020603050405020304" pitchFamily="18" charset="0"/>
                <a:ea typeface="+mn-ea"/>
                <a:cs typeface="Times New Roman" panose="02020603050405020304" pitchFamily="18" charset="0"/>
              </a:defRPr>
            </a:pPr>
            <a:endParaRPr lang="en-US"/>
          </a:p>
        </c:txPr>
        <c:crossAx val="49599464"/>
        <c:crosses val="autoZero"/>
        <c:crossBetween val="midCat"/>
        <c:majorUnit val="500"/>
      </c:valAx>
      <c:dateAx>
        <c:axId val="2872501"/>
        <c:scaling>
          <c:orientation val="minMax"/>
        </c:scaling>
        <c:delete val="1"/>
        <c:axPos val="b"/>
        <c:numFmt formatCode="m/d/yyyy" sourceLinked="1"/>
        <c:majorTickMark val="out"/>
        <c:minorTickMark val="none"/>
        <c:tickLblPos val="nextTo"/>
        <c:crossAx val="10197150"/>
        <c:crosses val="autoZero"/>
        <c:auto val="1"/>
        <c:lblOffset val="100"/>
        <c:baseTimeUnit val="months"/>
      </c:dateAx>
      <c:valAx>
        <c:axId val="10197150"/>
        <c:scaling>
          <c:orientation val="minMax"/>
          <c:max val="35"/>
          <c:min val="15"/>
        </c:scaling>
        <c:delete val="0"/>
        <c:axPos val="r"/>
        <c:title>
          <c:tx>
            <c:rich>
              <a:bodyPr rot="-5400000" spcFirstLastPara="1" vertOverflow="ellipsis" vert="horz" wrap="square" anchor="ctr" anchorCtr="1"/>
              <a:lstStyle/>
              <a:p>
                <a:pPr>
                  <a:defRPr lang="en-US" sz="1000" b="0" i="0" u="none" kern="1200" baseline="0">
                    <a:solidFill>
                      <a:srgbClr val="000000">
                        <a:lumMod val="65000"/>
                        <a:lumOff val="35000"/>
                      </a:srgbClr>
                    </a:solidFill>
                    <a:latin typeface="+mn-lt"/>
                    <a:ea typeface="+mn-ea"/>
                    <a:cs typeface="+mn-cs"/>
                  </a:defRPr>
                </a:pPr>
                <a:r>
                  <a:rPr lang="en-US"/>
                  <a:t>Share (%)</a:t>
                </a:r>
              </a:p>
            </c:rich>
          </c:tx>
          <c:overlay val="0"/>
          <c:spPr>
            <a:noFill/>
            <a:ln w="12700">
              <a:noFill/>
            </a:ln>
            <a:effectLst/>
          </c:spPr>
        </c:title>
        <c:numFmt formatCode="General" sourceLinked="1"/>
        <c:majorTickMark val="out"/>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mn-lt"/>
                <a:ea typeface="+mn-ea"/>
                <a:cs typeface="+mn-cs"/>
              </a:defRPr>
            </a:pPr>
            <a:endParaRPr lang="en-US"/>
          </a:p>
        </c:txPr>
        <c:crossAx val="2872501"/>
        <c:crosses val="max"/>
        <c:crossBetween val="between"/>
        <c:majorUnit val="5"/>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Imports</a:t>
            </a:r>
          </a:p>
        </c:rich>
      </c:tx>
      <c:overlay val="0"/>
      <c:spPr>
        <a:noFill/>
        <a:ln w="12700">
          <a:noFill/>
        </a:ln>
        <a:effectLst/>
      </c:spPr>
    </c:title>
    <c:autoTitleDeleted val="0"/>
    <c:plotArea>
      <c:layout/>
      <c:barChart>
        <c:barDir val="col"/>
        <c:grouping val="clustered"/>
        <c:varyColors val="0"/>
        <c:ser>
          <c:idx val="0"/>
          <c:order val="2"/>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A0E7-44A9-B8EB-8141214E0B6E}"/>
              </c:ext>
            </c:extLst>
          </c:dPt>
          <c:cat>
            <c:numRef>
              <c:f>'Figure 4a'!$D$2:$D$133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4a'!$I$2:$I$133</c:f>
              <c:numCache>
                <c:formatCode>General</c:formatCode>
                <c:ptCount val="132"/>
                <c:pt idx="48" formatCode="0">
                  <c:v>2500</c:v>
                </c:pt>
              </c:numCache>
            </c:numRef>
          </c:val>
          <c:extLst>
            <c:ext xmlns:c16="http://schemas.microsoft.com/office/drawing/2014/chart" uri="{C3380CC4-5D6E-409C-BE32-E72D297353CC}">
              <c16:uniqueId val="{00000002-A0E7-44A9-B8EB-8141214E0B6E}"/>
            </c:ext>
          </c:extLst>
        </c:ser>
        <c:dLbls>
          <c:showLegendKey val="0"/>
          <c:showVal val="0"/>
          <c:showCatName val="0"/>
          <c:showSerName val="0"/>
          <c:showPercent val="0"/>
          <c:showBubbleSize val="0"/>
        </c:dLbls>
        <c:gapWidth val="150"/>
        <c:axId val="29028385"/>
        <c:axId val="64289987"/>
      </c:barChart>
      <c:lineChart>
        <c:grouping val="standard"/>
        <c:varyColors val="0"/>
        <c:ser>
          <c:idx val="2"/>
          <c:order val="0"/>
          <c:tx>
            <c:strRef>
              <c:f>'Figure 4a'!$G$1</c:f>
              <c:strCache>
                <c:ptCount val="1"/>
                <c:pt idx="0">
                  <c:v>Number of firms (left) </c:v>
                </c:pt>
              </c:strCache>
            </c:strRef>
          </c:tx>
          <c:spPr>
            <a:ln w="12700" cap="rnd" cmpd="sng">
              <a:solidFill>
                <a:srgbClr val="0070C0"/>
              </a:solidFill>
              <a:prstDash val="solid"/>
              <a:round/>
            </a:ln>
            <a:effectLst/>
          </c:spPr>
          <c:marker>
            <c:symbol val="none"/>
          </c:marker>
          <c:cat>
            <c:numRef>
              <c:f>'Figure 4a'!$D$2:$D$133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4a'!$G$2:$G$133</c:f>
              <c:numCache>
                <c:formatCode>0</c:formatCode>
                <c:ptCount val="132"/>
                <c:pt idx="0">
                  <c:v>2462.200927734375</c:v>
                </c:pt>
                <c:pt idx="1">
                  <c:v>2364.632080078125</c:v>
                </c:pt>
                <c:pt idx="2">
                  <c:v>2359.818359375</c:v>
                </c:pt>
                <c:pt idx="3">
                  <c:v>2525.2099609375</c:v>
                </c:pt>
                <c:pt idx="4">
                  <c:v>2398.606201171875</c:v>
                </c:pt>
                <c:pt idx="5">
                  <c:v>2400.802978515625</c:v>
                </c:pt>
                <c:pt idx="6">
                  <c:v>2464.09423828125</c:v>
                </c:pt>
                <c:pt idx="7">
                  <c:v>2384.121337890625</c:v>
                </c:pt>
                <c:pt idx="8">
                  <c:v>2397.377197265625</c:v>
                </c:pt>
                <c:pt idx="9">
                  <c:v>2363.759765625</c:v>
                </c:pt>
                <c:pt idx="10">
                  <c:v>2340.918701171875</c:v>
                </c:pt>
                <c:pt idx="11">
                  <c:v>2302.45849609375</c:v>
                </c:pt>
                <c:pt idx="12">
                  <c:v>2342.200927734375</c:v>
                </c:pt>
                <c:pt idx="13">
                  <c:v>2355.632080078125</c:v>
                </c:pt>
                <c:pt idx="14">
                  <c:v>2301.818359375</c:v>
                </c:pt>
                <c:pt idx="15">
                  <c:v>2421.2099609375</c:v>
                </c:pt>
                <c:pt idx="16">
                  <c:v>2346.606201171875</c:v>
                </c:pt>
                <c:pt idx="17">
                  <c:v>2385.802978515625</c:v>
                </c:pt>
                <c:pt idx="18">
                  <c:v>2415.09423828125</c:v>
                </c:pt>
                <c:pt idx="19">
                  <c:v>2390.121337890625</c:v>
                </c:pt>
                <c:pt idx="20">
                  <c:v>2281.377197265625</c:v>
                </c:pt>
                <c:pt idx="21">
                  <c:v>2371.759765625</c:v>
                </c:pt>
                <c:pt idx="22">
                  <c:v>2370.918701171875</c:v>
                </c:pt>
                <c:pt idx="23">
                  <c:v>2320.45849609375</c:v>
                </c:pt>
                <c:pt idx="24">
                  <c:v>2328.200927734375</c:v>
                </c:pt>
                <c:pt idx="25">
                  <c:v>2302.632080078125</c:v>
                </c:pt>
                <c:pt idx="26">
                  <c:v>2289.818359375</c:v>
                </c:pt>
                <c:pt idx="27">
                  <c:v>2409.2099609375</c:v>
                </c:pt>
                <c:pt idx="28">
                  <c:v>2331.606201171875</c:v>
                </c:pt>
                <c:pt idx="29">
                  <c:v>2363.802978515625</c:v>
                </c:pt>
                <c:pt idx="30">
                  <c:v>2403.09423828125</c:v>
                </c:pt>
                <c:pt idx="31">
                  <c:v>2194.121337890625</c:v>
                </c:pt>
                <c:pt idx="32">
                  <c:v>2283.377197265625</c:v>
                </c:pt>
                <c:pt idx="33">
                  <c:v>2218.759765625</c:v>
                </c:pt>
                <c:pt idx="34">
                  <c:v>2166.918701171875</c:v>
                </c:pt>
                <c:pt idx="35">
                  <c:v>2191.45849609375</c:v>
                </c:pt>
                <c:pt idx="36">
                  <c:v>2090.200927734375</c:v>
                </c:pt>
                <c:pt idx="37">
                  <c:v>2207.632080078125</c:v>
                </c:pt>
                <c:pt idx="38">
                  <c:v>2139.818359375</c:v>
                </c:pt>
                <c:pt idx="39">
                  <c:v>2224.2099609375</c:v>
                </c:pt>
                <c:pt idx="40">
                  <c:v>2110.606201171875</c:v>
                </c:pt>
                <c:pt idx="41">
                  <c:v>2236.802978515625</c:v>
                </c:pt>
                <c:pt idx="42">
                  <c:v>2176.09423828125</c:v>
                </c:pt>
                <c:pt idx="43">
                  <c:v>2199.121337890625</c:v>
                </c:pt>
                <c:pt idx="44">
                  <c:v>2187.377197265625</c:v>
                </c:pt>
                <c:pt idx="45">
                  <c:v>2176.759765625</c:v>
                </c:pt>
                <c:pt idx="46">
                  <c:v>2239.918701171875</c:v>
                </c:pt>
                <c:pt idx="47">
                  <c:v>2198.45849609375</c:v>
                </c:pt>
                <c:pt idx="48">
                  <c:v>2284.200927734375</c:v>
                </c:pt>
                <c:pt idx="49">
                  <c:v>2187.632080078125</c:v>
                </c:pt>
                <c:pt idx="50">
                  <c:v>2425.818359375</c:v>
                </c:pt>
                <c:pt idx="51">
                  <c:v>2355.2099609375</c:v>
                </c:pt>
                <c:pt idx="52">
                  <c:v>2389.606201171875</c:v>
                </c:pt>
                <c:pt idx="53">
                  <c:v>2414.802978515625</c:v>
                </c:pt>
                <c:pt idx="54">
                  <c:v>2326.09423828125</c:v>
                </c:pt>
                <c:pt idx="55">
                  <c:v>2449.121337890625</c:v>
                </c:pt>
                <c:pt idx="56">
                  <c:v>2446.377197265625</c:v>
                </c:pt>
                <c:pt idx="57">
                  <c:v>2356.759765625</c:v>
                </c:pt>
                <c:pt idx="58">
                  <c:v>2464.918701171875</c:v>
                </c:pt>
                <c:pt idx="59">
                  <c:v>2354.45849609375</c:v>
                </c:pt>
                <c:pt idx="60">
                  <c:v>2424.200927734375</c:v>
                </c:pt>
                <c:pt idx="61">
                  <c:v>2399.632080078125</c:v>
                </c:pt>
                <c:pt idx="62">
                  <c:v>2321.818359375</c:v>
                </c:pt>
                <c:pt idx="63">
                  <c:v>2481.2099609375</c:v>
                </c:pt>
                <c:pt idx="64">
                  <c:v>2490.606201171875</c:v>
                </c:pt>
                <c:pt idx="65">
                  <c:v>2427.802978515625</c:v>
                </c:pt>
                <c:pt idx="66">
                  <c:v>2444.09423828125</c:v>
                </c:pt>
                <c:pt idx="67">
                  <c:v>2460.121337890625</c:v>
                </c:pt>
                <c:pt idx="68">
                  <c:v>2354.377197265625</c:v>
                </c:pt>
                <c:pt idx="69">
                  <c:v>2463.759765625</c:v>
                </c:pt>
                <c:pt idx="70">
                  <c:v>2364.918701171875</c:v>
                </c:pt>
                <c:pt idx="71">
                  <c:v>2380.45849609375</c:v>
                </c:pt>
                <c:pt idx="72">
                  <c:v>2487.200927734375</c:v>
                </c:pt>
                <c:pt idx="73">
                  <c:v>2396.632080078125</c:v>
                </c:pt>
                <c:pt idx="74">
                  <c:v>2398.818359375</c:v>
                </c:pt>
                <c:pt idx="75">
                  <c:v>2468.2099609375</c:v>
                </c:pt>
                <c:pt idx="76">
                  <c:v>2463.606201171875</c:v>
                </c:pt>
                <c:pt idx="77">
                  <c:v>2444.802978515625</c:v>
                </c:pt>
                <c:pt idx="78">
                  <c:v>2470.09423828125</c:v>
                </c:pt>
                <c:pt idx="79">
                  <c:v>2468.121337890625</c:v>
                </c:pt>
                <c:pt idx="80">
                  <c:v>2420.377197265625</c:v>
                </c:pt>
                <c:pt idx="81">
                  <c:v>2414.759765625</c:v>
                </c:pt>
                <c:pt idx="82">
                  <c:v>2435.918701171875</c:v>
                </c:pt>
                <c:pt idx="83">
                  <c:v>2382.45849609375</c:v>
                </c:pt>
                <c:pt idx="84">
                  <c:v>2412.200927734375</c:v>
                </c:pt>
                <c:pt idx="85">
                  <c:v>2338.632080078125</c:v>
                </c:pt>
                <c:pt idx="86">
                  <c:v>2333.818359375</c:v>
                </c:pt>
                <c:pt idx="87">
                  <c:v>2092.2099609375</c:v>
                </c:pt>
                <c:pt idx="88">
                  <c:v>2029.606201171875</c:v>
                </c:pt>
                <c:pt idx="89">
                  <c:v>1931.802978515625</c:v>
                </c:pt>
                <c:pt idx="90">
                  <c:v>2017.094116210938</c:v>
                </c:pt>
                <c:pt idx="91">
                  <c:v>2039.121337890625</c:v>
                </c:pt>
                <c:pt idx="92">
                  <c:v>2182.377197265625</c:v>
                </c:pt>
                <c:pt idx="93">
                  <c:v>2212.759765625</c:v>
                </c:pt>
                <c:pt idx="94">
                  <c:v>2295.918701171875</c:v>
                </c:pt>
                <c:pt idx="95">
                  <c:v>2363.45849609375</c:v>
                </c:pt>
                <c:pt idx="96">
                  <c:v>2284.200927734375</c:v>
                </c:pt>
                <c:pt idx="97">
                  <c:v>2435.632080078125</c:v>
                </c:pt>
                <c:pt idx="98">
                  <c:v>2552.818359375</c:v>
                </c:pt>
                <c:pt idx="99">
                  <c:v>2485.2099609375</c:v>
                </c:pt>
                <c:pt idx="100">
                  <c:v>2420.606201171875</c:v>
                </c:pt>
                <c:pt idx="101">
                  <c:v>2525.802978515625</c:v>
                </c:pt>
                <c:pt idx="102">
                  <c:v>2429.09423828125</c:v>
                </c:pt>
                <c:pt idx="103">
                  <c:v>2463.121337890625</c:v>
                </c:pt>
                <c:pt idx="104">
                  <c:v>2381.377197265625</c:v>
                </c:pt>
                <c:pt idx="105">
                  <c:v>2351.759765625</c:v>
                </c:pt>
                <c:pt idx="106">
                  <c:v>2470.918701171875</c:v>
                </c:pt>
                <c:pt idx="107">
                  <c:v>2424.45849609375</c:v>
                </c:pt>
                <c:pt idx="120">
                  <c:v>2475.200927734375</c:v>
                </c:pt>
                <c:pt idx="121">
                  <c:v>2403.632080078125</c:v>
                </c:pt>
                <c:pt idx="122">
                  <c:v>2547.818359375</c:v>
                </c:pt>
                <c:pt idx="123">
                  <c:v>2526.2099609375</c:v>
                </c:pt>
                <c:pt idx="124">
                  <c:v>2596.606201171875</c:v>
                </c:pt>
                <c:pt idx="125">
                  <c:v>2534.802978515625</c:v>
                </c:pt>
                <c:pt idx="126">
                  <c:v>2471.09423828125</c:v>
                </c:pt>
                <c:pt idx="127">
                  <c:v>2570.121337890625</c:v>
                </c:pt>
                <c:pt idx="128">
                  <c:v>2467.377197265625</c:v>
                </c:pt>
                <c:pt idx="129">
                  <c:v>2376.759765625</c:v>
                </c:pt>
                <c:pt idx="130">
                  <c:v>2505.918701171875</c:v>
                </c:pt>
                <c:pt idx="131">
                  <c:v>2466.45849609375</c:v>
                </c:pt>
              </c:numCache>
            </c:numRef>
          </c:val>
          <c:smooth val="0"/>
          <c:extLst>
            <c:ext xmlns:c16="http://schemas.microsoft.com/office/drawing/2014/chart" uri="{C3380CC4-5D6E-409C-BE32-E72D297353CC}">
              <c16:uniqueId val="{00000003-A0E7-44A9-B8EB-8141214E0B6E}"/>
            </c:ext>
          </c:extLst>
        </c:ser>
        <c:dLbls>
          <c:showLegendKey val="0"/>
          <c:showVal val="0"/>
          <c:showCatName val="0"/>
          <c:showSerName val="0"/>
          <c:showPercent val="0"/>
          <c:showBubbleSize val="0"/>
        </c:dLbls>
        <c:marker val="1"/>
        <c:smooth val="0"/>
        <c:axId val="62113319"/>
        <c:axId val="52303068"/>
      </c:lineChart>
      <c:lineChart>
        <c:grouping val="standard"/>
        <c:varyColors val="0"/>
        <c:ser>
          <c:idx val="3"/>
          <c:order val="1"/>
          <c:tx>
            <c:strRef>
              <c:f>'Figure 4a'!$H$1</c:f>
              <c:strCache>
                <c:ptCount val="1"/>
                <c:pt idx="0">
                  <c:v>Share wrt total number of varieties</c:v>
                </c:pt>
              </c:strCache>
            </c:strRef>
          </c:tx>
          <c:spPr>
            <a:ln w="12700" cap="rnd" cmpd="sng">
              <a:solidFill>
                <a:srgbClr val="FF0000"/>
              </a:solidFill>
              <a:prstDash val="dash"/>
              <a:round/>
            </a:ln>
            <a:effectLst/>
          </c:spPr>
          <c:marker>
            <c:symbol val="none"/>
          </c:marker>
          <c:cat>
            <c:numRef>
              <c:f>'Figure 4a'!$D$2:$D$133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4a'!$H$2:$H$133</c:f>
              <c:numCache>
                <c:formatCode>0</c:formatCode>
                <c:ptCount val="132"/>
                <c:pt idx="0">
                  <c:v>35.827373504638672</c:v>
                </c:pt>
                <c:pt idx="1">
                  <c:v>35.880691528320313</c:v>
                </c:pt>
                <c:pt idx="2">
                  <c:v>35.605728149414063</c:v>
                </c:pt>
                <c:pt idx="3">
                  <c:v>36.160076141357422</c:v>
                </c:pt>
                <c:pt idx="4">
                  <c:v>35.215553283691413</c:v>
                </c:pt>
                <c:pt idx="5">
                  <c:v>35.659343719482422</c:v>
                </c:pt>
                <c:pt idx="6">
                  <c:v>36.278354644775391</c:v>
                </c:pt>
                <c:pt idx="7">
                  <c:v>35.339988708496087</c:v>
                </c:pt>
                <c:pt idx="8">
                  <c:v>35.767047882080078</c:v>
                </c:pt>
                <c:pt idx="9">
                  <c:v>35.078323364257813</c:v>
                </c:pt>
                <c:pt idx="10">
                  <c:v>35.609626770019531</c:v>
                </c:pt>
                <c:pt idx="11">
                  <c:v>35.013496398925781</c:v>
                </c:pt>
                <c:pt idx="12">
                  <c:v>35.319847106933587</c:v>
                </c:pt>
                <c:pt idx="13">
                  <c:v>35.453620910644531</c:v>
                </c:pt>
                <c:pt idx="14">
                  <c:v>35.589790344238281</c:v>
                </c:pt>
                <c:pt idx="15">
                  <c:v>36.156780242919922</c:v>
                </c:pt>
                <c:pt idx="16">
                  <c:v>35.462154388427727</c:v>
                </c:pt>
                <c:pt idx="17">
                  <c:v>35.755191802978523</c:v>
                </c:pt>
                <c:pt idx="18">
                  <c:v>35.841892242431641</c:v>
                </c:pt>
                <c:pt idx="19">
                  <c:v>36.234588623046882</c:v>
                </c:pt>
                <c:pt idx="20">
                  <c:v>34.762496948242188</c:v>
                </c:pt>
                <c:pt idx="21">
                  <c:v>35.808151245117188</c:v>
                </c:pt>
                <c:pt idx="22">
                  <c:v>36.011199951171882</c:v>
                </c:pt>
                <c:pt idx="23">
                  <c:v>34.910297393798828</c:v>
                </c:pt>
                <c:pt idx="24">
                  <c:v>35.821773529052727</c:v>
                </c:pt>
                <c:pt idx="25">
                  <c:v>35.233959197998047</c:v>
                </c:pt>
                <c:pt idx="26">
                  <c:v>35.284229278564453</c:v>
                </c:pt>
                <c:pt idx="27">
                  <c:v>36.248237609863281</c:v>
                </c:pt>
                <c:pt idx="28">
                  <c:v>35.969295501708977</c:v>
                </c:pt>
                <c:pt idx="29">
                  <c:v>36.195770263671882</c:v>
                </c:pt>
                <c:pt idx="30">
                  <c:v>36.559036254882813</c:v>
                </c:pt>
                <c:pt idx="31">
                  <c:v>35.172107696533203</c:v>
                </c:pt>
                <c:pt idx="32">
                  <c:v>35.468536376953132</c:v>
                </c:pt>
                <c:pt idx="33">
                  <c:v>34.834022521972663</c:v>
                </c:pt>
                <c:pt idx="34">
                  <c:v>34.934314727783203</c:v>
                </c:pt>
                <c:pt idx="35">
                  <c:v>34.802085876464837</c:v>
                </c:pt>
                <c:pt idx="36">
                  <c:v>34.939159393310547</c:v>
                </c:pt>
                <c:pt idx="37">
                  <c:v>35.224811553955078</c:v>
                </c:pt>
                <c:pt idx="38">
                  <c:v>34.683052062988281</c:v>
                </c:pt>
                <c:pt idx="39">
                  <c:v>35.848796844482422</c:v>
                </c:pt>
                <c:pt idx="40">
                  <c:v>34.559238433837891</c:v>
                </c:pt>
                <c:pt idx="41">
                  <c:v>35.785377502441413</c:v>
                </c:pt>
                <c:pt idx="42">
                  <c:v>35.205112457275391</c:v>
                </c:pt>
                <c:pt idx="43">
                  <c:v>34.679660797119141</c:v>
                </c:pt>
                <c:pt idx="44">
                  <c:v>34.318508148193359</c:v>
                </c:pt>
                <c:pt idx="45">
                  <c:v>34.697586059570313</c:v>
                </c:pt>
                <c:pt idx="46">
                  <c:v>35.103839874267578</c:v>
                </c:pt>
                <c:pt idx="47">
                  <c:v>34.480663299560547</c:v>
                </c:pt>
                <c:pt idx="48">
                  <c:v>35.560611724853523</c:v>
                </c:pt>
                <c:pt idx="49">
                  <c:v>34.844535827636719</c:v>
                </c:pt>
                <c:pt idx="50">
                  <c:v>36.294887542724609</c:v>
                </c:pt>
                <c:pt idx="51">
                  <c:v>36.092849731445313</c:v>
                </c:pt>
                <c:pt idx="52">
                  <c:v>35.728618621826172</c:v>
                </c:pt>
                <c:pt idx="53">
                  <c:v>35.824718475341797</c:v>
                </c:pt>
                <c:pt idx="54">
                  <c:v>35.344593048095703</c:v>
                </c:pt>
                <c:pt idx="55">
                  <c:v>35.962322235107422</c:v>
                </c:pt>
                <c:pt idx="56">
                  <c:v>36.249317169189453</c:v>
                </c:pt>
                <c:pt idx="57">
                  <c:v>35.373401641845703</c:v>
                </c:pt>
                <c:pt idx="58">
                  <c:v>36.249671936035163</c:v>
                </c:pt>
                <c:pt idx="59">
                  <c:v>35.115402221679688</c:v>
                </c:pt>
                <c:pt idx="60">
                  <c:v>35.917274475097663</c:v>
                </c:pt>
                <c:pt idx="61">
                  <c:v>35.781951904296882</c:v>
                </c:pt>
                <c:pt idx="62">
                  <c:v>34.749244689941413</c:v>
                </c:pt>
                <c:pt idx="63">
                  <c:v>36.240985870361328</c:v>
                </c:pt>
                <c:pt idx="64">
                  <c:v>36.199550628662109</c:v>
                </c:pt>
                <c:pt idx="65">
                  <c:v>35.937606811523438</c:v>
                </c:pt>
                <c:pt idx="66">
                  <c:v>35.888790130615227</c:v>
                </c:pt>
                <c:pt idx="67">
                  <c:v>35.590785980224609</c:v>
                </c:pt>
                <c:pt idx="68">
                  <c:v>34.953433990478523</c:v>
                </c:pt>
                <c:pt idx="69">
                  <c:v>35.73504638671875</c:v>
                </c:pt>
                <c:pt idx="70">
                  <c:v>34.928012847900391</c:v>
                </c:pt>
                <c:pt idx="71">
                  <c:v>35.545589447021477</c:v>
                </c:pt>
                <c:pt idx="72">
                  <c:v>35.919364929199219</c:v>
                </c:pt>
                <c:pt idx="73">
                  <c:v>35.016654968261719</c:v>
                </c:pt>
                <c:pt idx="74">
                  <c:v>35.476890563964837</c:v>
                </c:pt>
                <c:pt idx="75">
                  <c:v>35.998523712158203</c:v>
                </c:pt>
                <c:pt idx="76">
                  <c:v>35.233570098876953</c:v>
                </c:pt>
                <c:pt idx="77">
                  <c:v>35.791893005371087</c:v>
                </c:pt>
                <c:pt idx="78">
                  <c:v>35.336589813232422</c:v>
                </c:pt>
                <c:pt idx="79">
                  <c:v>35.825729370117188</c:v>
                </c:pt>
                <c:pt idx="80">
                  <c:v>35.324928283691413</c:v>
                </c:pt>
                <c:pt idx="81">
                  <c:v>34.983745574951172</c:v>
                </c:pt>
                <c:pt idx="82">
                  <c:v>35.283550262451172</c:v>
                </c:pt>
                <c:pt idx="83">
                  <c:v>34.841873168945313</c:v>
                </c:pt>
                <c:pt idx="84">
                  <c:v>35.269180297851563</c:v>
                </c:pt>
                <c:pt idx="85">
                  <c:v>34.5172119140625</c:v>
                </c:pt>
                <c:pt idx="86">
                  <c:v>35.416496276855469</c:v>
                </c:pt>
                <c:pt idx="87">
                  <c:v>35.309059143066413</c:v>
                </c:pt>
                <c:pt idx="88">
                  <c:v>33.870731353759773</c:v>
                </c:pt>
                <c:pt idx="89">
                  <c:v>32.72796630859375</c:v>
                </c:pt>
                <c:pt idx="90">
                  <c:v>33.033603668212891</c:v>
                </c:pt>
                <c:pt idx="91">
                  <c:v>33.366722106933587</c:v>
                </c:pt>
                <c:pt idx="92">
                  <c:v>33.784214019775391</c:v>
                </c:pt>
                <c:pt idx="93">
                  <c:v>33.718143463134773</c:v>
                </c:pt>
                <c:pt idx="94">
                  <c:v>34.583145141601563</c:v>
                </c:pt>
                <c:pt idx="95">
                  <c:v>34.782741546630859</c:v>
                </c:pt>
                <c:pt idx="96">
                  <c:v>34.187454223632813</c:v>
                </c:pt>
                <c:pt idx="97">
                  <c:v>35.008476257324219</c:v>
                </c:pt>
                <c:pt idx="98">
                  <c:v>36.186389923095703</c:v>
                </c:pt>
                <c:pt idx="99">
                  <c:v>35.838756561279297</c:v>
                </c:pt>
                <c:pt idx="100">
                  <c:v>35.367195129394531</c:v>
                </c:pt>
                <c:pt idx="101">
                  <c:v>35.818836212158203</c:v>
                </c:pt>
                <c:pt idx="102">
                  <c:v>34.934970855712891</c:v>
                </c:pt>
                <c:pt idx="103">
                  <c:v>35.469982147216797</c:v>
                </c:pt>
                <c:pt idx="104">
                  <c:v>34.569057464599609</c:v>
                </c:pt>
                <c:pt idx="105">
                  <c:v>34.632987976074219</c:v>
                </c:pt>
                <c:pt idx="106">
                  <c:v>35.630523681640632</c:v>
                </c:pt>
                <c:pt idx="107">
                  <c:v>34.899776458740227</c:v>
                </c:pt>
                <c:pt idx="120">
                  <c:v>35.277355194091797</c:v>
                </c:pt>
                <c:pt idx="121">
                  <c:v>34.097633361816413</c:v>
                </c:pt>
                <c:pt idx="122">
                  <c:v>35.620685577392578</c:v>
                </c:pt>
                <c:pt idx="123">
                  <c:v>35.613426208496087</c:v>
                </c:pt>
                <c:pt idx="124">
                  <c:v>35.404018402099609</c:v>
                </c:pt>
                <c:pt idx="125">
                  <c:v>34.620861053466797</c:v>
                </c:pt>
                <c:pt idx="126">
                  <c:v>34.773834228515632</c:v>
                </c:pt>
                <c:pt idx="127">
                  <c:v>35.263938903808587</c:v>
                </c:pt>
                <c:pt idx="128">
                  <c:v>34.442516326904297</c:v>
                </c:pt>
                <c:pt idx="129">
                  <c:v>33.201835632324219</c:v>
                </c:pt>
                <c:pt idx="130">
                  <c:v>34.6129150390625</c:v>
                </c:pt>
                <c:pt idx="131">
                  <c:v>34.218742370605469</c:v>
                </c:pt>
              </c:numCache>
            </c:numRef>
          </c:val>
          <c:smooth val="0"/>
          <c:extLst>
            <c:ext xmlns:c16="http://schemas.microsoft.com/office/drawing/2014/chart" uri="{C3380CC4-5D6E-409C-BE32-E72D297353CC}">
              <c16:uniqueId val="{00000004-A0E7-44A9-B8EB-8141214E0B6E}"/>
            </c:ext>
          </c:extLst>
        </c:ser>
        <c:dLbls>
          <c:showLegendKey val="0"/>
          <c:showVal val="0"/>
          <c:showCatName val="0"/>
          <c:showSerName val="0"/>
          <c:showPercent val="0"/>
          <c:showBubbleSize val="0"/>
        </c:dLbls>
        <c:marker val="1"/>
        <c:smooth val="0"/>
        <c:axId val="29028385"/>
        <c:axId val="64289987"/>
      </c:lineChart>
      <c:dateAx>
        <c:axId val="62113319"/>
        <c:scaling>
          <c:orientation val="minMax"/>
        </c:scaling>
        <c:delete val="0"/>
        <c:axPos val="b"/>
        <c:numFmt formatCode="m/d/yyyy"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2303068"/>
        <c:crosses val="autoZero"/>
        <c:auto val="1"/>
        <c:lblOffset val="100"/>
        <c:baseTimeUnit val="months"/>
      </c:dateAx>
      <c:valAx>
        <c:axId val="52303068"/>
        <c:scaling>
          <c:orientation val="minMax"/>
          <c:max val="2520"/>
          <c:min val="0"/>
        </c:scaling>
        <c:delete val="0"/>
        <c:axPos val="l"/>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mn-lt"/>
                    <a:ea typeface="+mn-ea"/>
                    <a:cs typeface="+mn-cs"/>
                  </a:defRPr>
                </a:pPr>
                <a:r>
                  <a:rPr lang="en-US"/>
                  <a:t>Number of firms</a:t>
                </a:r>
              </a:p>
            </c:rich>
          </c:tx>
          <c:overlay val="0"/>
          <c:spPr>
            <a:noFill/>
            <a:ln w="12700">
              <a:noFill/>
            </a:ln>
            <a:effectLst/>
          </c:spPr>
        </c:title>
        <c:numFmt formatCode="0" sourceLinked="1"/>
        <c:majorTickMark val="none"/>
        <c:minorTickMark val="none"/>
        <c:tickLblPos val="nextTo"/>
        <c:spPr>
          <a:noFill/>
          <a:ln w="12700">
            <a:noFill/>
          </a:ln>
          <a:effectLst/>
        </c:spPr>
        <c:txPr>
          <a:bodyPr rot="-5400000" vert="horz" wrap="square"/>
          <a:lstStyle/>
          <a:p>
            <a:pPr>
              <a:defRPr lang="en-US" sz="8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113319"/>
        <c:crossesAt val="41275"/>
        <c:crossBetween val="between"/>
        <c:majorUnit val="500"/>
      </c:valAx>
      <c:dateAx>
        <c:axId val="29028385"/>
        <c:scaling>
          <c:orientation val="minMax"/>
        </c:scaling>
        <c:delete val="1"/>
        <c:axPos val="b"/>
        <c:numFmt formatCode="m/d/yyyy" sourceLinked="1"/>
        <c:majorTickMark val="out"/>
        <c:minorTickMark val="none"/>
        <c:tickLblPos val="nextTo"/>
        <c:crossAx val="64289987"/>
        <c:crosses val="autoZero"/>
        <c:auto val="1"/>
        <c:lblOffset val="100"/>
        <c:baseTimeUnit val="months"/>
      </c:dateAx>
      <c:valAx>
        <c:axId val="64289987"/>
        <c:scaling>
          <c:orientation val="minMax"/>
          <c:max val="40"/>
          <c:min val="13"/>
        </c:scaling>
        <c:delete val="0"/>
        <c:axPos val="r"/>
        <c:numFmt formatCode="General" sourceLinked="1"/>
        <c:majorTickMark val="out"/>
        <c:minorTickMark val="none"/>
        <c:tickLblPos val="nextTo"/>
        <c:spPr>
          <a:noFill/>
          <a:ln w="12700">
            <a:noFill/>
          </a:ln>
          <a:effectLst/>
        </c:spPr>
        <c:txPr>
          <a:bodyPr wrap="square"/>
          <a:lstStyle/>
          <a:p>
            <a:pPr>
              <a:defRPr lang="en-US" sz="900" b="0" i="0" u="none" kern="1200" baseline="0">
                <a:noFill/>
                <a:latin typeface="+mn-lt"/>
                <a:ea typeface="+mn-ea"/>
                <a:cs typeface="+mn-cs"/>
              </a:defRPr>
            </a:pPr>
            <a:endParaRPr lang="en-US"/>
          </a:p>
        </c:txPr>
        <c:crossAx val="29028385"/>
        <c:crosses val="max"/>
        <c:crossBetween val="between"/>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Exports</a:t>
            </a:r>
          </a:p>
        </c:rich>
      </c:tx>
      <c:overlay val="0"/>
      <c:spPr>
        <a:noFill/>
        <a:ln w="12700">
          <a:noFill/>
        </a:ln>
        <a:effectLst/>
      </c:spPr>
    </c:title>
    <c:autoTitleDeleted val="0"/>
    <c:plotArea>
      <c:layout/>
      <c:barChart>
        <c:barDir val="col"/>
        <c:grouping val="clustered"/>
        <c:varyColors val="0"/>
        <c:ser>
          <c:idx val="0"/>
          <c:order val="2"/>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1BD2-4A13-AE2B-0EFB6E594658}"/>
              </c:ext>
            </c:extLst>
          </c:dPt>
          <c:cat>
            <c:numRef>
              <c:f>'Figure 4a'!$D$134:$D$265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4a'!$I$134:$I$265</c:f>
              <c:numCache>
                <c:formatCode>General</c:formatCode>
                <c:ptCount val="132"/>
                <c:pt idx="48" formatCode="0">
                  <c:v>2500</c:v>
                </c:pt>
              </c:numCache>
            </c:numRef>
          </c:val>
          <c:extLst>
            <c:ext xmlns:c16="http://schemas.microsoft.com/office/drawing/2014/chart" uri="{C3380CC4-5D6E-409C-BE32-E72D297353CC}">
              <c16:uniqueId val="{00000002-1BD2-4A13-AE2B-0EFB6E594658}"/>
            </c:ext>
          </c:extLst>
        </c:ser>
        <c:dLbls>
          <c:showLegendKey val="0"/>
          <c:showVal val="0"/>
          <c:showCatName val="0"/>
          <c:showSerName val="0"/>
          <c:showPercent val="0"/>
          <c:showBubbleSize val="0"/>
        </c:dLbls>
        <c:gapWidth val="150"/>
        <c:axId val="28740742"/>
        <c:axId val="36388589"/>
      </c:barChart>
      <c:lineChart>
        <c:grouping val="standard"/>
        <c:varyColors val="0"/>
        <c:ser>
          <c:idx val="1"/>
          <c:order val="0"/>
          <c:tx>
            <c:strRef>
              <c:f>'Figure 4a'!$G$1</c:f>
              <c:strCache>
                <c:ptCount val="1"/>
                <c:pt idx="0">
                  <c:v>Number of firms (left) </c:v>
                </c:pt>
              </c:strCache>
            </c:strRef>
          </c:tx>
          <c:spPr>
            <a:ln w="12700" cap="rnd" cmpd="sng">
              <a:solidFill>
                <a:srgbClr val="0070C0"/>
              </a:solidFill>
              <a:round/>
            </a:ln>
            <a:effectLst/>
          </c:spPr>
          <c:marker>
            <c:symbol val="none"/>
          </c:marker>
          <c:cat>
            <c:multiLvlStrRef>
              <c:f>'Figure 4a'!$A$134:$E$265</c:f>
              <c:multiLvlStrCache>
                <c:ptCount val="132"/>
                <c:lvl>
                  <c:pt idx="0">
                    <c:v>2013</c:v>
                  </c:pt>
                  <c:pt idx="1">
                    <c:v>2013</c:v>
                  </c:pt>
                  <c:pt idx="2">
                    <c:v>2013</c:v>
                  </c:pt>
                  <c:pt idx="3">
                    <c:v>2013</c:v>
                  </c:pt>
                  <c:pt idx="4">
                    <c:v>2013</c:v>
                  </c:pt>
                  <c:pt idx="5">
                    <c:v>2013</c:v>
                  </c:pt>
                  <c:pt idx="6">
                    <c:v>2013</c:v>
                  </c:pt>
                  <c:pt idx="7">
                    <c:v>2013</c:v>
                  </c:pt>
                  <c:pt idx="8">
                    <c:v>2013</c:v>
                  </c:pt>
                  <c:pt idx="9">
                    <c:v>2013</c:v>
                  </c:pt>
                  <c:pt idx="10">
                    <c:v>2013</c:v>
                  </c:pt>
                  <c:pt idx="11">
                    <c:v>2013</c:v>
                  </c:pt>
                  <c:pt idx="12">
                    <c:v>2014</c:v>
                  </c:pt>
                  <c:pt idx="13">
                    <c:v>2014</c:v>
                  </c:pt>
                  <c:pt idx="14">
                    <c:v>2014</c:v>
                  </c:pt>
                  <c:pt idx="15">
                    <c:v>2014</c:v>
                  </c:pt>
                  <c:pt idx="16">
                    <c:v>2014</c:v>
                  </c:pt>
                  <c:pt idx="17">
                    <c:v>2014</c:v>
                  </c:pt>
                  <c:pt idx="18">
                    <c:v>2014</c:v>
                  </c:pt>
                  <c:pt idx="19">
                    <c:v>2014</c:v>
                  </c:pt>
                  <c:pt idx="20">
                    <c:v>2014</c:v>
                  </c:pt>
                  <c:pt idx="21">
                    <c:v>2014</c:v>
                  </c:pt>
                  <c:pt idx="22">
                    <c:v>2014</c:v>
                  </c:pt>
                  <c:pt idx="23">
                    <c:v>2014</c:v>
                  </c:pt>
                  <c:pt idx="24">
                    <c:v>2015</c:v>
                  </c:pt>
                  <c:pt idx="25">
                    <c:v>2015</c:v>
                  </c:pt>
                  <c:pt idx="26">
                    <c:v>2015</c:v>
                  </c:pt>
                  <c:pt idx="27">
                    <c:v>2015</c:v>
                  </c:pt>
                  <c:pt idx="28">
                    <c:v>2015</c:v>
                  </c:pt>
                  <c:pt idx="29">
                    <c:v>2015</c:v>
                  </c:pt>
                  <c:pt idx="30">
                    <c:v>2015</c:v>
                  </c:pt>
                  <c:pt idx="31">
                    <c:v>2015</c:v>
                  </c:pt>
                  <c:pt idx="32">
                    <c:v>2015</c:v>
                  </c:pt>
                  <c:pt idx="33">
                    <c:v>2015</c:v>
                  </c:pt>
                  <c:pt idx="34">
                    <c:v>2015</c:v>
                  </c:pt>
                  <c:pt idx="35">
                    <c:v>2015</c:v>
                  </c:pt>
                  <c:pt idx="36">
                    <c:v>2016</c:v>
                  </c:pt>
                  <c:pt idx="37">
                    <c:v>2016</c:v>
                  </c:pt>
                  <c:pt idx="38">
                    <c:v>2016</c:v>
                  </c:pt>
                  <c:pt idx="39">
                    <c:v>2016</c:v>
                  </c:pt>
                  <c:pt idx="40">
                    <c:v>2016</c:v>
                  </c:pt>
                  <c:pt idx="41">
                    <c:v>2016</c:v>
                  </c:pt>
                  <c:pt idx="42">
                    <c:v>2016</c:v>
                  </c:pt>
                  <c:pt idx="43">
                    <c:v>2016</c:v>
                  </c:pt>
                  <c:pt idx="44">
                    <c:v>2016</c:v>
                  </c:pt>
                  <c:pt idx="45">
                    <c:v>2016</c:v>
                  </c:pt>
                  <c:pt idx="46">
                    <c:v>2016</c:v>
                  </c:pt>
                  <c:pt idx="47">
                    <c:v>2016</c:v>
                  </c:pt>
                  <c:pt idx="48">
                    <c:v>2017</c:v>
                  </c:pt>
                  <c:pt idx="49">
                    <c:v>2017</c:v>
                  </c:pt>
                  <c:pt idx="50">
                    <c:v>2017</c:v>
                  </c:pt>
                  <c:pt idx="51">
                    <c:v>2017</c:v>
                  </c:pt>
                  <c:pt idx="52">
                    <c:v>2017</c:v>
                  </c:pt>
                  <c:pt idx="53">
                    <c:v>2017</c:v>
                  </c:pt>
                  <c:pt idx="54">
                    <c:v>2017</c:v>
                  </c:pt>
                  <c:pt idx="55">
                    <c:v>2017</c:v>
                  </c:pt>
                  <c:pt idx="56">
                    <c:v>2017</c:v>
                  </c:pt>
                  <c:pt idx="57">
                    <c:v>2017</c:v>
                  </c:pt>
                  <c:pt idx="58">
                    <c:v>2017</c:v>
                  </c:pt>
                  <c:pt idx="59">
                    <c:v>2017</c:v>
                  </c:pt>
                  <c:pt idx="60">
                    <c:v>2018</c:v>
                  </c:pt>
                  <c:pt idx="61">
                    <c:v>2018</c:v>
                  </c:pt>
                  <c:pt idx="62">
                    <c:v>2018</c:v>
                  </c:pt>
                  <c:pt idx="63">
                    <c:v>2018</c:v>
                  </c:pt>
                  <c:pt idx="64">
                    <c:v>2018</c:v>
                  </c:pt>
                  <c:pt idx="65">
                    <c:v>2018</c:v>
                  </c:pt>
                  <c:pt idx="66">
                    <c:v>2018</c:v>
                  </c:pt>
                  <c:pt idx="67">
                    <c:v>2018</c:v>
                  </c:pt>
                  <c:pt idx="68">
                    <c:v>2018</c:v>
                  </c:pt>
                  <c:pt idx="69">
                    <c:v>2018</c:v>
                  </c:pt>
                  <c:pt idx="70">
                    <c:v>2018</c:v>
                  </c:pt>
                  <c:pt idx="71">
                    <c:v>2018</c:v>
                  </c:pt>
                  <c:pt idx="72">
                    <c:v>2019</c:v>
                  </c:pt>
                  <c:pt idx="73">
                    <c:v>2019</c:v>
                  </c:pt>
                  <c:pt idx="74">
                    <c:v>2019</c:v>
                  </c:pt>
                  <c:pt idx="75">
                    <c:v>2019</c:v>
                  </c:pt>
                  <c:pt idx="76">
                    <c:v>2019</c:v>
                  </c:pt>
                  <c:pt idx="77">
                    <c:v>2019</c:v>
                  </c:pt>
                  <c:pt idx="78">
                    <c:v>2019</c:v>
                  </c:pt>
                  <c:pt idx="79">
                    <c:v>2019</c:v>
                  </c:pt>
                  <c:pt idx="80">
                    <c:v>2019</c:v>
                  </c:pt>
                  <c:pt idx="81">
                    <c:v>2019</c:v>
                  </c:pt>
                  <c:pt idx="82">
                    <c:v>2019</c:v>
                  </c:pt>
                  <c:pt idx="83">
                    <c:v>2019</c:v>
                  </c:pt>
                  <c:pt idx="84">
                    <c:v>2020</c:v>
                  </c:pt>
                  <c:pt idx="85">
                    <c:v>2020</c:v>
                  </c:pt>
                  <c:pt idx="86">
                    <c:v>2020</c:v>
                  </c:pt>
                  <c:pt idx="87">
                    <c:v>2020</c:v>
                  </c:pt>
                  <c:pt idx="88">
                    <c:v>2020</c:v>
                  </c:pt>
                  <c:pt idx="89">
                    <c:v>2020</c:v>
                  </c:pt>
                  <c:pt idx="90">
                    <c:v>2020</c:v>
                  </c:pt>
                  <c:pt idx="91">
                    <c:v>2020</c:v>
                  </c:pt>
                  <c:pt idx="92">
                    <c:v>2020</c:v>
                  </c:pt>
                  <c:pt idx="93">
                    <c:v>2020</c:v>
                  </c:pt>
                  <c:pt idx="94">
                    <c:v>2020</c:v>
                  </c:pt>
                  <c:pt idx="95">
                    <c:v>2020</c:v>
                  </c:pt>
                  <c:pt idx="96">
                    <c:v>2021</c:v>
                  </c:pt>
                  <c:pt idx="97">
                    <c:v>2021</c:v>
                  </c:pt>
                  <c:pt idx="98">
                    <c:v>2021</c:v>
                  </c:pt>
                  <c:pt idx="99">
                    <c:v>2021</c:v>
                  </c:pt>
                  <c:pt idx="100">
                    <c:v>2021</c:v>
                  </c:pt>
                  <c:pt idx="101">
                    <c:v>2021</c:v>
                  </c:pt>
                  <c:pt idx="102">
                    <c:v>2021</c:v>
                  </c:pt>
                  <c:pt idx="103">
                    <c:v>2021</c:v>
                  </c:pt>
                  <c:pt idx="104">
                    <c:v>2021</c:v>
                  </c:pt>
                  <c:pt idx="105">
                    <c:v>2021</c:v>
                  </c:pt>
                  <c:pt idx="106">
                    <c:v>2021</c:v>
                  </c:pt>
                  <c:pt idx="107">
                    <c:v>2021</c:v>
                  </c:pt>
                  <c:pt idx="108">
                    <c:v>2022</c:v>
                  </c:pt>
                  <c:pt idx="109">
                    <c:v>2022</c:v>
                  </c:pt>
                  <c:pt idx="110">
                    <c:v>2022</c:v>
                  </c:pt>
                  <c:pt idx="111">
                    <c:v>2022</c:v>
                  </c:pt>
                  <c:pt idx="112">
                    <c:v>2022</c:v>
                  </c:pt>
                  <c:pt idx="113">
                    <c:v>2022</c:v>
                  </c:pt>
                  <c:pt idx="114">
                    <c:v>2022</c:v>
                  </c:pt>
                  <c:pt idx="115">
                    <c:v>2022</c:v>
                  </c:pt>
                  <c:pt idx="116">
                    <c:v>2022</c:v>
                  </c:pt>
                  <c:pt idx="117">
                    <c:v>2022</c:v>
                  </c:pt>
                  <c:pt idx="118">
                    <c:v>2022</c:v>
                  </c:pt>
                  <c:pt idx="119">
                    <c:v>2022</c:v>
                  </c:pt>
                  <c:pt idx="120">
                    <c:v>2023</c:v>
                  </c:pt>
                  <c:pt idx="121">
                    <c:v>2023</c:v>
                  </c:pt>
                  <c:pt idx="122">
                    <c:v>2023</c:v>
                  </c:pt>
                  <c:pt idx="123">
                    <c:v>2023</c:v>
                  </c:pt>
                  <c:pt idx="124">
                    <c:v>2023</c:v>
                  </c:pt>
                  <c:pt idx="125">
                    <c:v>2023</c:v>
                  </c:pt>
                  <c:pt idx="126">
                    <c:v>2023</c:v>
                  </c:pt>
                  <c:pt idx="127">
                    <c:v>2023</c:v>
                  </c:pt>
                  <c:pt idx="128">
                    <c:v>2023</c:v>
                  </c:pt>
                  <c:pt idx="129">
                    <c:v>2023</c:v>
                  </c:pt>
                  <c:pt idx="130">
                    <c:v>2023</c:v>
                  </c:pt>
                  <c:pt idx="131">
                    <c:v>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multiLvlStrCache>
            </c:multiLvlStrRef>
          </c:cat>
          <c:val>
            <c:numRef>
              <c:f>'Figure 4a'!$G$134:$G$265</c:f>
              <c:numCache>
                <c:formatCode>0</c:formatCode>
                <c:ptCount val="132"/>
                <c:pt idx="0">
                  <c:v>288.60580444335938</c:v>
                </c:pt>
                <c:pt idx="1">
                  <c:v>299.67367553710938</c:v>
                </c:pt>
                <c:pt idx="2">
                  <c:v>326.93795776367188</c:v>
                </c:pt>
                <c:pt idx="3">
                  <c:v>335.4991455078125</c:v>
                </c:pt>
                <c:pt idx="4">
                  <c:v>284.00808715820313</c:v>
                </c:pt>
                <c:pt idx="5">
                  <c:v>255.9625549316406</c:v>
                </c:pt>
                <c:pt idx="6">
                  <c:v>288.25839233398438</c:v>
                </c:pt>
                <c:pt idx="7">
                  <c:v>256.59097290039063</c:v>
                </c:pt>
                <c:pt idx="8">
                  <c:v>294.65380859375</c:v>
                </c:pt>
                <c:pt idx="9">
                  <c:v>224.94377136230469</c:v>
                </c:pt>
                <c:pt idx="10">
                  <c:v>278.51016235351563</c:v>
                </c:pt>
                <c:pt idx="11">
                  <c:v>247.35565185546881</c:v>
                </c:pt>
                <c:pt idx="12">
                  <c:v>281.60580444335938</c:v>
                </c:pt>
                <c:pt idx="13">
                  <c:v>296.67367553710938</c:v>
                </c:pt>
                <c:pt idx="14">
                  <c:v>445.93795776367188</c:v>
                </c:pt>
                <c:pt idx="15">
                  <c:v>357.4991455078125</c:v>
                </c:pt>
                <c:pt idx="16">
                  <c:v>306.00808715820313</c:v>
                </c:pt>
                <c:pt idx="17">
                  <c:v>298.96255493164063</c:v>
                </c:pt>
                <c:pt idx="18">
                  <c:v>300.25839233398438</c:v>
                </c:pt>
                <c:pt idx="19">
                  <c:v>359.59097290039063</c:v>
                </c:pt>
                <c:pt idx="20">
                  <c:v>334.65380859375</c:v>
                </c:pt>
                <c:pt idx="21">
                  <c:v>227.94377136230469</c:v>
                </c:pt>
                <c:pt idx="22">
                  <c:v>317.51016235351563</c:v>
                </c:pt>
                <c:pt idx="23">
                  <c:v>264.35565185546881</c:v>
                </c:pt>
                <c:pt idx="24">
                  <c:v>371.60580444335938</c:v>
                </c:pt>
                <c:pt idx="25">
                  <c:v>281.67367553710938</c:v>
                </c:pt>
                <c:pt idx="26">
                  <c:v>275.93795776367188</c:v>
                </c:pt>
                <c:pt idx="27">
                  <c:v>408.4991455078125</c:v>
                </c:pt>
                <c:pt idx="28">
                  <c:v>296.00808715820313</c:v>
                </c:pt>
                <c:pt idx="29">
                  <c:v>355.96255493164063</c:v>
                </c:pt>
                <c:pt idx="30">
                  <c:v>278.25839233398438</c:v>
                </c:pt>
                <c:pt idx="31">
                  <c:v>223.5909729003906</c:v>
                </c:pt>
                <c:pt idx="32">
                  <c:v>328.65380859375</c:v>
                </c:pt>
                <c:pt idx="33">
                  <c:v>223.94377136230469</c:v>
                </c:pt>
                <c:pt idx="34">
                  <c:v>222.5101623535156</c:v>
                </c:pt>
                <c:pt idx="35">
                  <c:v>298.35565185546881</c:v>
                </c:pt>
                <c:pt idx="36">
                  <c:v>306.60580444335938</c:v>
                </c:pt>
                <c:pt idx="37">
                  <c:v>291.67367553710938</c:v>
                </c:pt>
                <c:pt idx="38">
                  <c:v>348.93795776367188</c:v>
                </c:pt>
                <c:pt idx="39">
                  <c:v>375.4991455078125</c:v>
                </c:pt>
                <c:pt idx="40">
                  <c:v>333.00808715820313</c:v>
                </c:pt>
                <c:pt idx="41">
                  <c:v>403.96255493164063</c:v>
                </c:pt>
                <c:pt idx="42">
                  <c:v>280.25839233398438</c:v>
                </c:pt>
                <c:pt idx="43">
                  <c:v>336.59097290039063</c:v>
                </c:pt>
                <c:pt idx="44">
                  <c:v>258.65380859375</c:v>
                </c:pt>
                <c:pt idx="45">
                  <c:v>310.94378662109381</c:v>
                </c:pt>
                <c:pt idx="46">
                  <c:v>268.51016235351563</c:v>
                </c:pt>
                <c:pt idx="47">
                  <c:v>255.35565185546881</c:v>
                </c:pt>
                <c:pt idx="48">
                  <c:v>360.60580444335938</c:v>
                </c:pt>
                <c:pt idx="49">
                  <c:v>332.67367553710938</c:v>
                </c:pt>
                <c:pt idx="50">
                  <c:v>306.93795776367188</c:v>
                </c:pt>
                <c:pt idx="51">
                  <c:v>364.4991455078125</c:v>
                </c:pt>
                <c:pt idx="52">
                  <c:v>360.00808715820313</c:v>
                </c:pt>
                <c:pt idx="53">
                  <c:v>272.96255493164063</c:v>
                </c:pt>
                <c:pt idx="54">
                  <c:v>373.25839233398438</c:v>
                </c:pt>
                <c:pt idx="55">
                  <c:v>344.59097290039063</c:v>
                </c:pt>
                <c:pt idx="56">
                  <c:v>274.65380859375</c:v>
                </c:pt>
                <c:pt idx="57">
                  <c:v>282.94378662109381</c:v>
                </c:pt>
                <c:pt idx="58">
                  <c:v>257.51016235351563</c:v>
                </c:pt>
                <c:pt idx="59">
                  <c:v>294.35565185546881</c:v>
                </c:pt>
                <c:pt idx="60">
                  <c:v>314.60580444335938</c:v>
                </c:pt>
                <c:pt idx="61">
                  <c:v>309.67367553710938</c:v>
                </c:pt>
                <c:pt idx="62">
                  <c:v>321.93795776367188</c:v>
                </c:pt>
                <c:pt idx="63">
                  <c:v>327.4991455078125</c:v>
                </c:pt>
                <c:pt idx="64">
                  <c:v>400.00808715820313</c:v>
                </c:pt>
                <c:pt idx="65">
                  <c:v>367.96255493164063</c:v>
                </c:pt>
                <c:pt idx="66">
                  <c:v>303.25839233398438</c:v>
                </c:pt>
                <c:pt idx="67">
                  <c:v>205.5909729003906</c:v>
                </c:pt>
                <c:pt idx="68">
                  <c:v>252.65382385253909</c:v>
                </c:pt>
                <c:pt idx="69">
                  <c:v>343.94378662109381</c:v>
                </c:pt>
                <c:pt idx="70">
                  <c:v>317.51016235351563</c:v>
                </c:pt>
                <c:pt idx="71">
                  <c:v>299.35565185546881</c:v>
                </c:pt>
                <c:pt idx="72">
                  <c:v>314.60580444335938</c:v>
                </c:pt>
                <c:pt idx="73">
                  <c:v>369.67367553710938</c:v>
                </c:pt>
                <c:pt idx="74">
                  <c:v>309.93795776367188</c:v>
                </c:pt>
                <c:pt idx="75">
                  <c:v>322.4991455078125</c:v>
                </c:pt>
                <c:pt idx="76">
                  <c:v>373.00808715820313</c:v>
                </c:pt>
                <c:pt idx="77">
                  <c:v>263.96255493164063</c:v>
                </c:pt>
                <c:pt idx="78">
                  <c:v>355.25839233398438</c:v>
                </c:pt>
                <c:pt idx="79">
                  <c:v>264.59097290039063</c:v>
                </c:pt>
                <c:pt idx="80">
                  <c:v>243.65382385253909</c:v>
                </c:pt>
                <c:pt idx="81">
                  <c:v>246.94377136230469</c:v>
                </c:pt>
                <c:pt idx="82">
                  <c:v>359.51016235351563</c:v>
                </c:pt>
                <c:pt idx="83">
                  <c:v>308.35565185546881</c:v>
                </c:pt>
                <c:pt idx="84">
                  <c:v>295.60580444335938</c:v>
                </c:pt>
                <c:pt idx="85">
                  <c:v>332.67367553710938</c:v>
                </c:pt>
                <c:pt idx="86">
                  <c:v>250.9379577636719</c:v>
                </c:pt>
                <c:pt idx="87">
                  <c:v>191.4991455078125</c:v>
                </c:pt>
                <c:pt idx="88">
                  <c:v>235.0080871582031</c:v>
                </c:pt>
                <c:pt idx="89">
                  <c:v>224.9625549316406</c:v>
                </c:pt>
                <c:pt idx="90">
                  <c:v>310.25839233398438</c:v>
                </c:pt>
                <c:pt idx="91">
                  <c:v>246.5909729003906</c:v>
                </c:pt>
                <c:pt idx="92">
                  <c:v>273.65380859375</c:v>
                </c:pt>
                <c:pt idx="93">
                  <c:v>346.94378662109381</c:v>
                </c:pt>
                <c:pt idx="94">
                  <c:v>356.51016235351563</c:v>
                </c:pt>
                <c:pt idx="95">
                  <c:v>277.35565185546881</c:v>
                </c:pt>
                <c:pt idx="96">
                  <c:v>321.60580444335938</c:v>
                </c:pt>
                <c:pt idx="97">
                  <c:v>322.67367553710938</c:v>
                </c:pt>
                <c:pt idx="98">
                  <c:v>310.93795776367188</c:v>
                </c:pt>
                <c:pt idx="99">
                  <c:v>329.4991455078125</c:v>
                </c:pt>
                <c:pt idx="100">
                  <c:v>422.00808715820313</c:v>
                </c:pt>
                <c:pt idx="101">
                  <c:v>326.96255493164063</c:v>
                </c:pt>
                <c:pt idx="102">
                  <c:v>387.25839233398438</c:v>
                </c:pt>
                <c:pt idx="103">
                  <c:v>317.59097290039063</c:v>
                </c:pt>
                <c:pt idx="104">
                  <c:v>261.65380859375</c:v>
                </c:pt>
                <c:pt idx="105">
                  <c:v>314.94378662109381</c:v>
                </c:pt>
                <c:pt idx="106">
                  <c:v>343.51016235351563</c:v>
                </c:pt>
                <c:pt idx="107">
                  <c:v>277.35565185546881</c:v>
                </c:pt>
                <c:pt idx="120">
                  <c:v>425.60580444335938</c:v>
                </c:pt>
                <c:pt idx="121">
                  <c:v>347.67367553710938</c:v>
                </c:pt>
                <c:pt idx="122">
                  <c:v>323.93795776367188</c:v>
                </c:pt>
                <c:pt idx="123">
                  <c:v>375.4991455078125</c:v>
                </c:pt>
                <c:pt idx="124">
                  <c:v>361.00808715820313</c:v>
                </c:pt>
                <c:pt idx="125">
                  <c:v>351.96255493164063</c:v>
                </c:pt>
                <c:pt idx="126">
                  <c:v>374.25839233398438</c:v>
                </c:pt>
                <c:pt idx="127">
                  <c:v>267.59097290039063</c:v>
                </c:pt>
                <c:pt idx="128">
                  <c:v>321.65380859375</c:v>
                </c:pt>
                <c:pt idx="129">
                  <c:v>319.94378662109381</c:v>
                </c:pt>
                <c:pt idx="130">
                  <c:v>322.51016235351563</c:v>
                </c:pt>
                <c:pt idx="131">
                  <c:v>387.35565185546881</c:v>
                </c:pt>
              </c:numCache>
            </c:numRef>
          </c:val>
          <c:smooth val="0"/>
          <c:extLst>
            <c:ext xmlns:c16="http://schemas.microsoft.com/office/drawing/2014/chart" uri="{C3380CC4-5D6E-409C-BE32-E72D297353CC}">
              <c16:uniqueId val="{00000003-1BD2-4A13-AE2B-0EFB6E594658}"/>
            </c:ext>
          </c:extLst>
        </c:ser>
        <c:dLbls>
          <c:showLegendKey val="0"/>
          <c:showVal val="0"/>
          <c:showCatName val="0"/>
          <c:showSerName val="0"/>
          <c:showPercent val="0"/>
          <c:showBubbleSize val="0"/>
        </c:dLbls>
        <c:marker val="1"/>
        <c:smooth val="0"/>
        <c:axId val="40032245"/>
        <c:axId val="57922607"/>
      </c:lineChart>
      <c:lineChart>
        <c:grouping val="standard"/>
        <c:varyColors val="0"/>
        <c:ser>
          <c:idx val="2"/>
          <c:order val="1"/>
          <c:tx>
            <c:strRef>
              <c:f>'Figure 4a'!$H$1</c:f>
              <c:strCache>
                <c:ptCount val="1"/>
                <c:pt idx="0">
                  <c:v>Share wrt total number of varieties</c:v>
                </c:pt>
              </c:strCache>
            </c:strRef>
          </c:tx>
          <c:spPr>
            <a:ln w="12700" cap="rnd" cmpd="sng">
              <a:solidFill>
                <a:srgbClr val="FF0000"/>
              </a:solidFill>
              <a:prstDash val="dash"/>
              <a:round/>
            </a:ln>
            <a:effectLst/>
          </c:spPr>
          <c:marker>
            <c:symbol val="none"/>
          </c:marker>
          <c:cat>
            <c:numRef>
              <c:f>'Figure 4a'!$D$134:$D$265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4a'!$H$134:$H$265</c:f>
              <c:numCache>
                <c:formatCode>0</c:formatCode>
                <c:ptCount val="132"/>
                <c:pt idx="0">
                  <c:v>17.289945602416989</c:v>
                </c:pt>
                <c:pt idx="1">
                  <c:v>18.280059814453129</c:v>
                </c:pt>
                <c:pt idx="2">
                  <c:v>18.672822952270511</c:v>
                </c:pt>
                <c:pt idx="3">
                  <c:v>21.3693962097168</c:v>
                </c:pt>
                <c:pt idx="4">
                  <c:v>17.5203742980957</c:v>
                </c:pt>
                <c:pt idx="5">
                  <c:v>16.503864288330082</c:v>
                </c:pt>
                <c:pt idx="6">
                  <c:v>19.750261306762699</c:v>
                </c:pt>
                <c:pt idx="7">
                  <c:v>15.217277526855471</c:v>
                </c:pt>
                <c:pt idx="8">
                  <c:v>18.389341354370121</c:v>
                </c:pt>
                <c:pt idx="9">
                  <c:v>14.077572822570801</c:v>
                </c:pt>
                <c:pt idx="10">
                  <c:v>17.549249649047852</c:v>
                </c:pt>
                <c:pt idx="11">
                  <c:v>17.521686553955082</c:v>
                </c:pt>
                <c:pt idx="12">
                  <c:v>16.360904693603519</c:v>
                </c:pt>
                <c:pt idx="13">
                  <c:v>17.355960845947269</c:v>
                </c:pt>
                <c:pt idx="14">
                  <c:v>27.838481903076168</c:v>
                </c:pt>
                <c:pt idx="15">
                  <c:v>19.83903884887695</c:v>
                </c:pt>
                <c:pt idx="16">
                  <c:v>18.761806488037109</c:v>
                </c:pt>
                <c:pt idx="17">
                  <c:v>17.463531494140629</c:v>
                </c:pt>
                <c:pt idx="18">
                  <c:v>20.349370956420898</c:v>
                </c:pt>
                <c:pt idx="19">
                  <c:v>18.581766128540039</c:v>
                </c:pt>
                <c:pt idx="20">
                  <c:v>19.64729118347168</c:v>
                </c:pt>
                <c:pt idx="21">
                  <c:v>14.26532077789307</c:v>
                </c:pt>
                <c:pt idx="22">
                  <c:v>17.600143432617191</c:v>
                </c:pt>
                <c:pt idx="23">
                  <c:v>16.597837448120121</c:v>
                </c:pt>
                <c:pt idx="24">
                  <c:v>23.802396774291989</c:v>
                </c:pt>
                <c:pt idx="25">
                  <c:v>17.567850112915039</c:v>
                </c:pt>
                <c:pt idx="26">
                  <c:v>16.634031295776371</c:v>
                </c:pt>
                <c:pt idx="27">
                  <c:v>23.791471481323239</c:v>
                </c:pt>
                <c:pt idx="28">
                  <c:v>17.556657791137699</c:v>
                </c:pt>
                <c:pt idx="29">
                  <c:v>22.45926666259766</c:v>
                </c:pt>
                <c:pt idx="30">
                  <c:v>18.531820297241211</c:v>
                </c:pt>
                <c:pt idx="31">
                  <c:v>13.36322021484375</c:v>
                </c:pt>
                <c:pt idx="32">
                  <c:v>19.004936218261719</c:v>
                </c:pt>
                <c:pt idx="33">
                  <c:v>14.28315353393555</c:v>
                </c:pt>
                <c:pt idx="34">
                  <c:v>13.307863235473629</c:v>
                </c:pt>
                <c:pt idx="35">
                  <c:v>19.8149299621582</c:v>
                </c:pt>
                <c:pt idx="36">
                  <c:v>18.412422180175781</c:v>
                </c:pt>
                <c:pt idx="37">
                  <c:v>18.237043380737301</c:v>
                </c:pt>
                <c:pt idx="38">
                  <c:v>21.4615364074707</c:v>
                </c:pt>
                <c:pt idx="39">
                  <c:v>21.793355941772461</c:v>
                </c:pt>
                <c:pt idx="40">
                  <c:v>17.89388465881348</c:v>
                </c:pt>
                <c:pt idx="41">
                  <c:v>21.943454742431641</c:v>
                </c:pt>
                <c:pt idx="42">
                  <c:v>17.77706336975098</c:v>
                </c:pt>
                <c:pt idx="43">
                  <c:v>18.854715347290039</c:v>
                </c:pt>
                <c:pt idx="44">
                  <c:v>13.734018325805661</c:v>
                </c:pt>
                <c:pt idx="45">
                  <c:v>18.9151496887207</c:v>
                </c:pt>
                <c:pt idx="46">
                  <c:v>17.96030235290527</c:v>
                </c:pt>
                <c:pt idx="47">
                  <c:v>16.113700866699219</c:v>
                </c:pt>
                <c:pt idx="48">
                  <c:v>20.9506950378418</c:v>
                </c:pt>
                <c:pt idx="49">
                  <c:v>21.010782241821289</c:v>
                </c:pt>
                <c:pt idx="50">
                  <c:v>19.185110092163089</c:v>
                </c:pt>
                <c:pt idx="51">
                  <c:v>21.32823371887207</c:v>
                </c:pt>
                <c:pt idx="52">
                  <c:v>21.991725921630859</c:v>
                </c:pt>
                <c:pt idx="53">
                  <c:v>17.375911712646481</c:v>
                </c:pt>
                <c:pt idx="54">
                  <c:v>22.014430999755859</c:v>
                </c:pt>
                <c:pt idx="55">
                  <c:v>21.534488677978519</c:v>
                </c:pt>
                <c:pt idx="56">
                  <c:v>16.364927291870121</c:v>
                </c:pt>
                <c:pt idx="57">
                  <c:v>18.44618988037109</c:v>
                </c:pt>
                <c:pt idx="58">
                  <c:v>16.21579742431641</c:v>
                </c:pt>
                <c:pt idx="59">
                  <c:v>19.217435836791989</c:v>
                </c:pt>
                <c:pt idx="60">
                  <c:v>19.808807373046879</c:v>
                </c:pt>
                <c:pt idx="61">
                  <c:v>19.00599479675293</c:v>
                </c:pt>
                <c:pt idx="62">
                  <c:v>20.110113143920898</c:v>
                </c:pt>
                <c:pt idx="63">
                  <c:v>18.77863883972168</c:v>
                </c:pt>
                <c:pt idx="64">
                  <c:v>22.548166275024411</c:v>
                </c:pt>
                <c:pt idx="65">
                  <c:v>22.5754280090332</c:v>
                </c:pt>
                <c:pt idx="66">
                  <c:v>18.610324859619141</c:v>
                </c:pt>
                <c:pt idx="67">
                  <c:v>14.87437915802002</c:v>
                </c:pt>
                <c:pt idx="68">
                  <c:v>16.510002136230469</c:v>
                </c:pt>
                <c:pt idx="69">
                  <c:v>18.7856330871582</c:v>
                </c:pt>
                <c:pt idx="70">
                  <c:v>20.274971008300781</c:v>
                </c:pt>
                <c:pt idx="71">
                  <c:v>16.689176559448239</c:v>
                </c:pt>
                <c:pt idx="72">
                  <c:v>20.426141738891602</c:v>
                </c:pt>
                <c:pt idx="73">
                  <c:v>23.406736373901371</c:v>
                </c:pt>
                <c:pt idx="74">
                  <c:v>20.088325500488281</c:v>
                </c:pt>
                <c:pt idx="75">
                  <c:v>20.01859092712402</c:v>
                </c:pt>
                <c:pt idx="76">
                  <c:v>22.954116821289059</c:v>
                </c:pt>
                <c:pt idx="77">
                  <c:v>17.716499328613281</c:v>
                </c:pt>
                <c:pt idx="78">
                  <c:v>19.941343307495121</c:v>
                </c:pt>
                <c:pt idx="79">
                  <c:v>17.76753997802734</c:v>
                </c:pt>
                <c:pt idx="80">
                  <c:v>15.85970306396484</c:v>
                </c:pt>
                <c:pt idx="81">
                  <c:v>14.89508628845215</c:v>
                </c:pt>
                <c:pt idx="82">
                  <c:v>22.399105072021481</c:v>
                </c:pt>
                <c:pt idx="83">
                  <c:v>18.851470947265629</c:v>
                </c:pt>
                <c:pt idx="84">
                  <c:v>19.470657348632809</c:v>
                </c:pt>
                <c:pt idx="85">
                  <c:v>20.839679718017582</c:v>
                </c:pt>
                <c:pt idx="86">
                  <c:v>18.534782409667969</c:v>
                </c:pt>
                <c:pt idx="87">
                  <c:v>19.640972137451168</c:v>
                </c:pt>
                <c:pt idx="88">
                  <c:v>21.190683364868161</c:v>
                </c:pt>
                <c:pt idx="89">
                  <c:v>16.979267120361332</c:v>
                </c:pt>
                <c:pt idx="90">
                  <c:v>20.75977897644043</c:v>
                </c:pt>
                <c:pt idx="91">
                  <c:v>15.927778244018549</c:v>
                </c:pt>
                <c:pt idx="92">
                  <c:v>17.527219772338871</c:v>
                </c:pt>
                <c:pt idx="93">
                  <c:v>20.990163803100589</c:v>
                </c:pt>
                <c:pt idx="94">
                  <c:v>20.872713088989261</c:v>
                </c:pt>
                <c:pt idx="95">
                  <c:v>15.9060525894165</c:v>
                </c:pt>
                <c:pt idx="96">
                  <c:v>18.343809127807621</c:v>
                </c:pt>
                <c:pt idx="97">
                  <c:v>19.61127853393555</c:v>
                </c:pt>
                <c:pt idx="98">
                  <c:v>16.212619781494141</c:v>
                </c:pt>
                <c:pt idx="99">
                  <c:v>17.629718780517582</c:v>
                </c:pt>
                <c:pt idx="100">
                  <c:v>23.366794586181641</c:v>
                </c:pt>
                <c:pt idx="101">
                  <c:v>17.309450149536129</c:v>
                </c:pt>
                <c:pt idx="102">
                  <c:v>17.89948654174805</c:v>
                </c:pt>
                <c:pt idx="103">
                  <c:v>16.531021118164059</c:v>
                </c:pt>
                <c:pt idx="104">
                  <c:v>16.737192153930661</c:v>
                </c:pt>
                <c:pt idx="105">
                  <c:v>18.008235931396481</c:v>
                </c:pt>
                <c:pt idx="106">
                  <c:v>19.009757995605469</c:v>
                </c:pt>
                <c:pt idx="107">
                  <c:v>13.911524772644039</c:v>
                </c:pt>
                <c:pt idx="120">
                  <c:v>24.90070724487305</c:v>
                </c:pt>
                <c:pt idx="121">
                  <c:v>18.411531448364261</c:v>
                </c:pt>
                <c:pt idx="122">
                  <c:v>17.53028678894043</c:v>
                </c:pt>
                <c:pt idx="123">
                  <c:v>20.757297515869141</c:v>
                </c:pt>
                <c:pt idx="124">
                  <c:v>19.967082977294918</c:v>
                </c:pt>
                <c:pt idx="125">
                  <c:v>17.64289665222168</c:v>
                </c:pt>
                <c:pt idx="126">
                  <c:v>20.3233757019043</c:v>
                </c:pt>
                <c:pt idx="127">
                  <c:v>16.414793014526371</c:v>
                </c:pt>
                <c:pt idx="128">
                  <c:v>16.971061706542969</c:v>
                </c:pt>
                <c:pt idx="129">
                  <c:v>16.983169555664059</c:v>
                </c:pt>
                <c:pt idx="130">
                  <c:v>16.823513031005859</c:v>
                </c:pt>
                <c:pt idx="131">
                  <c:v>19.46793174743652</c:v>
                </c:pt>
              </c:numCache>
            </c:numRef>
          </c:val>
          <c:smooth val="0"/>
          <c:extLst>
            <c:ext xmlns:c16="http://schemas.microsoft.com/office/drawing/2014/chart" uri="{C3380CC4-5D6E-409C-BE32-E72D297353CC}">
              <c16:uniqueId val="{00000004-1BD2-4A13-AE2B-0EFB6E594658}"/>
            </c:ext>
          </c:extLst>
        </c:ser>
        <c:dLbls>
          <c:showLegendKey val="0"/>
          <c:showVal val="0"/>
          <c:showCatName val="0"/>
          <c:showSerName val="0"/>
          <c:showPercent val="0"/>
          <c:showBubbleSize val="0"/>
        </c:dLbls>
        <c:marker val="1"/>
        <c:smooth val="0"/>
        <c:axId val="28740742"/>
        <c:axId val="36388589"/>
      </c:lineChart>
      <c:catAx>
        <c:axId val="40032245"/>
        <c:scaling>
          <c:orientation val="minMax"/>
        </c:scaling>
        <c:delete val="0"/>
        <c:axPos val="b"/>
        <c:numFmt formatCode="General"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7922607"/>
        <c:crosses val="autoZero"/>
        <c:auto val="1"/>
        <c:lblAlgn val="ctr"/>
        <c:lblOffset val="100"/>
        <c:noMultiLvlLbl val="1"/>
      </c:catAx>
      <c:valAx>
        <c:axId val="57922607"/>
        <c:scaling>
          <c:orientation val="minMax"/>
          <c:max val="2520"/>
          <c:min val="0"/>
        </c:scaling>
        <c:delete val="0"/>
        <c:axPos val="l"/>
        <c:numFmt formatCode="0" sourceLinked="1"/>
        <c:majorTickMark val="none"/>
        <c:minorTickMark val="none"/>
        <c:tickLblPos val="nextTo"/>
        <c:spPr>
          <a:noFill/>
          <a:ln w="12700">
            <a:noFill/>
          </a:ln>
          <a:effectLst/>
        </c:spPr>
        <c:txPr>
          <a:bodyPr wrap="square"/>
          <a:lstStyle/>
          <a:p>
            <a:pPr>
              <a:defRPr lang="en-US" sz="900" b="0" i="0" u="none" kern="1200" baseline="0">
                <a:noFill/>
                <a:latin typeface="+mn-lt"/>
                <a:ea typeface="+mn-ea"/>
                <a:cs typeface="+mn-cs"/>
              </a:defRPr>
            </a:pPr>
            <a:endParaRPr lang="en-US"/>
          </a:p>
        </c:txPr>
        <c:crossAx val="40032245"/>
        <c:crosses val="autoZero"/>
        <c:crossBetween val="between"/>
      </c:valAx>
      <c:dateAx>
        <c:axId val="28740742"/>
        <c:scaling>
          <c:orientation val="minMax"/>
        </c:scaling>
        <c:delete val="1"/>
        <c:axPos val="b"/>
        <c:numFmt formatCode="m/d/yyyy" sourceLinked="1"/>
        <c:majorTickMark val="out"/>
        <c:minorTickMark val="none"/>
        <c:tickLblPos val="nextTo"/>
        <c:crossAx val="36388589"/>
        <c:crosses val="autoZero"/>
        <c:auto val="1"/>
        <c:lblOffset val="100"/>
        <c:baseTimeUnit val="months"/>
        <c:majorUnit val="1"/>
        <c:minorUnit val="1"/>
        <c:minorTimeUnit val="months"/>
      </c:dateAx>
      <c:valAx>
        <c:axId val="36388589"/>
        <c:scaling>
          <c:orientation val="minMax"/>
          <c:max val="40"/>
          <c:min val="13"/>
        </c:scaling>
        <c:delete val="0"/>
        <c:axPos val="r"/>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mn-lt"/>
                    <a:ea typeface="+mn-ea"/>
                    <a:cs typeface="+mn-cs"/>
                  </a:defRPr>
                </a:pPr>
                <a:r>
                  <a:rPr lang="en-US"/>
                  <a:t>Share (%)</a:t>
                </a:r>
              </a:p>
            </c:rich>
          </c:tx>
          <c:overlay val="0"/>
          <c:spPr>
            <a:noFill/>
            <a:ln w="12700">
              <a:noFill/>
            </a:ln>
            <a:effectLst/>
          </c:spPr>
        </c:title>
        <c:numFmt formatCode="General" sourceLinked="1"/>
        <c:majorTickMark val="out"/>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8740742"/>
        <c:crosses val="max"/>
        <c:crossBetween val="between"/>
        <c:majorUnit val="8"/>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Imports</a:t>
            </a:r>
          </a:p>
        </c:rich>
      </c:tx>
      <c:overlay val="0"/>
      <c:spPr>
        <a:noFill/>
        <a:ln w="12700">
          <a:noFill/>
        </a:ln>
        <a:effectLst/>
      </c:spPr>
    </c:title>
    <c:autoTitleDeleted val="0"/>
    <c:plotArea>
      <c:layout/>
      <c:barChart>
        <c:barDir val="col"/>
        <c:grouping val="clustered"/>
        <c:varyColors val="0"/>
        <c:ser>
          <c:idx val="0"/>
          <c:order val="2"/>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B1F0-4F1F-8429-144EDBB6DE3A}"/>
              </c:ext>
            </c:extLst>
          </c:dPt>
          <c:cat>
            <c:numRef>
              <c:f>'Figure 4b'!$D$2:$D$133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4b'!$I$2:$I$133</c:f>
              <c:numCache>
                <c:formatCode>General</c:formatCode>
                <c:ptCount val="132"/>
                <c:pt idx="48" formatCode="0">
                  <c:v>54</c:v>
                </c:pt>
              </c:numCache>
            </c:numRef>
          </c:val>
          <c:extLst>
            <c:ext xmlns:c16="http://schemas.microsoft.com/office/drawing/2014/chart" uri="{C3380CC4-5D6E-409C-BE32-E72D297353CC}">
              <c16:uniqueId val="{00000002-B1F0-4F1F-8429-144EDBB6DE3A}"/>
            </c:ext>
          </c:extLst>
        </c:ser>
        <c:dLbls>
          <c:showLegendKey val="0"/>
          <c:showVal val="0"/>
          <c:showCatName val="0"/>
          <c:showSerName val="0"/>
          <c:showPercent val="0"/>
          <c:showBubbleSize val="0"/>
        </c:dLbls>
        <c:gapWidth val="150"/>
        <c:axId val="56598660"/>
        <c:axId val="54252063"/>
      </c:barChart>
      <c:lineChart>
        <c:grouping val="standard"/>
        <c:varyColors val="0"/>
        <c:ser>
          <c:idx val="1"/>
          <c:order val="0"/>
          <c:tx>
            <c:strRef>
              <c:f>'Figure 4b'!$G$1</c:f>
              <c:strCache>
                <c:ptCount val="1"/>
                <c:pt idx="0">
                  <c:v>Trade partners (left) </c:v>
                </c:pt>
              </c:strCache>
            </c:strRef>
          </c:tx>
          <c:spPr>
            <a:ln w="12700" cap="rnd" cmpd="sng">
              <a:solidFill>
                <a:srgbClr val="0070C0"/>
              </a:solidFill>
              <a:round/>
            </a:ln>
            <a:effectLst/>
          </c:spPr>
          <c:marker>
            <c:symbol val="none"/>
          </c:marker>
          <c:cat>
            <c:multiLvlStrRef>
              <c:f>'Figure 4b'!$A$2:$E$133</c:f>
              <c:multiLvlStrCache>
                <c:ptCount val="132"/>
                <c:lvl>
                  <c:pt idx="0">
                    <c:v>2013</c:v>
                  </c:pt>
                  <c:pt idx="1">
                    <c:v>2013</c:v>
                  </c:pt>
                  <c:pt idx="2">
                    <c:v>2013</c:v>
                  </c:pt>
                  <c:pt idx="3">
                    <c:v>2013</c:v>
                  </c:pt>
                  <c:pt idx="4">
                    <c:v>2013</c:v>
                  </c:pt>
                  <c:pt idx="5">
                    <c:v>2013</c:v>
                  </c:pt>
                  <c:pt idx="6">
                    <c:v>2013</c:v>
                  </c:pt>
                  <c:pt idx="7">
                    <c:v>2013</c:v>
                  </c:pt>
                  <c:pt idx="8">
                    <c:v>2013</c:v>
                  </c:pt>
                  <c:pt idx="9">
                    <c:v>2013</c:v>
                  </c:pt>
                  <c:pt idx="10">
                    <c:v>2013</c:v>
                  </c:pt>
                  <c:pt idx="11">
                    <c:v>2013</c:v>
                  </c:pt>
                  <c:pt idx="12">
                    <c:v>2014</c:v>
                  </c:pt>
                  <c:pt idx="13">
                    <c:v>2014</c:v>
                  </c:pt>
                  <c:pt idx="14">
                    <c:v>2014</c:v>
                  </c:pt>
                  <c:pt idx="15">
                    <c:v>2014</c:v>
                  </c:pt>
                  <c:pt idx="16">
                    <c:v>2014</c:v>
                  </c:pt>
                  <c:pt idx="17">
                    <c:v>2014</c:v>
                  </c:pt>
                  <c:pt idx="18">
                    <c:v>2014</c:v>
                  </c:pt>
                  <c:pt idx="19">
                    <c:v>2014</c:v>
                  </c:pt>
                  <c:pt idx="20">
                    <c:v>2014</c:v>
                  </c:pt>
                  <c:pt idx="21">
                    <c:v>2014</c:v>
                  </c:pt>
                  <c:pt idx="22">
                    <c:v>2014</c:v>
                  </c:pt>
                  <c:pt idx="23">
                    <c:v>2014</c:v>
                  </c:pt>
                  <c:pt idx="24">
                    <c:v>2015</c:v>
                  </c:pt>
                  <c:pt idx="25">
                    <c:v>2015</c:v>
                  </c:pt>
                  <c:pt idx="26">
                    <c:v>2015</c:v>
                  </c:pt>
                  <c:pt idx="27">
                    <c:v>2015</c:v>
                  </c:pt>
                  <c:pt idx="28">
                    <c:v>2015</c:v>
                  </c:pt>
                  <c:pt idx="29">
                    <c:v>2015</c:v>
                  </c:pt>
                  <c:pt idx="30">
                    <c:v>2015</c:v>
                  </c:pt>
                  <c:pt idx="31">
                    <c:v>2015</c:v>
                  </c:pt>
                  <c:pt idx="32">
                    <c:v>2015</c:v>
                  </c:pt>
                  <c:pt idx="33">
                    <c:v>2015</c:v>
                  </c:pt>
                  <c:pt idx="34">
                    <c:v>2015</c:v>
                  </c:pt>
                  <c:pt idx="35">
                    <c:v>2015</c:v>
                  </c:pt>
                  <c:pt idx="36">
                    <c:v>2016</c:v>
                  </c:pt>
                  <c:pt idx="37">
                    <c:v>2016</c:v>
                  </c:pt>
                  <c:pt idx="38">
                    <c:v>2016</c:v>
                  </c:pt>
                  <c:pt idx="39">
                    <c:v>2016</c:v>
                  </c:pt>
                  <c:pt idx="40">
                    <c:v>2016</c:v>
                  </c:pt>
                  <c:pt idx="41">
                    <c:v>2016</c:v>
                  </c:pt>
                  <c:pt idx="42">
                    <c:v>2016</c:v>
                  </c:pt>
                  <c:pt idx="43">
                    <c:v>2016</c:v>
                  </c:pt>
                  <c:pt idx="44">
                    <c:v>2016</c:v>
                  </c:pt>
                  <c:pt idx="45">
                    <c:v>2016</c:v>
                  </c:pt>
                  <c:pt idx="46">
                    <c:v>2016</c:v>
                  </c:pt>
                  <c:pt idx="47">
                    <c:v>2016</c:v>
                  </c:pt>
                  <c:pt idx="48">
                    <c:v>2017</c:v>
                  </c:pt>
                  <c:pt idx="49">
                    <c:v>2017</c:v>
                  </c:pt>
                  <c:pt idx="50">
                    <c:v>2017</c:v>
                  </c:pt>
                  <c:pt idx="51">
                    <c:v>2017</c:v>
                  </c:pt>
                  <c:pt idx="52">
                    <c:v>2017</c:v>
                  </c:pt>
                  <c:pt idx="53">
                    <c:v>2017</c:v>
                  </c:pt>
                  <c:pt idx="54">
                    <c:v>2017</c:v>
                  </c:pt>
                  <c:pt idx="55">
                    <c:v>2017</c:v>
                  </c:pt>
                  <c:pt idx="56">
                    <c:v>2017</c:v>
                  </c:pt>
                  <c:pt idx="57">
                    <c:v>2017</c:v>
                  </c:pt>
                  <c:pt idx="58">
                    <c:v>2017</c:v>
                  </c:pt>
                  <c:pt idx="59">
                    <c:v>2017</c:v>
                  </c:pt>
                  <c:pt idx="60">
                    <c:v>2018</c:v>
                  </c:pt>
                  <c:pt idx="61">
                    <c:v>2018</c:v>
                  </c:pt>
                  <c:pt idx="62">
                    <c:v>2018</c:v>
                  </c:pt>
                  <c:pt idx="63">
                    <c:v>2018</c:v>
                  </c:pt>
                  <c:pt idx="64">
                    <c:v>2018</c:v>
                  </c:pt>
                  <c:pt idx="65">
                    <c:v>2018</c:v>
                  </c:pt>
                  <c:pt idx="66">
                    <c:v>2018</c:v>
                  </c:pt>
                  <c:pt idx="67">
                    <c:v>2018</c:v>
                  </c:pt>
                  <c:pt idx="68">
                    <c:v>2018</c:v>
                  </c:pt>
                  <c:pt idx="69">
                    <c:v>2018</c:v>
                  </c:pt>
                  <c:pt idx="70">
                    <c:v>2018</c:v>
                  </c:pt>
                  <c:pt idx="71">
                    <c:v>2018</c:v>
                  </c:pt>
                  <c:pt idx="72">
                    <c:v>2019</c:v>
                  </c:pt>
                  <c:pt idx="73">
                    <c:v>2019</c:v>
                  </c:pt>
                  <c:pt idx="74">
                    <c:v>2019</c:v>
                  </c:pt>
                  <c:pt idx="75">
                    <c:v>2019</c:v>
                  </c:pt>
                  <c:pt idx="76">
                    <c:v>2019</c:v>
                  </c:pt>
                  <c:pt idx="77">
                    <c:v>2019</c:v>
                  </c:pt>
                  <c:pt idx="78">
                    <c:v>2019</c:v>
                  </c:pt>
                  <c:pt idx="79">
                    <c:v>2019</c:v>
                  </c:pt>
                  <c:pt idx="80">
                    <c:v>2019</c:v>
                  </c:pt>
                  <c:pt idx="81">
                    <c:v>2019</c:v>
                  </c:pt>
                  <c:pt idx="82">
                    <c:v>2019</c:v>
                  </c:pt>
                  <c:pt idx="83">
                    <c:v>2019</c:v>
                  </c:pt>
                  <c:pt idx="84">
                    <c:v>2020</c:v>
                  </c:pt>
                  <c:pt idx="85">
                    <c:v>2020</c:v>
                  </c:pt>
                  <c:pt idx="86">
                    <c:v>2020</c:v>
                  </c:pt>
                  <c:pt idx="87">
                    <c:v>2020</c:v>
                  </c:pt>
                  <c:pt idx="88">
                    <c:v>2020</c:v>
                  </c:pt>
                  <c:pt idx="89">
                    <c:v>2020</c:v>
                  </c:pt>
                  <c:pt idx="90">
                    <c:v>2020</c:v>
                  </c:pt>
                  <c:pt idx="91">
                    <c:v>2020</c:v>
                  </c:pt>
                  <c:pt idx="92">
                    <c:v>2020</c:v>
                  </c:pt>
                  <c:pt idx="93">
                    <c:v>2020</c:v>
                  </c:pt>
                  <c:pt idx="94">
                    <c:v>2020</c:v>
                  </c:pt>
                  <c:pt idx="95">
                    <c:v>2020</c:v>
                  </c:pt>
                  <c:pt idx="96">
                    <c:v>2021</c:v>
                  </c:pt>
                  <c:pt idx="97">
                    <c:v>2021</c:v>
                  </c:pt>
                  <c:pt idx="98">
                    <c:v>2021</c:v>
                  </c:pt>
                  <c:pt idx="99">
                    <c:v>2021</c:v>
                  </c:pt>
                  <c:pt idx="100">
                    <c:v>2021</c:v>
                  </c:pt>
                  <c:pt idx="101">
                    <c:v>2021</c:v>
                  </c:pt>
                  <c:pt idx="102">
                    <c:v>2021</c:v>
                  </c:pt>
                  <c:pt idx="103">
                    <c:v>2021</c:v>
                  </c:pt>
                  <c:pt idx="104">
                    <c:v>2021</c:v>
                  </c:pt>
                  <c:pt idx="105">
                    <c:v>2021</c:v>
                  </c:pt>
                  <c:pt idx="106">
                    <c:v>2021</c:v>
                  </c:pt>
                  <c:pt idx="107">
                    <c:v>2021</c:v>
                  </c:pt>
                  <c:pt idx="108">
                    <c:v>2022</c:v>
                  </c:pt>
                  <c:pt idx="109">
                    <c:v>2022</c:v>
                  </c:pt>
                  <c:pt idx="110">
                    <c:v>2022</c:v>
                  </c:pt>
                  <c:pt idx="111">
                    <c:v>2022</c:v>
                  </c:pt>
                  <c:pt idx="112">
                    <c:v>2022</c:v>
                  </c:pt>
                  <c:pt idx="113">
                    <c:v>2022</c:v>
                  </c:pt>
                  <c:pt idx="114">
                    <c:v>2022</c:v>
                  </c:pt>
                  <c:pt idx="115">
                    <c:v>2022</c:v>
                  </c:pt>
                  <c:pt idx="116">
                    <c:v>2022</c:v>
                  </c:pt>
                  <c:pt idx="117">
                    <c:v>2022</c:v>
                  </c:pt>
                  <c:pt idx="118">
                    <c:v>2022</c:v>
                  </c:pt>
                  <c:pt idx="119">
                    <c:v>2022</c:v>
                  </c:pt>
                  <c:pt idx="120">
                    <c:v>2023</c:v>
                  </c:pt>
                  <c:pt idx="121">
                    <c:v>2023</c:v>
                  </c:pt>
                  <c:pt idx="122">
                    <c:v>2023</c:v>
                  </c:pt>
                  <c:pt idx="123">
                    <c:v>2023</c:v>
                  </c:pt>
                  <c:pt idx="124">
                    <c:v>2023</c:v>
                  </c:pt>
                  <c:pt idx="125">
                    <c:v>2023</c:v>
                  </c:pt>
                  <c:pt idx="126">
                    <c:v>2023</c:v>
                  </c:pt>
                  <c:pt idx="127">
                    <c:v>2023</c:v>
                  </c:pt>
                  <c:pt idx="128">
                    <c:v>2023</c:v>
                  </c:pt>
                  <c:pt idx="129">
                    <c:v>2023</c:v>
                  </c:pt>
                  <c:pt idx="130">
                    <c:v>2023</c:v>
                  </c:pt>
                  <c:pt idx="131">
                    <c:v>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Imports</c:v>
                  </c:pt>
                  <c:pt idx="1">
                    <c:v>Imports</c:v>
                  </c:pt>
                  <c:pt idx="2">
                    <c:v>Imports</c:v>
                  </c:pt>
                  <c:pt idx="3">
                    <c:v>Imports</c:v>
                  </c:pt>
                  <c:pt idx="4">
                    <c:v>Imports</c:v>
                  </c:pt>
                  <c:pt idx="5">
                    <c:v>Imports</c:v>
                  </c:pt>
                  <c:pt idx="6">
                    <c:v>Imports</c:v>
                  </c:pt>
                  <c:pt idx="7">
                    <c:v>Imports</c:v>
                  </c:pt>
                  <c:pt idx="8">
                    <c:v>Imports</c:v>
                  </c:pt>
                  <c:pt idx="9">
                    <c:v>Imports</c:v>
                  </c:pt>
                  <c:pt idx="10">
                    <c:v>Imports</c:v>
                  </c:pt>
                  <c:pt idx="11">
                    <c:v>Imports</c:v>
                  </c:pt>
                  <c:pt idx="12">
                    <c:v>Imports</c:v>
                  </c:pt>
                  <c:pt idx="13">
                    <c:v>Imports</c:v>
                  </c:pt>
                  <c:pt idx="14">
                    <c:v>Imports</c:v>
                  </c:pt>
                  <c:pt idx="15">
                    <c:v>Imports</c:v>
                  </c:pt>
                  <c:pt idx="16">
                    <c:v>Imports</c:v>
                  </c:pt>
                  <c:pt idx="17">
                    <c:v>Imports</c:v>
                  </c:pt>
                  <c:pt idx="18">
                    <c:v>Imports</c:v>
                  </c:pt>
                  <c:pt idx="19">
                    <c:v>Imports</c:v>
                  </c:pt>
                  <c:pt idx="20">
                    <c:v>Imports</c:v>
                  </c:pt>
                  <c:pt idx="21">
                    <c:v>Imports</c:v>
                  </c:pt>
                  <c:pt idx="22">
                    <c:v>Imports</c:v>
                  </c:pt>
                  <c:pt idx="23">
                    <c:v>Imports</c:v>
                  </c:pt>
                  <c:pt idx="24">
                    <c:v>Imports</c:v>
                  </c:pt>
                  <c:pt idx="25">
                    <c:v>Imports</c:v>
                  </c:pt>
                  <c:pt idx="26">
                    <c:v>Imports</c:v>
                  </c:pt>
                  <c:pt idx="27">
                    <c:v>Imports</c:v>
                  </c:pt>
                  <c:pt idx="28">
                    <c:v>Imports</c:v>
                  </c:pt>
                  <c:pt idx="29">
                    <c:v>Imports</c:v>
                  </c:pt>
                  <c:pt idx="30">
                    <c:v>Imports</c:v>
                  </c:pt>
                  <c:pt idx="31">
                    <c:v>Imports</c:v>
                  </c:pt>
                  <c:pt idx="32">
                    <c:v>Imports</c:v>
                  </c:pt>
                  <c:pt idx="33">
                    <c:v>Imports</c:v>
                  </c:pt>
                  <c:pt idx="34">
                    <c:v>Imports</c:v>
                  </c:pt>
                  <c:pt idx="35">
                    <c:v>Imports</c:v>
                  </c:pt>
                  <c:pt idx="36">
                    <c:v>Imports</c:v>
                  </c:pt>
                  <c:pt idx="37">
                    <c:v>Imports</c:v>
                  </c:pt>
                  <c:pt idx="38">
                    <c:v>Imports</c:v>
                  </c:pt>
                  <c:pt idx="39">
                    <c:v>Imports</c:v>
                  </c:pt>
                  <c:pt idx="40">
                    <c:v>Imports</c:v>
                  </c:pt>
                  <c:pt idx="41">
                    <c:v>Imports</c:v>
                  </c:pt>
                  <c:pt idx="42">
                    <c:v>Imports</c:v>
                  </c:pt>
                  <c:pt idx="43">
                    <c:v>Imports</c:v>
                  </c:pt>
                  <c:pt idx="44">
                    <c:v>Imports</c:v>
                  </c:pt>
                  <c:pt idx="45">
                    <c:v>Imports</c:v>
                  </c:pt>
                  <c:pt idx="46">
                    <c:v>Imports</c:v>
                  </c:pt>
                  <c:pt idx="47">
                    <c:v>Imports</c:v>
                  </c:pt>
                  <c:pt idx="48">
                    <c:v>Imports</c:v>
                  </c:pt>
                  <c:pt idx="49">
                    <c:v>Imports</c:v>
                  </c:pt>
                  <c:pt idx="50">
                    <c:v>Imports</c:v>
                  </c:pt>
                  <c:pt idx="51">
                    <c:v>Imports</c:v>
                  </c:pt>
                  <c:pt idx="52">
                    <c:v>Imports</c:v>
                  </c:pt>
                  <c:pt idx="53">
                    <c:v>Imports</c:v>
                  </c:pt>
                  <c:pt idx="54">
                    <c:v>Imports</c:v>
                  </c:pt>
                  <c:pt idx="55">
                    <c:v>Imports</c:v>
                  </c:pt>
                  <c:pt idx="56">
                    <c:v>Imports</c:v>
                  </c:pt>
                  <c:pt idx="57">
                    <c:v>Imports</c:v>
                  </c:pt>
                  <c:pt idx="58">
                    <c:v>Imports</c:v>
                  </c:pt>
                  <c:pt idx="59">
                    <c:v>Imports</c:v>
                  </c:pt>
                  <c:pt idx="60">
                    <c:v>Imports</c:v>
                  </c:pt>
                  <c:pt idx="61">
                    <c:v>Imports</c:v>
                  </c:pt>
                  <c:pt idx="62">
                    <c:v>Imports</c:v>
                  </c:pt>
                  <c:pt idx="63">
                    <c:v>Imports</c:v>
                  </c:pt>
                  <c:pt idx="64">
                    <c:v>Imports</c:v>
                  </c:pt>
                  <c:pt idx="65">
                    <c:v>Imports</c:v>
                  </c:pt>
                  <c:pt idx="66">
                    <c:v>Imports</c:v>
                  </c:pt>
                  <c:pt idx="67">
                    <c:v>Imports</c:v>
                  </c:pt>
                  <c:pt idx="68">
                    <c:v>Imports</c:v>
                  </c:pt>
                  <c:pt idx="69">
                    <c:v>Imports</c:v>
                  </c:pt>
                  <c:pt idx="70">
                    <c:v>Imports</c:v>
                  </c:pt>
                  <c:pt idx="71">
                    <c:v>Imports</c:v>
                  </c:pt>
                  <c:pt idx="72">
                    <c:v>Imports</c:v>
                  </c:pt>
                  <c:pt idx="73">
                    <c:v>Imports</c:v>
                  </c:pt>
                  <c:pt idx="74">
                    <c:v>Imports</c:v>
                  </c:pt>
                  <c:pt idx="75">
                    <c:v>Imports</c:v>
                  </c:pt>
                  <c:pt idx="76">
                    <c:v>Imports</c:v>
                  </c:pt>
                  <c:pt idx="77">
                    <c:v>Imports</c:v>
                  </c:pt>
                  <c:pt idx="78">
                    <c:v>Imports</c:v>
                  </c:pt>
                  <c:pt idx="79">
                    <c:v>Imports</c:v>
                  </c:pt>
                  <c:pt idx="80">
                    <c:v>Imports</c:v>
                  </c:pt>
                  <c:pt idx="81">
                    <c:v>Imports</c:v>
                  </c:pt>
                  <c:pt idx="82">
                    <c:v>Imports</c:v>
                  </c:pt>
                  <c:pt idx="83">
                    <c:v>Imports</c:v>
                  </c:pt>
                  <c:pt idx="84">
                    <c:v>Imports</c:v>
                  </c:pt>
                  <c:pt idx="85">
                    <c:v>Imports</c:v>
                  </c:pt>
                  <c:pt idx="86">
                    <c:v>Imports</c:v>
                  </c:pt>
                  <c:pt idx="87">
                    <c:v>Imports</c:v>
                  </c:pt>
                  <c:pt idx="88">
                    <c:v>Imports</c:v>
                  </c:pt>
                  <c:pt idx="89">
                    <c:v>Imports</c:v>
                  </c:pt>
                  <c:pt idx="90">
                    <c:v>Imports</c:v>
                  </c:pt>
                  <c:pt idx="91">
                    <c:v>Imports</c:v>
                  </c:pt>
                  <c:pt idx="92">
                    <c:v>Imports</c:v>
                  </c:pt>
                  <c:pt idx="93">
                    <c:v>Imports</c:v>
                  </c:pt>
                  <c:pt idx="94">
                    <c:v>Imports</c:v>
                  </c:pt>
                  <c:pt idx="95">
                    <c:v>Imports</c:v>
                  </c:pt>
                  <c:pt idx="96">
                    <c:v>Imports</c:v>
                  </c:pt>
                  <c:pt idx="97">
                    <c:v>Imports</c:v>
                  </c:pt>
                  <c:pt idx="98">
                    <c:v>Imports</c:v>
                  </c:pt>
                  <c:pt idx="99">
                    <c:v>Imports</c:v>
                  </c:pt>
                  <c:pt idx="100">
                    <c:v>Imports</c:v>
                  </c:pt>
                  <c:pt idx="101">
                    <c:v>Imports</c:v>
                  </c:pt>
                  <c:pt idx="102">
                    <c:v>Imports</c:v>
                  </c:pt>
                  <c:pt idx="103">
                    <c:v>Imports</c:v>
                  </c:pt>
                  <c:pt idx="104">
                    <c:v>Imports</c:v>
                  </c:pt>
                  <c:pt idx="105">
                    <c:v>Imports</c:v>
                  </c:pt>
                  <c:pt idx="106">
                    <c:v>Imports</c:v>
                  </c:pt>
                  <c:pt idx="107">
                    <c:v>Imports</c:v>
                  </c:pt>
                  <c:pt idx="108">
                    <c:v>Imports</c:v>
                  </c:pt>
                  <c:pt idx="109">
                    <c:v>Imports</c:v>
                  </c:pt>
                  <c:pt idx="110">
                    <c:v>Imports</c:v>
                  </c:pt>
                  <c:pt idx="111">
                    <c:v>Imports</c:v>
                  </c:pt>
                  <c:pt idx="112">
                    <c:v>Imports</c:v>
                  </c:pt>
                  <c:pt idx="113">
                    <c:v>Imports</c:v>
                  </c:pt>
                  <c:pt idx="114">
                    <c:v>Imports</c:v>
                  </c:pt>
                  <c:pt idx="115">
                    <c:v>Imports</c:v>
                  </c:pt>
                  <c:pt idx="116">
                    <c:v>Imports</c:v>
                  </c:pt>
                  <c:pt idx="117">
                    <c:v>Imports</c:v>
                  </c:pt>
                  <c:pt idx="118">
                    <c:v>Imports</c:v>
                  </c:pt>
                  <c:pt idx="119">
                    <c:v>Imports</c:v>
                  </c:pt>
                  <c:pt idx="120">
                    <c:v>Imports</c:v>
                  </c:pt>
                  <c:pt idx="121">
                    <c:v>Imports</c:v>
                  </c:pt>
                  <c:pt idx="122">
                    <c:v>Imports</c:v>
                  </c:pt>
                  <c:pt idx="123">
                    <c:v>Imports</c:v>
                  </c:pt>
                  <c:pt idx="124">
                    <c:v>Imports</c:v>
                  </c:pt>
                  <c:pt idx="125">
                    <c:v>Imports</c:v>
                  </c:pt>
                  <c:pt idx="126">
                    <c:v>Imports</c:v>
                  </c:pt>
                  <c:pt idx="127">
                    <c:v>Imports</c:v>
                  </c:pt>
                  <c:pt idx="128">
                    <c:v>Imports</c:v>
                  </c:pt>
                  <c:pt idx="129">
                    <c:v>Imports</c:v>
                  </c:pt>
                  <c:pt idx="130">
                    <c:v>Imports</c:v>
                  </c:pt>
                  <c:pt idx="131">
                    <c:v>Imports</c:v>
                  </c:pt>
                </c:lvl>
                <c:lvl>
                  <c:pt idx="0">
                    <c:v>Imports</c:v>
                  </c:pt>
                  <c:pt idx="1">
                    <c:v>Imports</c:v>
                  </c:pt>
                  <c:pt idx="2">
                    <c:v>Imports</c:v>
                  </c:pt>
                  <c:pt idx="3">
                    <c:v>Imports</c:v>
                  </c:pt>
                  <c:pt idx="4">
                    <c:v>Imports</c:v>
                  </c:pt>
                  <c:pt idx="5">
                    <c:v>Imports</c:v>
                  </c:pt>
                  <c:pt idx="6">
                    <c:v>Imports</c:v>
                  </c:pt>
                  <c:pt idx="7">
                    <c:v>Imports</c:v>
                  </c:pt>
                  <c:pt idx="8">
                    <c:v>Imports</c:v>
                  </c:pt>
                  <c:pt idx="9">
                    <c:v>Imports</c:v>
                  </c:pt>
                  <c:pt idx="10">
                    <c:v>Imports</c:v>
                  </c:pt>
                  <c:pt idx="11">
                    <c:v>Imports</c:v>
                  </c:pt>
                  <c:pt idx="12">
                    <c:v>Imports</c:v>
                  </c:pt>
                  <c:pt idx="13">
                    <c:v>Imports</c:v>
                  </c:pt>
                  <c:pt idx="14">
                    <c:v>Imports</c:v>
                  </c:pt>
                  <c:pt idx="15">
                    <c:v>Imports</c:v>
                  </c:pt>
                  <c:pt idx="16">
                    <c:v>Imports</c:v>
                  </c:pt>
                  <c:pt idx="17">
                    <c:v>Imports</c:v>
                  </c:pt>
                  <c:pt idx="18">
                    <c:v>Imports</c:v>
                  </c:pt>
                  <c:pt idx="19">
                    <c:v>Imports</c:v>
                  </c:pt>
                  <c:pt idx="20">
                    <c:v>Imports</c:v>
                  </c:pt>
                  <c:pt idx="21">
                    <c:v>Imports</c:v>
                  </c:pt>
                  <c:pt idx="22">
                    <c:v>Imports</c:v>
                  </c:pt>
                  <c:pt idx="23">
                    <c:v>Imports</c:v>
                  </c:pt>
                  <c:pt idx="24">
                    <c:v>Imports</c:v>
                  </c:pt>
                  <c:pt idx="25">
                    <c:v>Imports</c:v>
                  </c:pt>
                  <c:pt idx="26">
                    <c:v>Imports</c:v>
                  </c:pt>
                  <c:pt idx="27">
                    <c:v>Imports</c:v>
                  </c:pt>
                  <c:pt idx="28">
                    <c:v>Imports</c:v>
                  </c:pt>
                  <c:pt idx="29">
                    <c:v>Imports</c:v>
                  </c:pt>
                  <c:pt idx="30">
                    <c:v>Imports</c:v>
                  </c:pt>
                  <c:pt idx="31">
                    <c:v>Imports</c:v>
                  </c:pt>
                  <c:pt idx="32">
                    <c:v>Imports</c:v>
                  </c:pt>
                  <c:pt idx="33">
                    <c:v>Imports</c:v>
                  </c:pt>
                  <c:pt idx="34">
                    <c:v>Imports</c:v>
                  </c:pt>
                  <c:pt idx="35">
                    <c:v>Imports</c:v>
                  </c:pt>
                  <c:pt idx="36">
                    <c:v>Imports</c:v>
                  </c:pt>
                  <c:pt idx="37">
                    <c:v>Imports</c:v>
                  </c:pt>
                  <c:pt idx="38">
                    <c:v>Imports</c:v>
                  </c:pt>
                  <c:pt idx="39">
                    <c:v>Imports</c:v>
                  </c:pt>
                  <c:pt idx="40">
                    <c:v>Imports</c:v>
                  </c:pt>
                  <c:pt idx="41">
                    <c:v>Imports</c:v>
                  </c:pt>
                  <c:pt idx="42">
                    <c:v>Imports</c:v>
                  </c:pt>
                  <c:pt idx="43">
                    <c:v>Imports</c:v>
                  </c:pt>
                  <c:pt idx="44">
                    <c:v>Imports</c:v>
                  </c:pt>
                  <c:pt idx="45">
                    <c:v>Imports</c:v>
                  </c:pt>
                  <c:pt idx="46">
                    <c:v>Imports</c:v>
                  </c:pt>
                  <c:pt idx="47">
                    <c:v>Imports</c:v>
                  </c:pt>
                  <c:pt idx="48">
                    <c:v>Imports</c:v>
                  </c:pt>
                  <c:pt idx="49">
                    <c:v>Imports</c:v>
                  </c:pt>
                  <c:pt idx="50">
                    <c:v>Imports</c:v>
                  </c:pt>
                  <c:pt idx="51">
                    <c:v>Imports</c:v>
                  </c:pt>
                  <c:pt idx="52">
                    <c:v>Imports</c:v>
                  </c:pt>
                  <c:pt idx="53">
                    <c:v>Imports</c:v>
                  </c:pt>
                  <c:pt idx="54">
                    <c:v>Imports</c:v>
                  </c:pt>
                  <c:pt idx="55">
                    <c:v>Imports</c:v>
                  </c:pt>
                  <c:pt idx="56">
                    <c:v>Imports</c:v>
                  </c:pt>
                  <c:pt idx="57">
                    <c:v>Imports</c:v>
                  </c:pt>
                  <c:pt idx="58">
                    <c:v>Imports</c:v>
                  </c:pt>
                  <c:pt idx="59">
                    <c:v>Imports</c:v>
                  </c:pt>
                  <c:pt idx="60">
                    <c:v>Imports</c:v>
                  </c:pt>
                  <c:pt idx="61">
                    <c:v>Imports</c:v>
                  </c:pt>
                  <c:pt idx="62">
                    <c:v>Imports</c:v>
                  </c:pt>
                  <c:pt idx="63">
                    <c:v>Imports</c:v>
                  </c:pt>
                  <c:pt idx="64">
                    <c:v>Imports</c:v>
                  </c:pt>
                  <c:pt idx="65">
                    <c:v>Imports</c:v>
                  </c:pt>
                  <c:pt idx="66">
                    <c:v>Imports</c:v>
                  </c:pt>
                  <c:pt idx="67">
                    <c:v>Imports</c:v>
                  </c:pt>
                  <c:pt idx="68">
                    <c:v>Imports</c:v>
                  </c:pt>
                  <c:pt idx="69">
                    <c:v>Imports</c:v>
                  </c:pt>
                  <c:pt idx="70">
                    <c:v>Imports</c:v>
                  </c:pt>
                  <c:pt idx="71">
                    <c:v>Imports</c:v>
                  </c:pt>
                  <c:pt idx="72">
                    <c:v>Imports</c:v>
                  </c:pt>
                  <c:pt idx="73">
                    <c:v>Imports</c:v>
                  </c:pt>
                  <c:pt idx="74">
                    <c:v>Imports</c:v>
                  </c:pt>
                  <c:pt idx="75">
                    <c:v>Imports</c:v>
                  </c:pt>
                  <c:pt idx="76">
                    <c:v>Imports</c:v>
                  </c:pt>
                  <c:pt idx="77">
                    <c:v>Imports</c:v>
                  </c:pt>
                  <c:pt idx="78">
                    <c:v>Imports</c:v>
                  </c:pt>
                  <c:pt idx="79">
                    <c:v>Imports</c:v>
                  </c:pt>
                  <c:pt idx="80">
                    <c:v>Imports</c:v>
                  </c:pt>
                  <c:pt idx="81">
                    <c:v>Imports</c:v>
                  </c:pt>
                  <c:pt idx="82">
                    <c:v>Imports</c:v>
                  </c:pt>
                  <c:pt idx="83">
                    <c:v>Imports</c:v>
                  </c:pt>
                  <c:pt idx="84">
                    <c:v>Imports</c:v>
                  </c:pt>
                  <c:pt idx="85">
                    <c:v>Imports</c:v>
                  </c:pt>
                  <c:pt idx="86">
                    <c:v>Imports</c:v>
                  </c:pt>
                  <c:pt idx="87">
                    <c:v>Imports</c:v>
                  </c:pt>
                  <c:pt idx="88">
                    <c:v>Imports</c:v>
                  </c:pt>
                  <c:pt idx="89">
                    <c:v>Imports</c:v>
                  </c:pt>
                  <c:pt idx="90">
                    <c:v>Imports</c:v>
                  </c:pt>
                  <c:pt idx="91">
                    <c:v>Imports</c:v>
                  </c:pt>
                  <c:pt idx="92">
                    <c:v>Imports</c:v>
                  </c:pt>
                  <c:pt idx="93">
                    <c:v>Imports</c:v>
                  </c:pt>
                  <c:pt idx="94">
                    <c:v>Imports</c:v>
                  </c:pt>
                  <c:pt idx="95">
                    <c:v>Imports</c:v>
                  </c:pt>
                  <c:pt idx="96">
                    <c:v>Imports</c:v>
                  </c:pt>
                  <c:pt idx="97">
                    <c:v>Imports</c:v>
                  </c:pt>
                  <c:pt idx="98">
                    <c:v>Imports</c:v>
                  </c:pt>
                  <c:pt idx="99">
                    <c:v>Imports</c:v>
                  </c:pt>
                  <c:pt idx="100">
                    <c:v>Imports</c:v>
                  </c:pt>
                  <c:pt idx="101">
                    <c:v>Imports</c:v>
                  </c:pt>
                  <c:pt idx="102">
                    <c:v>Imports</c:v>
                  </c:pt>
                  <c:pt idx="103">
                    <c:v>Imports</c:v>
                  </c:pt>
                  <c:pt idx="104">
                    <c:v>Imports</c:v>
                  </c:pt>
                  <c:pt idx="105">
                    <c:v>Imports</c:v>
                  </c:pt>
                  <c:pt idx="106">
                    <c:v>Imports</c:v>
                  </c:pt>
                  <c:pt idx="107">
                    <c:v>Imports</c:v>
                  </c:pt>
                  <c:pt idx="108">
                    <c:v>Imports</c:v>
                  </c:pt>
                  <c:pt idx="109">
                    <c:v>Imports</c:v>
                  </c:pt>
                  <c:pt idx="110">
                    <c:v>Imports</c:v>
                  </c:pt>
                  <c:pt idx="111">
                    <c:v>Imports</c:v>
                  </c:pt>
                  <c:pt idx="112">
                    <c:v>Imports</c:v>
                  </c:pt>
                  <c:pt idx="113">
                    <c:v>Imports</c:v>
                  </c:pt>
                  <c:pt idx="114">
                    <c:v>Imports</c:v>
                  </c:pt>
                  <c:pt idx="115">
                    <c:v>Imports</c:v>
                  </c:pt>
                  <c:pt idx="116">
                    <c:v>Imports</c:v>
                  </c:pt>
                  <c:pt idx="117">
                    <c:v>Imports</c:v>
                  </c:pt>
                  <c:pt idx="118">
                    <c:v>Imports</c:v>
                  </c:pt>
                  <c:pt idx="119">
                    <c:v>Imports</c:v>
                  </c:pt>
                  <c:pt idx="120">
                    <c:v>Imports</c:v>
                  </c:pt>
                  <c:pt idx="121">
                    <c:v>Imports</c:v>
                  </c:pt>
                  <c:pt idx="122">
                    <c:v>Imports</c:v>
                  </c:pt>
                  <c:pt idx="123">
                    <c:v>Imports</c:v>
                  </c:pt>
                  <c:pt idx="124">
                    <c:v>Imports</c:v>
                  </c:pt>
                  <c:pt idx="125">
                    <c:v>Imports</c:v>
                  </c:pt>
                  <c:pt idx="126">
                    <c:v>Imports</c:v>
                  </c:pt>
                  <c:pt idx="127">
                    <c:v>Imports</c:v>
                  </c:pt>
                  <c:pt idx="128">
                    <c:v>Imports</c:v>
                  </c:pt>
                  <c:pt idx="129">
                    <c:v>Imports</c:v>
                  </c:pt>
                  <c:pt idx="130">
                    <c:v>Imports</c:v>
                  </c:pt>
                  <c:pt idx="131">
                    <c:v>Imports</c:v>
                  </c:pt>
                </c:lvl>
              </c:multiLvlStrCache>
            </c:multiLvlStrRef>
          </c:cat>
          <c:val>
            <c:numRef>
              <c:f>'Figure 4b'!$G$2:$G$133</c:f>
              <c:numCache>
                <c:formatCode>0.0</c:formatCode>
                <c:ptCount val="132"/>
                <c:pt idx="0">
                  <c:v>2.0436580181121831</c:v>
                </c:pt>
                <c:pt idx="1">
                  <c:v>1.976094245910645</c:v>
                </c:pt>
                <c:pt idx="2">
                  <c:v>2.032455205917358</c:v>
                </c:pt>
                <c:pt idx="3">
                  <c:v>2.0662534236907959</c:v>
                </c:pt>
                <c:pt idx="4">
                  <c:v>2.000351190567017</c:v>
                </c:pt>
                <c:pt idx="5">
                  <c:v>2.018512487411499</c:v>
                </c:pt>
                <c:pt idx="6">
                  <c:v>2.062768936157227</c:v>
                </c:pt>
                <c:pt idx="7">
                  <c:v>2.0244965553283691</c:v>
                </c:pt>
                <c:pt idx="8">
                  <c:v>2.0386488437652588</c:v>
                </c:pt>
                <c:pt idx="9">
                  <c:v>2.035125732421875</c:v>
                </c:pt>
                <c:pt idx="10">
                  <c:v>1.9999867677688601</c:v>
                </c:pt>
                <c:pt idx="11">
                  <c:v>2.0395631790161128</c:v>
                </c:pt>
                <c:pt idx="12">
                  <c:v>1.9997589588165281</c:v>
                </c:pt>
                <c:pt idx="13">
                  <c:v>2.0334222316741939</c:v>
                </c:pt>
                <c:pt idx="14">
                  <c:v>1.9955306053161621</c:v>
                </c:pt>
                <c:pt idx="15">
                  <c:v>2.0412337779998779</c:v>
                </c:pt>
                <c:pt idx="16">
                  <c:v>2.0044600963592529</c:v>
                </c:pt>
                <c:pt idx="17">
                  <c:v>2.0316450595855708</c:v>
                </c:pt>
                <c:pt idx="18">
                  <c:v>2.0682322978973389</c:v>
                </c:pt>
                <c:pt idx="19">
                  <c:v>2.0274596214294429</c:v>
                </c:pt>
                <c:pt idx="20">
                  <c:v>1.98895251750946</c:v>
                </c:pt>
                <c:pt idx="21">
                  <c:v>2.03044605255127</c:v>
                </c:pt>
                <c:pt idx="22">
                  <c:v>2.006338357925415</c:v>
                </c:pt>
                <c:pt idx="23">
                  <c:v>2.0431869029998779</c:v>
                </c:pt>
                <c:pt idx="24">
                  <c:v>2.04310131072998</c:v>
                </c:pt>
                <c:pt idx="25">
                  <c:v>2.0054531097412109</c:v>
                </c:pt>
                <c:pt idx="26">
                  <c:v>2.0354282855987549</c:v>
                </c:pt>
                <c:pt idx="27">
                  <c:v>2.0200293064117432</c:v>
                </c:pt>
                <c:pt idx="28">
                  <c:v>2.0456409454345699</c:v>
                </c:pt>
                <c:pt idx="29">
                  <c:v>2.0608844757080078</c:v>
                </c:pt>
                <c:pt idx="30">
                  <c:v>2.0451393127441411</c:v>
                </c:pt>
                <c:pt idx="31">
                  <c:v>1.991178512573242</c:v>
                </c:pt>
                <c:pt idx="32">
                  <c:v>2.0502290725708008</c:v>
                </c:pt>
                <c:pt idx="33">
                  <c:v>2.0018312931060791</c:v>
                </c:pt>
                <c:pt idx="34">
                  <c:v>1.9908925294876101</c:v>
                </c:pt>
                <c:pt idx="35">
                  <c:v>2.0731978416442871</c:v>
                </c:pt>
                <c:pt idx="36">
                  <c:v>2.0225014686584468</c:v>
                </c:pt>
                <c:pt idx="37">
                  <c:v>2.0192232131958008</c:v>
                </c:pt>
                <c:pt idx="38">
                  <c:v>2.0581526756286621</c:v>
                </c:pt>
                <c:pt idx="39">
                  <c:v>2.0220711231231689</c:v>
                </c:pt>
                <c:pt idx="40">
                  <c:v>2.0362472534179692</c:v>
                </c:pt>
                <c:pt idx="41">
                  <c:v>2.0550801753997798</c:v>
                </c:pt>
                <c:pt idx="42">
                  <c:v>2.0624656677246089</c:v>
                </c:pt>
                <c:pt idx="43">
                  <c:v>2.0808606147766109</c:v>
                </c:pt>
                <c:pt idx="44">
                  <c:v>2.0443136692047119</c:v>
                </c:pt>
                <c:pt idx="45">
                  <c:v>2.0602958202362061</c:v>
                </c:pt>
                <c:pt idx="46">
                  <c:v>2.124926090240479</c:v>
                </c:pt>
                <c:pt idx="47">
                  <c:v>2.082304954528809</c:v>
                </c:pt>
                <c:pt idx="48">
                  <c:v>2.077694177627563</c:v>
                </c:pt>
                <c:pt idx="49">
                  <c:v>2.1302893161773682</c:v>
                </c:pt>
                <c:pt idx="50">
                  <c:v>2.11378026008606</c:v>
                </c:pt>
                <c:pt idx="51">
                  <c:v>2.1182267665863042</c:v>
                </c:pt>
                <c:pt idx="52">
                  <c:v>2.084348201751709</c:v>
                </c:pt>
                <c:pt idx="53">
                  <c:v>2.1011984348297119</c:v>
                </c:pt>
                <c:pt idx="54">
                  <c:v>2.1052341461181641</c:v>
                </c:pt>
                <c:pt idx="55">
                  <c:v>2.0766665935516362</c:v>
                </c:pt>
                <c:pt idx="56">
                  <c:v>2.091047048568726</c:v>
                </c:pt>
                <c:pt idx="57">
                  <c:v>2.1577961444854741</c:v>
                </c:pt>
                <c:pt idx="58">
                  <c:v>2.089206457138062</c:v>
                </c:pt>
                <c:pt idx="59">
                  <c:v>2.0429456233978271</c:v>
                </c:pt>
                <c:pt idx="60">
                  <c:v>2.1331489086151119</c:v>
                </c:pt>
                <c:pt idx="61">
                  <c:v>2.1155846118927002</c:v>
                </c:pt>
                <c:pt idx="62">
                  <c:v>2.0673375129699711</c:v>
                </c:pt>
                <c:pt idx="63">
                  <c:v>2.1329293251037602</c:v>
                </c:pt>
                <c:pt idx="64">
                  <c:v>2.1121551990509029</c:v>
                </c:pt>
                <c:pt idx="65">
                  <c:v>2.141477108001709</c:v>
                </c:pt>
                <c:pt idx="66">
                  <c:v>2.1068305969238281</c:v>
                </c:pt>
                <c:pt idx="67">
                  <c:v>2.1293811798095699</c:v>
                </c:pt>
                <c:pt idx="68">
                  <c:v>2.1033768653869629</c:v>
                </c:pt>
                <c:pt idx="69">
                  <c:v>2.1048038005828862</c:v>
                </c:pt>
                <c:pt idx="70">
                  <c:v>2.104533433914185</c:v>
                </c:pt>
                <c:pt idx="71">
                  <c:v>2.0757920742034912</c:v>
                </c:pt>
                <c:pt idx="72">
                  <c:v>2.1152768135070801</c:v>
                </c:pt>
                <c:pt idx="73">
                  <c:v>2.1472818851470952</c:v>
                </c:pt>
                <c:pt idx="74">
                  <c:v>2.1074528694152832</c:v>
                </c:pt>
                <c:pt idx="75">
                  <c:v>2.1275720596313481</c:v>
                </c:pt>
                <c:pt idx="76">
                  <c:v>2.165630578994751</c:v>
                </c:pt>
                <c:pt idx="77">
                  <c:v>2.092751026153564</c:v>
                </c:pt>
                <c:pt idx="78">
                  <c:v>2.1298222541809082</c:v>
                </c:pt>
                <c:pt idx="79">
                  <c:v>2.131868839263916</c:v>
                </c:pt>
                <c:pt idx="80">
                  <c:v>2.126705408096313</c:v>
                </c:pt>
                <c:pt idx="81">
                  <c:v>2.1380529403686519</c:v>
                </c:pt>
                <c:pt idx="82">
                  <c:v>2.1242563724517818</c:v>
                </c:pt>
                <c:pt idx="83">
                  <c:v>2.1372580528259282</c:v>
                </c:pt>
                <c:pt idx="84">
                  <c:v>2.1527779102325439</c:v>
                </c:pt>
                <c:pt idx="85">
                  <c:v>2.177886009216309</c:v>
                </c:pt>
                <c:pt idx="86">
                  <c:v>2.1538257598876949</c:v>
                </c:pt>
                <c:pt idx="87">
                  <c:v>2.1142632961273189</c:v>
                </c:pt>
                <c:pt idx="88">
                  <c:v>2.1172993183135991</c:v>
                </c:pt>
                <c:pt idx="89">
                  <c:v>2.0992717742919922</c:v>
                </c:pt>
                <c:pt idx="90">
                  <c:v>2.0590999126434331</c:v>
                </c:pt>
                <c:pt idx="91">
                  <c:v>2.0699598789215088</c:v>
                </c:pt>
                <c:pt idx="92">
                  <c:v>2.133118629455566</c:v>
                </c:pt>
                <c:pt idx="93">
                  <c:v>2.1210260391235352</c:v>
                </c:pt>
                <c:pt idx="94">
                  <c:v>2.1313948631286621</c:v>
                </c:pt>
                <c:pt idx="95">
                  <c:v>2.161946296691895</c:v>
                </c:pt>
                <c:pt idx="96">
                  <c:v>2.0271511077880859</c:v>
                </c:pt>
                <c:pt idx="97">
                  <c:v>2.007683277130127</c:v>
                </c:pt>
                <c:pt idx="98">
                  <c:v>2.0342690944671631</c:v>
                </c:pt>
                <c:pt idx="99">
                  <c:v>2.037769079208374</c:v>
                </c:pt>
                <c:pt idx="100">
                  <c:v>2.0760147571563721</c:v>
                </c:pt>
                <c:pt idx="101">
                  <c:v>2.0133485794067378</c:v>
                </c:pt>
                <c:pt idx="102">
                  <c:v>2.0243780612945561</c:v>
                </c:pt>
                <c:pt idx="103">
                  <c:v>2.0902888774871831</c:v>
                </c:pt>
                <c:pt idx="104">
                  <c:v>2.0035676956176758</c:v>
                </c:pt>
                <c:pt idx="105">
                  <c:v>1.968753457069397</c:v>
                </c:pt>
                <c:pt idx="106">
                  <c:v>2.0567986965179439</c:v>
                </c:pt>
                <c:pt idx="107">
                  <c:v>2.0143239498138432</c:v>
                </c:pt>
                <c:pt idx="120">
                  <c:v>2.0577454566955571</c:v>
                </c:pt>
                <c:pt idx="121">
                  <c:v>2.0616617202758789</c:v>
                </c:pt>
                <c:pt idx="122">
                  <c:v>2.0779597759246831</c:v>
                </c:pt>
                <c:pt idx="123">
                  <c:v>1.997296810150146</c:v>
                </c:pt>
                <c:pt idx="124">
                  <c:v>2.0367870330810551</c:v>
                </c:pt>
                <c:pt idx="125">
                  <c:v>2.065879344940186</c:v>
                </c:pt>
                <c:pt idx="126">
                  <c:v>2.0170125961303711</c:v>
                </c:pt>
                <c:pt idx="127">
                  <c:v>2.059558629989624</c:v>
                </c:pt>
                <c:pt idx="128">
                  <c:v>2.1022803783416748</c:v>
                </c:pt>
                <c:pt idx="129">
                  <c:v>2.064411878585815</c:v>
                </c:pt>
                <c:pt idx="130">
                  <c:v>2.0542976856231689</c:v>
                </c:pt>
                <c:pt idx="131">
                  <c:v>2.0120115280151372</c:v>
                </c:pt>
              </c:numCache>
            </c:numRef>
          </c:val>
          <c:smooth val="0"/>
          <c:extLst>
            <c:ext xmlns:c16="http://schemas.microsoft.com/office/drawing/2014/chart" uri="{C3380CC4-5D6E-409C-BE32-E72D297353CC}">
              <c16:uniqueId val="{00000003-B1F0-4F1F-8429-144EDBB6DE3A}"/>
            </c:ext>
          </c:extLst>
        </c:ser>
        <c:dLbls>
          <c:showLegendKey val="0"/>
          <c:showVal val="0"/>
          <c:showCatName val="0"/>
          <c:showSerName val="0"/>
          <c:showPercent val="0"/>
          <c:showBubbleSize val="0"/>
        </c:dLbls>
        <c:marker val="1"/>
        <c:smooth val="0"/>
        <c:axId val="27958747"/>
        <c:axId val="27643977"/>
      </c:lineChart>
      <c:lineChart>
        <c:grouping val="standard"/>
        <c:varyColors val="0"/>
        <c:ser>
          <c:idx val="2"/>
          <c:order val="1"/>
          <c:tx>
            <c:strRef>
              <c:f>'Figure 4b'!$H$1</c:f>
              <c:strCache>
                <c:ptCount val="1"/>
                <c:pt idx="0">
                  <c:v>Share wrt total number of trade partners</c:v>
                </c:pt>
              </c:strCache>
            </c:strRef>
          </c:tx>
          <c:spPr>
            <a:ln w="12700" cap="rnd" cmpd="sng">
              <a:solidFill>
                <a:srgbClr val="FF0000"/>
              </a:solidFill>
              <a:prstDash val="dash"/>
              <a:round/>
            </a:ln>
            <a:effectLst/>
          </c:spPr>
          <c:marker>
            <c:symbol val="none"/>
          </c:marker>
          <c:cat>
            <c:numRef>
              <c:f>'Figure 4b'!$D$2:$D$133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4b'!$H$2:$H$133</c:f>
              <c:numCache>
                <c:formatCode>0</c:formatCode>
                <c:ptCount val="132"/>
                <c:pt idx="0">
                  <c:v>48.792823791503913</c:v>
                </c:pt>
                <c:pt idx="1">
                  <c:v>48.406009674072273</c:v>
                </c:pt>
                <c:pt idx="2">
                  <c:v>48.614131927490227</c:v>
                </c:pt>
                <c:pt idx="3">
                  <c:v>48.162830352783203</c:v>
                </c:pt>
                <c:pt idx="4">
                  <c:v>48.466171264648438</c:v>
                </c:pt>
                <c:pt idx="5">
                  <c:v>48.444416046142578</c:v>
                </c:pt>
                <c:pt idx="6">
                  <c:v>49.539165496826172</c:v>
                </c:pt>
                <c:pt idx="7">
                  <c:v>48.919303894042969</c:v>
                </c:pt>
                <c:pt idx="8">
                  <c:v>49.005931854248047</c:v>
                </c:pt>
                <c:pt idx="9">
                  <c:v>48.5364990234375</c:v>
                </c:pt>
                <c:pt idx="10">
                  <c:v>47.751445770263672</c:v>
                </c:pt>
                <c:pt idx="11">
                  <c:v>47.680473327636719</c:v>
                </c:pt>
                <c:pt idx="12">
                  <c:v>49.300174713134773</c:v>
                </c:pt>
                <c:pt idx="13">
                  <c:v>49.703590393066413</c:v>
                </c:pt>
                <c:pt idx="14">
                  <c:v>48.93377685546875</c:v>
                </c:pt>
                <c:pt idx="15">
                  <c:v>48.292938232421882</c:v>
                </c:pt>
                <c:pt idx="16">
                  <c:v>48.072078704833977</c:v>
                </c:pt>
                <c:pt idx="17">
                  <c:v>49.147869110107422</c:v>
                </c:pt>
                <c:pt idx="18">
                  <c:v>49.483200073242188</c:v>
                </c:pt>
                <c:pt idx="19">
                  <c:v>48.714542388916023</c:v>
                </c:pt>
                <c:pt idx="20">
                  <c:v>48.530174255371087</c:v>
                </c:pt>
                <c:pt idx="21">
                  <c:v>49.799388885498047</c:v>
                </c:pt>
                <c:pt idx="22">
                  <c:v>48.380977630615227</c:v>
                </c:pt>
                <c:pt idx="23">
                  <c:v>47.600070953369141</c:v>
                </c:pt>
                <c:pt idx="24">
                  <c:v>49.714920043945313</c:v>
                </c:pt>
                <c:pt idx="25">
                  <c:v>48.912456512451172</c:v>
                </c:pt>
                <c:pt idx="26">
                  <c:v>49.170326232910163</c:v>
                </c:pt>
                <c:pt idx="27">
                  <c:v>47.550392150878913</c:v>
                </c:pt>
                <c:pt idx="28">
                  <c:v>48.566558837890632</c:v>
                </c:pt>
                <c:pt idx="29">
                  <c:v>49.427665710449219</c:v>
                </c:pt>
                <c:pt idx="30">
                  <c:v>49.859672546386719</c:v>
                </c:pt>
                <c:pt idx="31">
                  <c:v>49.148933410644531</c:v>
                </c:pt>
                <c:pt idx="32">
                  <c:v>50.102432250976563</c:v>
                </c:pt>
                <c:pt idx="33">
                  <c:v>49.650840759277337</c:v>
                </c:pt>
                <c:pt idx="34">
                  <c:v>49.033668518066413</c:v>
                </c:pt>
                <c:pt idx="35">
                  <c:v>49.310504913330078</c:v>
                </c:pt>
                <c:pt idx="36">
                  <c:v>50.78619384765625</c:v>
                </c:pt>
                <c:pt idx="37">
                  <c:v>49.662128448486328</c:v>
                </c:pt>
                <c:pt idx="38">
                  <c:v>49.998508453369141</c:v>
                </c:pt>
                <c:pt idx="39">
                  <c:v>48.746082305908203</c:v>
                </c:pt>
                <c:pt idx="40">
                  <c:v>49.172557830810547</c:v>
                </c:pt>
                <c:pt idx="41">
                  <c:v>49.568500518798828</c:v>
                </c:pt>
                <c:pt idx="42">
                  <c:v>50.230384826660163</c:v>
                </c:pt>
                <c:pt idx="43">
                  <c:v>49.888301849365227</c:v>
                </c:pt>
                <c:pt idx="44">
                  <c:v>50.194561004638672</c:v>
                </c:pt>
                <c:pt idx="45">
                  <c:v>49.842464447021477</c:v>
                </c:pt>
                <c:pt idx="46">
                  <c:v>49.494194030761719</c:v>
                </c:pt>
                <c:pt idx="47">
                  <c:v>49.36236572265625</c:v>
                </c:pt>
                <c:pt idx="48">
                  <c:v>50.159999847412109</c:v>
                </c:pt>
                <c:pt idx="49">
                  <c:v>50.876968383789063</c:v>
                </c:pt>
                <c:pt idx="50">
                  <c:v>50.092220306396477</c:v>
                </c:pt>
                <c:pt idx="51">
                  <c:v>49.505058288574219</c:v>
                </c:pt>
                <c:pt idx="52">
                  <c:v>50.170162200927727</c:v>
                </c:pt>
                <c:pt idx="53">
                  <c:v>49.853164672851563</c:v>
                </c:pt>
                <c:pt idx="54">
                  <c:v>50.816753387451172</c:v>
                </c:pt>
                <c:pt idx="55">
                  <c:v>50.304218292236328</c:v>
                </c:pt>
                <c:pt idx="56">
                  <c:v>50.669795989990227</c:v>
                </c:pt>
                <c:pt idx="57">
                  <c:v>51.423316955566413</c:v>
                </c:pt>
                <c:pt idx="58">
                  <c:v>50.090385437011719</c:v>
                </c:pt>
                <c:pt idx="59">
                  <c:v>49.379867553710938</c:v>
                </c:pt>
                <c:pt idx="60">
                  <c:v>50.842613220214837</c:v>
                </c:pt>
                <c:pt idx="61">
                  <c:v>50.65277099609375</c:v>
                </c:pt>
                <c:pt idx="62">
                  <c:v>50.537574768066413</c:v>
                </c:pt>
                <c:pt idx="63">
                  <c:v>50.013767242431641</c:v>
                </c:pt>
                <c:pt idx="64">
                  <c:v>49.56561279296875</c:v>
                </c:pt>
                <c:pt idx="65">
                  <c:v>51.294914245605469</c:v>
                </c:pt>
                <c:pt idx="66">
                  <c:v>50.508861541748047</c:v>
                </c:pt>
                <c:pt idx="67">
                  <c:v>51.274627685546882</c:v>
                </c:pt>
                <c:pt idx="68">
                  <c:v>50.715366363525391</c:v>
                </c:pt>
                <c:pt idx="69">
                  <c:v>50.693008422851563</c:v>
                </c:pt>
                <c:pt idx="70">
                  <c:v>50.188377380371087</c:v>
                </c:pt>
                <c:pt idx="71">
                  <c:v>50.371719360351563</c:v>
                </c:pt>
                <c:pt idx="72">
                  <c:v>51.017753601074219</c:v>
                </c:pt>
                <c:pt idx="73">
                  <c:v>50.76806640625</c:v>
                </c:pt>
                <c:pt idx="74">
                  <c:v>50.431575775146477</c:v>
                </c:pt>
                <c:pt idx="75">
                  <c:v>49.311550140380859</c:v>
                </c:pt>
                <c:pt idx="76">
                  <c:v>51.272502899169922</c:v>
                </c:pt>
                <c:pt idx="77">
                  <c:v>50.796695709228523</c:v>
                </c:pt>
                <c:pt idx="78">
                  <c:v>50.605640411376953</c:v>
                </c:pt>
                <c:pt idx="79">
                  <c:v>51.284912109375</c:v>
                </c:pt>
                <c:pt idx="80">
                  <c:v>51.335617065429688</c:v>
                </c:pt>
                <c:pt idx="81">
                  <c:v>51.422027587890632</c:v>
                </c:pt>
                <c:pt idx="82">
                  <c:v>50.400356292724609</c:v>
                </c:pt>
                <c:pt idx="83">
                  <c:v>50.738746643066413</c:v>
                </c:pt>
                <c:pt idx="84">
                  <c:v>52.161006927490227</c:v>
                </c:pt>
                <c:pt idx="85">
                  <c:v>51.386016845703132</c:v>
                </c:pt>
                <c:pt idx="86">
                  <c:v>51.052913665771477</c:v>
                </c:pt>
                <c:pt idx="87">
                  <c:v>50.32403564453125</c:v>
                </c:pt>
                <c:pt idx="88">
                  <c:v>53.239826202392578</c:v>
                </c:pt>
                <c:pt idx="89">
                  <c:v>53.475681304931641</c:v>
                </c:pt>
                <c:pt idx="90">
                  <c:v>53.068626403808587</c:v>
                </c:pt>
                <c:pt idx="91">
                  <c:v>53.046653747558587</c:v>
                </c:pt>
                <c:pt idx="92">
                  <c:v>53.002887725830078</c:v>
                </c:pt>
                <c:pt idx="93">
                  <c:v>52.793888092041023</c:v>
                </c:pt>
                <c:pt idx="94">
                  <c:v>51.765876770019531</c:v>
                </c:pt>
                <c:pt idx="95">
                  <c:v>52.060497283935547</c:v>
                </c:pt>
                <c:pt idx="96">
                  <c:v>52.988834381103523</c:v>
                </c:pt>
                <c:pt idx="97">
                  <c:v>51.748626708984382</c:v>
                </c:pt>
                <c:pt idx="98">
                  <c:v>51.612529754638672</c:v>
                </c:pt>
                <c:pt idx="99">
                  <c:v>50.986019134521477</c:v>
                </c:pt>
                <c:pt idx="100">
                  <c:v>52.616695404052727</c:v>
                </c:pt>
                <c:pt idx="101">
                  <c:v>51.764450073242188</c:v>
                </c:pt>
                <c:pt idx="102">
                  <c:v>52.292087554931641</c:v>
                </c:pt>
                <c:pt idx="103">
                  <c:v>52.886409759521477</c:v>
                </c:pt>
                <c:pt idx="104">
                  <c:v>51.787357330322273</c:v>
                </c:pt>
                <c:pt idx="105">
                  <c:v>52.143608093261719</c:v>
                </c:pt>
                <c:pt idx="106">
                  <c:v>51.638240814208977</c:v>
                </c:pt>
                <c:pt idx="107">
                  <c:v>50.998916625976563</c:v>
                </c:pt>
                <c:pt idx="120">
                  <c:v>53.571136474609382</c:v>
                </c:pt>
                <c:pt idx="121">
                  <c:v>52.619606018066413</c:v>
                </c:pt>
                <c:pt idx="122">
                  <c:v>52.531436920166023</c:v>
                </c:pt>
                <c:pt idx="123">
                  <c:v>51.668148040771477</c:v>
                </c:pt>
                <c:pt idx="124">
                  <c:v>52.135456085205078</c:v>
                </c:pt>
                <c:pt idx="125">
                  <c:v>52.839321136474609</c:v>
                </c:pt>
                <c:pt idx="126">
                  <c:v>52.635429382324219</c:v>
                </c:pt>
                <c:pt idx="127">
                  <c:v>52.609210968017578</c:v>
                </c:pt>
                <c:pt idx="128">
                  <c:v>53.589702606201172</c:v>
                </c:pt>
                <c:pt idx="129">
                  <c:v>53.252971649169922</c:v>
                </c:pt>
                <c:pt idx="130">
                  <c:v>52.384513854980469</c:v>
                </c:pt>
                <c:pt idx="131">
                  <c:v>52.437679290771477</c:v>
                </c:pt>
              </c:numCache>
            </c:numRef>
          </c:val>
          <c:smooth val="0"/>
          <c:extLst>
            <c:ext xmlns:c16="http://schemas.microsoft.com/office/drawing/2014/chart" uri="{C3380CC4-5D6E-409C-BE32-E72D297353CC}">
              <c16:uniqueId val="{00000004-B1F0-4F1F-8429-144EDBB6DE3A}"/>
            </c:ext>
          </c:extLst>
        </c:ser>
        <c:dLbls>
          <c:showLegendKey val="0"/>
          <c:showVal val="0"/>
          <c:showCatName val="0"/>
          <c:showSerName val="0"/>
          <c:showPercent val="0"/>
          <c:showBubbleSize val="0"/>
        </c:dLbls>
        <c:marker val="1"/>
        <c:smooth val="0"/>
        <c:axId val="56598660"/>
        <c:axId val="54252063"/>
      </c:lineChart>
      <c:catAx>
        <c:axId val="27958747"/>
        <c:scaling>
          <c:orientation val="minMax"/>
        </c:scaling>
        <c:delete val="0"/>
        <c:axPos val="b"/>
        <c:numFmt formatCode="General"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643977"/>
        <c:crosses val="autoZero"/>
        <c:auto val="1"/>
        <c:lblAlgn val="ctr"/>
        <c:lblOffset val="100"/>
        <c:noMultiLvlLbl val="1"/>
      </c:catAx>
      <c:valAx>
        <c:axId val="27643977"/>
        <c:scaling>
          <c:orientation val="minMax"/>
          <c:max val="3.2"/>
          <c:min val="1.85"/>
        </c:scaling>
        <c:delete val="0"/>
        <c:axPos val="l"/>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mn-lt"/>
                    <a:ea typeface="+mn-ea"/>
                    <a:cs typeface="+mn-cs"/>
                  </a:defRPr>
                </a:pPr>
                <a:r>
                  <a:rPr lang="en-US"/>
                  <a:t>Number of trade partners</a:t>
                </a:r>
              </a:p>
            </c:rich>
          </c:tx>
          <c:overlay val="0"/>
          <c:spPr>
            <a:noFill/>
            <a:ln w="12700">
              <a:noFill/>
            </a:ln>
            <a:effectLst/>
          </c:spPr>
        </c:title>
        <c:numFmt formatCode="0.0" sourceLinked="0"/>
        <c:majorTickMark val="none"/>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7958747"/>
        <c:crosses val="autoZero"/>
        <c:crossBetween val="between"/>
      </c:valAx>
      <c:dateAx>
        <c:axId val="56598660"/>
        <c:scaling>
          <c:orientation val="minMax"/>
        </c:scaling>
        <c:delete val="1"/>
        <c:axPos val="b"/>
        <c:numFmt formatCode="m/d/yyyy" sourceLinked="1"/>
        <c:majorTickMark val="out"/>
        <c:minorTickMark val="none"/>
        <c:tickLblPos val="nextTo"/>
        <c:crossAx val="54252063"/>
        <c:crosses val="autoZero"/>
        <c:auto val="1"/>
        <c:lblOffset val="100"/>
        <c:baseTimeUnit val="months"/>
      </c:dateAx>
      <c:valAx>
        <c:axId val="54252063"/>
        <c:scaling>
          <c:orientation val="minMax"/>
          <c:max val="54"/>
        </c:scaling>
        <c:delete val="0"/>
        <c:axPos val="r"/>
        <c:numFmt formatCode="General" sourceLinked="1"/>
        <c:majorTickMark val="out"/>
        <c:minorTickMark val="none"/>
        <c:tickLblPos val="nextTo"/>
        <c:spPr>
          <a:noFill/>
          <a:ln w="12700">
            <a:noFill/>
          </a:ln>
          <a:effectLst/>
        </c:spPr>
        <c:txPr>
          <a:bodyPr wrap="square"/>
          <a:lstStyle/>
          <a:p>
            <a:pPr>
              <a:defRPr lang="en-US" sz="900" b="0" i="0" u="none" kern="1200" baseline="0">
                <a:solidFill>
                  <a:schemeClr val="bg1"/>
                </a:solidFill>
                <a:latin typeface="+mn-lt"/>
                <a:ea typeface="+mn-ea"/>
                <a:cs typeface="+mn-cs"/>
              </a:defRPr>
            </a:pPr>
            <a:endParaRPr lang="en-US"/>
          </a:p>
        </c:txPr>
        <c:crossAx val="56598660"/>
        <c:crosses val="max"/>
        <c:crossBetween val="between"/>
        <c:majorUnit val="2"/>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Exports</a:t>
            </a:r>
          </a:p>
        </c:rich>
      </c:tx>
      <c:overlay val="0"/>
      <c:spPr>
        <a:noFill/>
        <a:ln w="12700">
          <a:noFill/>
        </a:ln>
        <a:effectLst/>
      </c:spPr>
    </c:title>
    <c:autoTitleDeleted val="0"/>
    <c:plotArea>
      <c:layout/>
      <c:barChart>
        <c:barDir val="col"/>
        <c:grouping val="clustered"/>
        <c:varyColors val="0"/>
        <c:ser>
          <c:idx val="0"/>
          <c:order val="2"/>
          <c:spPr>
            <a:solidFill>
              <a:srgbClr val="000000"/>
            </a:solidFill>
            <a:ln w="12700">
              <a:noFill/>
            </a:ln>
            <a:effectLst/>
          </c:spPr>
          <c:invertIfNegative val="0"/>
          <c:cat>
            <c:numRef>
              <c:f>'Figure 4b'!$D$134:$D$265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4b'!$I$122:$I$265</c:f>
              <c:numCache>
                <c:formatCode>General</c:formatCode>
                <c:ptCount val="144"/>
                <c:pt idx="60" formatCode="0">
                  <c:v>54</c:v>
                </c:pt>
              </c:numCache>
            </c:numRef>
          </c:val>
          <c:extLst>
            <c:ext xmlns:c16="http://schemas.microsoft.com/office/drawing/2014/chart" uri="{C3380CC4-5D6E-409C-BE32-E72D297353CC}">
              <c16:uniqueId val="{00000000-17A2-4E32-863F-D8DD709CB351}"/>
            </c:ext>
          </c:extLst>
        </c:ser>
        <c:dLbls>
          <c:showLegendKey val="0"/>
          <c:showVal val="0"/>
          <c:showCatName val="0"/>
          <c:showSerName val="0"/>
          <c:showPercent val="0"/>
          <c:showBubbleSize val="0"/>
        </c:dLbls>
        <c:gapWidth val="150"/>
        <c:axId val="64220153"/>
        <c:axId val="55339386"/>
      </c:barChart>
      <c:lineChart>
        <c:grouping val="standard"/>
        <c:varyColors val="0"/>
        <c:ser>
          <c:idx val="1"/>
          <c:order val="0"/>
          <c:tx>
            <c:strRef>
              <c:f>'Figure 4b'!$G$1</c:f>
              <c:strCache>
                <c:ptCount val="1"/>
                <c:pt idx="0">
                  <c:v>Trade partners (left) </c:v>
                </c:pt>
              </c:strCache>
            </c:strRef>
          </c:tx>
          <c:spPr>
            <a:ln w="12700" cap="rnd" cmpd="sng">
              <a:solidFill>
                <a:srgbClr val="0070C0"/>
              </a:solidFill>
              <a:round/>
            </a:ln>
            <a:effectLst/>
          </c:spPr>
          <c:marker>
            <c:symbol val="none"/>
          </c:marker>
          <c:cat>
            <c:multiLvlStrRef>
              <c:f>'Figure 4b'!$A$134:$E$265</c:f>
              <c:multiLvlStrCache>
                <c:ptCount val="132"/>
                <c:lvl>
                  <c:pt idx="0">
                    <c:v>2013</c:v>
                  </c:pt>
                  <c:pt idx="1">
                    <c:v>2013</c:v>
                  </c:pt>
                  <c:pt idx="2">
                    <c:v>2013</c:v>
                  </c:pt>
                  <c:pt idx="3">
                    <c:v>2013</c:v>
                  </c:pt>
                  <c:pt idx="4">
                    <c:v>2013</c:v>
                  </c:pt>
                  <c:pt idx="5">
                    <c:v>2013</c:v>
                  </c:pt>
                  <c:pt idx="6">
                    <c:v>2013</c:v>
                  </c:pt>
                  <c:pt idx="7">
                    <c:v>2013</c:v>
                  </c:pt>
                  <c:pt idx="8">
                    <c:v>2013</c:v>
                  </c:pt>
                  <c:pt idx="9">
                    <c:v>2013</c:v>
                  </c:pt>
                  <c:pt idx="10">
                    <c:v>2013</c:v>
                  </c:pt>
                  <c:pt idx="11">
                    <c:v>2013</c:v>
                  </c:pt>
                  <c:pt idx="12">
                    <c:v>2014</c:v>
                  </c:pt>
                  <c:pt idx="13">
                    <c:v>2014</c:v>
                  </c:pt>
                  <c:pt idx="14">
                    <c:v>2014</c:v>
                  </c:pt>
                  <c:pt idx="15">
                    <c:v>2014</c:v>
                  </c:pt>
                  <c:pt idx="16">
                    <c:v>2014</c:v>
                  </c:pt>
                  <c:pt idx="17">
                    <c:v>2014</c:v>
                  </c:pt>
                  <c:pt idx="18">
                    <c:v>2014</c:v>
                  </c:pt>
                  <c:pt idx="19">
                    <c:v>2014</c:v>
                  </c:pt>
                  <c:pt idx="20">
                    <c:v>2014</c:v>
                  </c:pt>
                  <c:pt idx="21">
                    <c:v>2014</c:v>
                  </c:pt>
                  <c:pt idx="22">
                    <c:v>2014</c:v>
                  </c:pt>
                  <c:pt idx="23">
                    <c:v>2014</c:v>
                  </c:pt>
                  <c:pt idx="24">
                    <c:v>2015</c:v>
                  </c:pt>
                  <c:pt idx="25">
                    <c:v>2015</c:v>
                  </c:pt>
                  <c:pt idx="26">
                    <c:v>2015</c:v>
                  </c:pt>
                  <c:pt idx="27">
                    <c:v>2015</c:v>
                  </c:pt>
                  <c:pt idx="28">
                    <c:v>2015</c:v>
                  </c:pt>
                  <c:pt idx="29">
                    <c:v>2015</c:v>
                  </c:pt>
                  <c:pt idx="30">
                    <c:v>2015</c:v>
                  </c:pt>
                  <c:pt idx="31">
                    <c:v>2015</c:v>
                  </c:pt>
                  <c:pt idx="32">
                    <c:v>2015</c:v>
                  </c:pt>
                  <c:pt idx="33">
                    <c:v>2015</c:v>
                  </c:pt>
                  <c:pt idx="34">
                    <c:v>2015</c:v>
                  </c:pt>
                  <c:pt idx="35">
                    <c:v>2015</c:v>
                  </c:pt>
                  <c:pt idx="36">
                    <c:v>2016</c:v>
                  </c:pt>
                  <c:pt idx="37">
                    <c:v>2016</c:v>
                  </c:pt>
                  <c:pt idx="38">
                    <c:v>2016</c:v>
                  </c:pt>
                  <c:pt idx="39">
                    <c:v>2016</c:v>
                  </c:pt>
                  <c:pt idx="40">
                    <c:v>2016</c:v>
                  </c:pt>
                  <c:pt idx="41">
                    <c:v>2016</c:v>
                  </c:pt>
                  <c:pt idx="42">
                    <c:v>2016</c:v>
                  </c:pt>
                  <c:pt idx="43">
                    <c:v>2016</c:v>
                  </c:pt>
                  <c:pt idx="44">
                    <c:v>2016</c:v>
                  </c:pt>
                  <c:pt idx="45">
                    <c:v>2016</c:v>
                  </c:pt>
                  <c:pt idx="46">
                    <c:v>2016</c:v>
                  </c:pt>
                  <c:pt idx="47">
                    <c:v>2016</c:v>
                  </c:pt>
                  <c:pt idx="48">
                    <c:v>2017</c:v>
                  </c:pt>
                  <c:pt idx="49">
                    <c:v>2017</c:v>
                  </c:pt>
                  <c:pt idx="50">
                    <c:v>2017</c:v>
                  </c:pt>
                  <c:pt idx="51">
                    <c:v>2017</c:v>
                  </c:pt>
                  <c:pt idx="52">
                    <c:v>2017</c:v>
                  </c:pt>
                  <c:pt idx="53">
                    <c:v>2017</c:v>
                  </c:pt>
                  <c:pt idx="54">
                    <c:v>2017</c:v>
                  </c:pt>
                  <c:pt idx="55">
                    <c:v>2017</c:v>
                  </c:pt>
                  <c:pt idx="56">
                    <c:v>2017</c:v>
                  </c:pt>
                  <c:pt idx="57">
                    <c:v>2017</c:v>
                  </c:pt>
                  <c:pt idx="58">
                    <c:v>2017</c:v>
                  </c:pt>
                  <c:pt idx="59">
                    <c:v>2017</c:v>
                  </c:pt>
                  <c:pt idx="60">
                    <c:v>2018</c:v>
                  </c:pt>
                  <c:pt idx="61">
                    <c:v>2018</c:v>
                  </c:pt>
                  <c:pt idx="62">
                    <c:v>2018</c:v>
                  </c:pt>
                  <c:pt idx="63">
                    <c:v>2018</c:v>
                  </c:pt>
                  <c:pt idx="64">
                    <c:v>2018</c:v>
                  </c:pt>
                  <c:pt idx="65">
                    <c:v>2018</c:v>
                  </c:pt>
                  <c:pt idx="66">
                    <c:v>2018</c:v>
                  </c:pt>
                  <c:pt idx="67">
                    <c:v>2018</c:v>
                  </c:pt>
                  <c:pt idx="68">
                    <c:v>2018</c:v>
                  </c:pt>
                  <c:pt idx="69">
                    <c:v>2018</c:v>
                  </c:pt>
                  <c:pt idx="70">
                    <c:v>2018</c:v>
                  </c:pt>
                  <c:pt idx="71">
                    <c:v>2018</c:v>
                  </c:pt>
                  <c:pt idx="72">
                    <c:v>2019</c:v>
                  </c:pt>
                  <c:pt idx="73">
                    <c:v>2019</c:v>
                  </c:pt>
                  <c:pt idx="74">
                    <c:v>2019</c:v>
                  </c:pt>
                  <c:pt idx="75">
                    <c:v>2019</c:v>
                  </c:pt>
                  <c:pt idx="76">
                    <c:v>2019</c:v>
                  </c:pt>
                  <c:pt idx="77">
                    <c:v>2019</c:v>
                  </c:pt>
                  <c:pt idx="78">
                    <c:v>2019</c:v>
                  </c:pt>
                  <c:pt idx="79">
                    <c:v>2019</c:v>
                  </c:pt>
                  <c:pt idx="80">
                    <c:v>2019</c:v>
                  </c:pt>
                  <c:pt idx="81">
                    <c:v>2019</c:v>
                  </c:pt>
                  <c:pt idx="82">
                    <c:v>2019</c:v>
                  </c:pt>
                  <c:pt idx="83">
                    <c:v>2019</c:v>
                  </c:pt>
                  <c:pt idx="84">
                    <c:v>2020</c:v>
                  </c:pt>
                  <c:pt idx="85">
                    <c:v>2020</c:v>
                  </c:pt>
                  <c:pt idx="86">
                    <c:v>2020</c:v>
                  </c:pt>
                  <c:pt idx="87">
                    <c:v>2020</c:v>
                  </c:pt>
                  <c:pt idx="88">
                    <c:v>2020</c:v>
                  </c:pt>
                  <c:pt idx="89">
                    <c:v>2020</c:v>
                  </c:pt>
                  <c:pt idx="90">
                    <c:v>2020</c:v>
                  </c:pt>
                  <c:pt idx="91">
                    <c:v>2020</c:v>
                  </c:pt>
                  <c:pt idx="92">
                    <c:v>2020</c:v>
                  </c:pt>
                  <c:pt idx="93">
                    <c:v>2020</c:v>
                  </c:pt>
                  <c:pt idx="94">
                    <c:v>2020</c:v>
                  </c:pt>
                  <c:pt idx="95">
                    <c:v>2020</c:v>
                  </c:pt>
                  <c:pt idx="96">
                    <c:v>2021</c:v>
                  </c:pt>
                  <c:pt idx="97">
                    <c:v>2021</c:v>
                  </c:pt>
                  <c:pt idx="98">
                    <c:v>2021</c:v>
                  </c:pt>
                  <c:pt idx="99">
                    <c:v>2021</c:v>
                  </c:pt>
                  <c:pt idx="100">
                    <c:v>2021</c:v>
                  </c:pt>
                  <c:pt idx="101">
                    <c:v>2021</c:v>
                  </c:pt>
                  <c:pt idx="102">
                    <c:v>2021</c:v>
                  </c:pt>
                  <c:pt idx="103">
                    <c:v>2021</c:v>
                  </c:pt>
                  <c:pt idx="104">
                    <c:v>2021</c:v>
                  </c:pt>
                  <c:pt idx="105">
                    <c:v>2021</c:v>
                  </c:pt>
                  <c:pt idx="106">
                    <c:v>2021</c:v>
                  </c:pt>
                  <c:pt idx="107">
                    <c:v>2021</c:v>
                  </c:pt>
                  <c:pt idx="108">
                    <c:v>2022</c:v>
                  </c:pt>
                  <c:pt idx="109">
                    <c:v>2022</c:v>
                  </c:pt>
                  <c:pt idx="110">
                    <c:v>2022</c:v>
                  </c:pt>
                  <c:pt idx="111">
                    <c:v>2022</c:v>
                  </c:pt>
                  <c:pt idx="112">
                    <c:v>2022</c:v>
                  </c:pt>
                  <c:pt idx="113">
                    <c:v>2022</c:v>
                  </c:pt>
                  <c:pt idx="114">
                    <c:v>2022</c:v>
                  </c:pt>
                  <c:pt idx="115">
                    <c:v>2022</c:v>
                  </c:pt>
                  <c:pt idx="116">
                    <c:v>2022</c:v>
                  </c:pt>
                  <c:pt idx="117">
                    <c:v>2022</c:v>
                  </c:pt>
                  <c:pt idx="118">
                    <c:v>2022</c:v>
                  </c:pt>
                  <c:pt idx="119">
                    <c:v>2022</c:v>
                  </c:pt>
                  <c:pt idx="120">
                    <c:v>2023</c:v>
                  </c:pt>
                  <c:pt idx="121">
                    <c:v>2023</c:v>
                  </c:pt>
                  <c:pt idx="122">
                    <c:v>2023</c:v>
                  </c:pt>
                  <c:pt idx="123">
                    <c:v>2023</c:v>
                  </c:pt>
                  <c:pt idx="124">
                    <c:v>2023</c:v>
                  </c:pt>
                  <c:pt idx="125">
                    <c:v>2023</c:v>
                  </c:pt>
                  <c:pt idx="126">
                    <c:v>2023</c:v>
                  </c:pt>
                  <c:pt idx="127">
                    <c:v>2023</c:v>
                  </c:pt>
                  <c:pt idx="128">
                    <c:v>2023</c:v>
                  </c:pt>
                  <c:pt idx="129">
                    <c:v>2023</c:v>
                  </c:pt>
                  <c:pt idx="130">
                    <c:v>2023</c:v>
                  </c:pt>
                  <c:pt idx="131">
                    <c:v>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1/1/2013</c:v>
                  </c:pt>
                  <c:pt idx="1">
                    <c:v>2/1/2013</c:v>
                  </c:pt>
                  <c:pt idx="2">
                    <c:v>3/1/2013</c:v>
                  </c:pt>
                  <c:pt idx="3">
                    <c:v>4/1/2013</c:v>
                  </c:pt>
                  <c:pt idx="4">
                    <c:v>5/1/2013</c:v>
                  </c:pt>
                  <c:pt idx="5">
                    <c:v>6/1/2013</c:v>
                  </c:pt>
                  <c:pt idx="6">
                    <c:v>7/1/2013</c:v>
                  </c:pt>
                  <c:pt idx="7">
                    <c:v>8/1/2013</c:v>
                  </c:pt>
                  <c:pt idx="8">
                    <c:v>9/1/2013</c:v>
                  </c:pt>
                  <c:pt idx="9">
                    <c:v>10/1/2013</c:v>
                  </c:pt>
                  <c:pt idx="10">
                    <c:v>11/1/2013</c:v>
                  </c:pt>
                  <c:pt idx="11">
                    <c:v>12/1/2013</c:v>
                  </c:pt>
                  <c:pt idx="12">
                    <c:v>1/1/2014</c:v>
                  </c:pt>
                  <c:pt idx="13">
                    <c:v>2/1/2014</c:v>
                  </c:pt>
                  <c:pt idx="14">
                    <c:v>3/1/2014</c:v>
                  </c:pt>
                  <c:pt idx="15">
                    <c:v>4/1/2014</c:v>
                  </c:pt>
                  <c:pt idx="16">
                    <c:v>5/1/2014</c:v>
                  </c:pt>
                  <c:pt idx="17">
                    <c:v>6/1/2014</c:v>
                  </c:pt>
                  <c:pt idx="18">
                    <c:v>7/1/2014</c:v>
                  </c:pt>
                  <c:pt idx="19">
                    <c:v>8/1/2014</c:v>
                  </c:pt>
                  <c:pt idx="20">
                    <c:v>9/1/2014</c:v>
                  </c:pt>
                  <c:pt idx="21">
                    <c:v>10/1/2014</c:v>
                  </c:pt>
                  <c:pt idx="22">
                    <c:v>11/1/2014</c:v>
                  </c:pt>
                  <c:pt idx="23">
                    <c:v>12/1/2014</c:v>
                  </c:pt>
                  <c:pt idx="24">
                    <c:v>1/1/2015</c:v>
                  </c:pt>
                  <c:pt idx="25">
                    <c:v>2/1/2015</c:v>
                  </c:pt>
                  <c:pt idx="26">
                    <c:v>3/1/2015</c:v>
                  </c:pt>
                  <c:pt idx="27">
                    <c:v>4/1/2015</c:v>
                  </c:pt>
                  <c:pt idx="28">
                    <c:v>5/1/2015</c:v>
                  </c:pt>
                  <c:pt idx="29">
                    <c:v>6/1/2015</c:v>
                  </c:pt>
                  <c:pt idx="30">
                    <c:v>7/1/2015</c:v>
                  </c:pt>
                  <c:pt idx="31">
                    <c:v>8/1/2015</c:v>
                  </c:pt>
                  <c:pt idx="32">
                    <c:v>9/1/2015</c:v>
                  </c:pt>
                  <c:pt idx="33">
                    <c:v>10/1/2015</c:v>
                  </c:pt>
                  <c:pt idx="34">
                    <c:v>11/1/2015</c:v>
                  </c:pt>
                  <c:pt idx="35">
                    <c:v>12/1/2015</c:v>
                  </c:pt>
                  <c:pt idx="36">
                    <c:v>1/1/2016</c:v>
                  </c:pt>
                  <c:pt idx="37">
                    <c:v>2/1/2016</c:v>
                  </c:pt>
                  <c:pt idx="38">
                    <c:v>3/1/2016</c:v>
                  </c:pt>
                  <c:pt idx="39">
                    <c:v>4/1/2016</c:v>
                  </c:pt>
                  <c:pt idx="40">
                    <c:v>5/1/2016</c:v>
                  </c:pt>
                  <c:pt idx="41">
                    <c:v>6/1/2016</c:v>
                  </c:pt>
                  <c:pt idx="42">
                    <c:v>7/1/2016</c:v>
                  </c:pt>
                  <c:pt idx="43">
                    <c:v>8/1/2016</c:v>
                  </c:pt>
                  <c:pt idx="44">
                    <c:v>9/1/2016</c:v>
                  </c:pt>
                  <c:pt idx="45">
                    <c:v>10/1/2016</c:v>
                  </c:pt>
                  <c:pt idx="46">
                    <c:v>11/1/2016</c:v>
                  </c:pt>
                  <c:pt idx="47">
                    <c:v>12/1/2016</c:v>
                  </c:pt>
                  <c:pt idx="48">
                    <c:v>1/1/2017</c:v>
                  </c:pt>
                  <c:pt idx="49">
                    <c:v>2/1/2017</c:v>
                  </c:pt>
                  <c:pt idx="50">
                    <c:v>3/1/2017</c:v>
                  </c:pt>
                  <c:pt idx="51">
                    <c:v>4/1/2017</c:v>
                  </c:pt>
                  <c:pt idx="52">
                    <c:v>5/1/2017</c:v>
                  </c:pt>
                  <c:pt idx="53">
                    <c:v>6/1/2017</c:v>
                  </c:pt>
                  <c:pt idx="54">
                    <c:v>7/1/2017</c:v>
                  </c:pt>
                  <c:pt idx="55">
                    <c:v>8/1/2017</c:v>
                  </c:pt>
                  <c:pt idx="56">
                    <c:v>9/1/2017</c:v>
                  </c:pt>
                  <c:pt idx="57">
                    <c:v>10/1/2017</c:v>
                  </c:pt>
                  <c:pt idx="58">
                    <c:v>11/1/2017</c:v>
                  </c:pt>
                  <c:pt idx="59">
                    <c:v>12/1/2017</c:v>
                  </c:pt>
                  <c:pt idx="60">
                    <c:v>1/1/2018</c:v>
                  </c:pt>
                  <c:pt idx="61">
                    <c:v>2/1/2018</c:v>
                  </c:pt>
                  <c:pt idx="62">
                    <c:v>3/1/2018</c:v>
                  </c:pt>
                  <c:pt idx="63">
                    <c:v>4/1/2018</c:v>
                  </c:pt>
                  <c:pt idx="64">
                    <c:v>5/1/2018</c:v>
                  </c:pt>
                  <c:pt idx="65">
                    <c:v>6/1/2018</c:v>
                  </c:pt>
                  <c:pt idx="66">
                    <c:v>7/1/2018</c:v>
                  </c:pt>
                  <c:pt idx="67">
                    <c:v>8/1/2018</c:v>
                  </c:pt>
                  <c:pt idx="68">
                    <c:v>9/1/2018</c:v>
                  </c:pt>
                  <c:pt idx="69">
                    <c:v>10/1/2018</c:v>
                  </c:pt>
                  <c:pt idx="70">
                    <c:v>11/1/2018</c:v>
                  </c:pt>
                  <c:pt idx="71">
                    <c:v>12/1/2018</c:v>
                  </c:pt>
                  <c:pt idx="72">
                    <c:v>1/1/2019</c:v>
                  </c:pt>
                  <c:pt idx="73">
                    <c:v>2/1/2019</c:v>
                  </c:pt>
                  <c:pt idx="74">
                    <c:v>3/1/2019</c:v>
                  </c:pt>
                  <c:pt idx="75">
                    <c:v>4/1/2019</c:v>
                  </c:pt>
                  <c:pt idx="76">
                    <c:v>5/1/2019</c:v>
                  </c:pt>
                  <c:pt idx="77">
                    <c:v>6/1/2019</c:v>
                  </c:pt>
                  <c:pt idx="78">
                    <c:v>7/1/2019</c:v>
                  </c:pt>
                  <c:pt idx="79">
                    <c:v>8/1/2019</c:v>
                  </c:pt>
                  <c:pt idx="80">
                    <c:v>9/1/2019</c:v>
                  </c:pt>
                  <c:pt idx="81">
                    <c:v>10/1/2019</c:v>
                  </c:pt>
                  <c:pt idx="82">
                    <c:v>11/1/2019</c:v>
                  </c:pt>
                  <c:pt idx="83">
                    <c:v>12/1/2019</c:v>
                  </c:pt>
                  <c:pt idx="84">
                    <c:v>1/1/2020</c:v>
                  </c:pt>
                  <c:pt idx="85">
                    <c:v>2/1/2020</c:v>
                  </c:pt>
                  <c:pt idx="86">
                    <c:v>3/1/2020</c:v>
                  </c:pt>
                  <c:pt idx="87">
                    <c:v>4/1/2020</c:v>
                  </c:pt>
                  <c:pt idx="88">
                    <c:v>5/1/2020</c:v>
                  </c:pt>
                  <c:pt idx="89">
                    <c:v>6/1/2020</c:v>
                  </c:pt>
                  <c:pt idx="90">
                    <c:v>7/1/2020</c:v>
                  </c:pt>
                  <c:pt idx="91">
                    <c:v>8/1/2020</c:v>
                  </c:pt>
                  <c:pt idx="92">
                    <c:v>9/1/2020</c:v>
                  </c:pt>
                  <c:pt idx="93">
                    <c:v>10/1/2020</c:v>
                  </c:pt>
                  <c:pt idx="94">
                    <c:v>11/1/2020</c:v>
                  </c:pt>
                  <c:pt idx="95">
                    <c:v>12/1/2020</c:v>
                  </c:pt>
                  <c:pt idx="96">
                    <c:v>1/1/2021</c:v>
                  </c:pt>
                  <c:pt idx="97">
                    <c:v>2/1/2021</c:v>
                  </c:pt>
                  <c:pt idx="98">
                    <c:v>3/1/2021</c:v>
                  </c:pt>
                  <c:pt idx="99">
                    <c:v>4/1/2021</c:v>
                  </c:pt>
                  <c:pt idx="100">
                    <c:v>5/1/2021</c:v>
                  </c:pt>
                  <c:pt idx="101">
                    <c:v>6/1/2021</c:v>
                  </c:pt>
                  <c:pt idx="102">
                    <c:v>7/1/2021</c:v>
                  </c:pt>
                  <c:pt idx="103">
                    <c:v>8/1/2021</c:v>
                  </c:pt>
                  <c:pt idx="104">
                    <c:v>9/1/2021</c:v>
                  </c:pt>
                  <c:pt idx="105">
                    <c:v>10/1/2021</c:v>
                  </c:pt>
                  <c:pt idx="106">
                    <c:v>11/1/2021</c:v>
                  </c:pt>
                  <c:pt idx="107">
                    <c:v>12/1/2021</c:v>
                  </c:pt>
                  <c:pt idx="108">
                    <c:v>1/1/2022</c:v>
                  </c:pt>
                  <c:pt idx="109">
                    <c:v>2/1/2022</c:v>
                  </c:pt>
                  <c:pt idx="110">
                    <c:v>3/1/2022</c:v>
                  </c:pt>
                  <c:pt idx="111">
                    <c:v>4/1/2022</c:v>
                  </c:pt>
                  <c:pt idx="112">
                    <c:v>5/1/2022</c:v>
                  </c:pt>
                  <c:pt idx="113">
                    <c:v>6/1/2022</c:v>
                  </c:pt>
                  <c:pt idx="114">
                    <c:v>7/1/2022</c:v>
                  </c:pt>
                  <c:pt idx="115">
                    <c:v>8/1/2022</c:v>
                  </c:pt>
                  <c:pt idx="116">
                    <c:v>9/1/2022</c:v>
                  </c:pt>
                  <c:pt idx="117">
                    <c:v>10/1/2022</c:v>
                  </c:pt>
                  <c:pt idx="118">
                    <c:v>11/1/2022</c:v>
                  </c:pt>
                  <c:pt idx="119">
                    <c:v>12/1/2022</c:v>
                  </c:pt>
                  <c:pt idx="120">
                    <c:v>1/1/2023</c:v>
                  </c:pt>
                  <c:pt idx="121">
                    <c:v>2/1/2023</c:v>
                  </c:pt>
                  <c:pt idx="122">
                    <c:v>3/1/2023</c:v>
                  </c:pt>
                  <c:pt idx="123">
                    <c:v>4/1/2023</c:v>
                  </c:pt>
                  <c:pt idx="124">
                    <c:v>5/1/2023</c:v>
                  </c:pt>
                  <c:pt idx="125">
                    <c:v>6/1/2023</c:v>
                  </c:pt>
                  <c:pt idx="126">
                    <c:v>7/1/2023</c:v>
                  </c:pt>
                  <c:pt idx="127">
                    <c:v>8/1/2023</c:v>
                  </c:pt>
                  <c:pt idx="128">
                    <c:v>9/1/2023</c:v>
                  </c:pt>
                  <c:pt idx="129">
                    <c:v>10/1/2023</c:v>
                  </c:pt>
                  <c:pt idx="130">
                    <c:v>11/1/2023</c:v>
                  </c:pt>
                  <c:pt idx="131">
                    <c:v>12/1/2023</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lvl>
                  <c:pt idx="0">
                    <c:v>Exports</c:v>
                  </c:pt>
                  <c:pt idx="1">
                    <c:v>Exports</c:v>
                  </c:pt>
                  <c:pt idx="2">
                    <c:v>Exports</c:v>
                  </c:pt>
                  <c:pt idx="3">
                    <c:v>Exports</c:v>
                  </c:pt>
                  <c:pt idx="4">
                    <c:v>Exports</c:v>
                  </c:pt>
                  <c:pt idx="5">
                    <c:v>Exports</c:v>
                  </c:pt>
                  <c:pt idx="6">
                    <c:v>Exports</c:v>
                  </c:pt>
                  <c:pt idx="7">
                    <c:v>Exports</c:v>
                  </c:pt>
                  <c:pt idx="8">
                    <c:v>Exports</c:v>
                  </c:pt>
                  <c:pt idx="9">
                    <c:v>Exports</c:v>
                  </c:pt>
                  <c:pt idx="10">
                    <c:v>Exports</c:v>
                  </c:pt>
                  <c:pt idx="11">
                    <c:v>Exports</c:v>
                  </c:pt>
                  <c:pt idx="12">
                    <c:v>Exports</c:v>
                  </c:pt>
                  <c:pt idx="13">
                    <c:v>Exports</c:v>
                  </c:pt>
                  <c:pt idx="14">
                    <c:v>Exports</c:v>
                  </c:pt>
                  <c:pt idx="15">
                    <c:v>Exports</c:v>
                  </c:pt>
                  <c:pt idx="16">
                    <c:v>Exports</c:v>
                  </c:pt>
                  <c:pt idx="17">
                    <c:v>Exports</c:v>
                  </c:pt>
                  <c:pt idx="18">
                    <c:v>Exports</c:v>
                  </c:pt>
                  <c:pt idx="19">
                    <c:v>Exports</c:v>
                  </c:pt>
                  <c:pt idx="20">
                    <c:v>Exports</c:v>
                  </c:pt>
                  <c:pt idx="21">
                    <c:v>Exports</c:v>
                  </c:pt>
                  <c:pt idx="22">
                    <c:v>Exports</c:v>
                  </c:pt>
                  <c:pt idx="23">
                    <c:v>Exports</c:v>
                  </c:pt>
                  <c:pt idx="24">
                    <c:v>Exports</c:v>
                  </c:pt>
                  <c:pt idx="25">
                    <c:v>Exports</c:v>
                  </c:pt>
                  <c:pt idx="26">
                    <c:v>Exports</c:v>
                  </c:pt>
                  <c:pt idx="27">
                    <c:v>Exports</c:v>
                  </c:pt>
                  <c:pt idx="28">
                    <c:v>Exports</c:v>
                  </c:pt>
                  <c:pt idx="29">
                    <c:v>Exports</c:v>
                  </c:pt>
                  <c:pt idx="30">
                    <c:v>Exports</c:v>
                  </c:pt>
                  <c:pt idx="31">
                    <c:v>Exports</c:v>
                  </c:pt>
                  <c:pt idx="32">
                    <c:v>Exports</c:v>
                  </c:pt>
                  <c:pt idx="33">
                    <c:v>Exports</c:v>
                  </c:pt>
                  <c:pt idx="34">
                    <c:v>Exports</c:v>
                  </c:pt>
                  <c:pt idx="35">
                    <c:v>Exports</c:v>
                  </c:pt>
                  <c:pt idx="36">
                    <c:v>Exports</c:v>
                  </c:pt>
                  <c:pt idx="37">
                    <c:v>Exports</c:v>
                  </c:pt>
                  <c:pt idx="38">
                    <c:v>Exports</c:v>
                  </c:pt>
                  <c:pt idx="39">
                    <c:v>Exports</c:v>
                  </c:pt>
                  <c:pt idx="40">
                    <c:v>Exports</c:v>
                  </c:pt>
                  <c:pt idx="41">
                    <c:v>Exports</c:v>
                  </c:pt>
                  <c:pt idx="42">
                    <c:v>Exports</c:v>
                  </c:pt>
                  <c:pt idx="43">
                    <c:v>Exports</c:v>
                  </c:pt>
                  <c:pt idx="44">
                    <c:v>Exports</c:v>
                  </c:pt>
                  <c:pt idx="45">
                    <c:v>Exports</c:v>
                  </c:pt>
                  <c:pt idx="46">
                    <c:v>Exports</c:v>
                  </c:pt>
                  <c:pt idx="47">
                    <c:v>Exports</c:v>
                  </c:pt>
                  <c:pt idx="48">
                    <c:v>Exports</c:v>
                  </c:pt>
                  <c:pt idx="49">
                    <c:v>Exports</c:v>
                  </c:pt>
                  <c:pt idx="50">
                    <c:v>Exports</c:v>
                  </c:pt>
                  <c:pt idx="51">
                    <c:v>Exports</c:v>
                  </c:pt>
                  <c:pt idx="52">
                    <c:v>Exports</c:v>
                  </c:pt>
                  <c:pt idx="53">
                    <c:v>Exports</c:v>
                  </c:pt>
                  <c:pt idx="54">
                    <c:v>Exports</c:v>
                  </c:pt>
                  <c:pt idx="55">
                    <c:v>Exports</c:v>
                  </c:pt>
                  <c:pt idx="56">
                    <c:v>Exports</c:v>
                  </c:pt>
                  <c:pt idx="57">
                    <c:v>Exports</c:v>
                  </c:pt>
                  <c:pt idx="58">
                    <c:v>Exports</c:v>
                  </c:pt>
                  <c:pt idx="59">
                    <c:v>Exports</c:v>
                  </c:pt>
                  <c:pt idx="60">
                    <c:v>Exports</c:v>
                  </c:pt>
                  <c:pt idx="61">
                    <c:v>Exports</c:v>
                  </c:pt>
                  <c:pt idx="62">
                    <c:v>Exports</c:v>
                  </c:pt>
                  <c:pt idx="63">
                    <c:v>Exports</c:v>
                  </c:pt>
                  <c:pt idx="64">
                    <c:v>Exports</c:v>
                  </c:pt>
                  <c:pt idx="65">
                    <c:v>Exports</c:v>
                  </c:pt>
                  <c:pt idx="66">
                    <c:v>Exports</c:v>
                  </c:pt>
                  <c:pt idx="67">
                    <c:v>Exports</c:v>
                  </c:pt>
                  <c:pt idx="68">
                    <c:v>Exports</c:v>
                  </c:pt>
                  <c:pt idx="69">
                    <c:v>Exports</c:v>
                  </c:pt>
                  <c:pt idx="70">
                    <c:v>Exports</c:v>
                  </c:pt>
                  <c:pt idx="71">
                    <c:v>Exports</c:v>
                  </c:pt>
                  <c:pt idx="72">
                    <c:v>Exports</c:v>
                  </c:pt>
                  <c:pt idx="73">
                    <c:v>Exports</c:v>
                  </c:pt>
                  <c:pt idx="74">
                    <c:v>Exports</c:v>
                  </c:pt>
                  <c:pt idx="75">
                    <c:v>Exports</c:v>
                  </c:pt>
                  <c:pt idx="76">
                    <c:v>Exports</c:v>
                  </c:pt>
                  <c:pt idx="77">
                    <c:v>Exports</c:v>
                  </c:pt>
                  <c:pt idx="78">
                    <c:v>Exports</c:v>
                  </c:pt>
                  <c:pt idx="79">
                    <c:v>Exports</c:v>
                  </c:pt>
                  <c:pt idx="80">
                    <c:v>Exports</c:v>
                  </c:pt>
                  <c:pt idx="81">
                    <c:v>Exports</c:v>
                  </c:pt>
                  <c:pt idx="82">
                    <c:v>Exports</c:v>
                  </c:pt>
                  <c:pt idx="83">
                    <c:v>Exports</c:v>
                  </c:pt>
                  <c:pt idx="84">
                    <c:v>Exports</c:v>
                  </c:pt>
                  <c:pt idx="85">
                    <c:v>Exports</c:v>
                  </c:pt>
                  <c:pt idx="86">
                    <c:v>Exports</c:v>
                  </c:pt>
                  <c:pt idx="87">
                    <c:v>Exports</c:v>
                  </c:pt>
                  <c:pt idx="88">
                    <c:v>Exports</c:v>
                  </c:pt>
                  <c:pt idx="89">
                    <c:v>Exports</c:v>
                  </c:pt>
                  <c:pt idx="90">
                    <c:v>Exports</c:v>
                  </c:pt>
                  <c:pt idx="91">
                    <c:v>Exports</c:v>
                  </c:pt>
                  <c:pt idx="92">
                    <c:v>Exports</c:v>
                  </c:pt>
                  <c:pt idx="93">
                    <c:v>Exports</c:v>
                  </c:pt>
                  <c:pt idx="94">
                    <c:v>Exports</c:v>
                  </c:pt>
                  <c:pt idx="95">
                    <c:v>Exports</c:v>
                  </c:pt>
                  <c:pt idx="96">
                    <c:v>Exports</c:v>
                  </c:pt>
                  <c:pt idx="97">
                    <c:v>Exports</c:v>
                  </c:pt>
                  <c:pt idx="98">
                    <c:v>Exports</c:v>
                  </c:pt>
                  <c:pt idx="99">
                    <c:v>Exports</c:v>
                  </c:pt>
                  <c:pt idx="100">
                    <c:v>Exports</c:v>
                  </c:pt>
                  <c:pt idx="101">
                    <c:v>Exports</c:v>
                  </c:pt>
                  <c:pt idx="102">
                    <c:v>Exports</c:v>
                  </c:pt>
                  <c:pt idx="103">
                    <c:v>Exports</c:v>
                  </c:pt>
                  <c:pt idx="104">
                    <c:v>Exports</c:v>
                  </c:pt>
                  <c:pt idx="105">
                    <c:v>Exports</c:v>
                  </c:pt>
                  <c:pt idx="106">
                    <c:v>Exports</c:v>
                  </c:pt>
                  <c:pt idx="107">
                    <c:v>Exports</c:v>
                  </c:pt>
                  <c:pt idx="108">
                    <c:v>Exports</c:v>
                  </c:pt>
                  <c:pt idx="109">
                    <c:v>Exports</c:v>
                  </c:pt>
                  <c:pt idx="110">
                    <c:v>Exports</c:v>
                  </c:pt>
                  <c:pt idx="111">
                    <c:v>Exports</c:v>
                  </c:pt>
                  <c:pt idx="112">
                    <c:v>Exports</c:v>
                  </c:pt>
                  <c:pt idx="113">
                    <c:v>Exports</c:v>
                  </c:pt>
                  <c:pt idx="114">
                    <c:v>Exports</c:v>
                  </c:pt>
                  <c:pt idx="115">
                    <c:v>Exports</c:v>
                  </c:pt>
                  <c:pt idx="116">
                    <c:v>Exports</c:v>
                  </c:pt>
                  <c:pt idx="117">
                    <c:v>Exports</c:v>
                  </c:pt>
                  <c:pt idx="118">
                    <c:v>Exports</c:v>
                  </c:pt>
                  <c:pt idx="119">
                    <c:v>Exports</c:v>
                  </c:pt>
                  <c:pt idx="120">
                    <c:v>Exports</c:v>
                  </c:pt>
                  <c:pt idx="121">
                    <c:v>Exports</c:v>
                  </c:pt>
                  <c:pt idx="122">
                    <c:v>Exports</c:v>
                  </c:pt>
                  <c:pt idx="123">
                    <c:v>Exports</c:v>
                  </c:pt>
                  <c:pt idx="124">
                    <c:v>Exports</c:v>
                  </c:pt>
                  <c:pt idx="125">
                    <c:v>Exports</c:v>
                  </c:pt>
                  <c:pt idx="126">
                    <c:v>Exports</c:v>
                  </c:pt>
                  <c:pt idx="127">
                    <c:v>Exports</c:v>
                  </c:pt>
                  <c:pt idx="128">
                    <c:v>Exports</c:v>
                  </c:pt>
                  <c:pt idx="129">
                    <c:v>Exports</c:v>
                  </c:pt>
                  <c:pt idx="130">
                    <c:v>Exports</c:v>
                  </c:pt>
                  <c:pt idx="131">
                    <c:v>Exports</c:v>
                  </c:pt>
                </c:lvl>
              </c:multiLvlStrCache>
            </c:multiLvlStrRef>
          </c:cat>
          <c:val>
            <c:numRef>
              <c:f>'Figure 4b'!$G$134:$G$265</c:f>
              <c:numCache>
                <c:formatCode>0.0</c:formatCode>
                <c:ptCount val="132"/>
                <c:pt idx="0">
                  <c:v>2.9118666648864751</c:v>
                </c:pt>
                <c:pt idx="1">
                  <c:v>2.7889995574951172</c:v>
                </c:pt>
                <c:pt idx="2">
                  <c:v>2.8826501369476318</c:v>
                </c:pt>
                <c:pt idx="3">
                  <c:v>2.924924373626709</c:v>
                </c:pt>
                <c:pt idx="4">
                  <c:v>2.931204080581665</c:v>
                </c:pt>
                <c:pt idx="5">
                  <c:v>2.8532364368438721</c:v>
                </c:pt>
                <c:pt idx="6">
                  <c:v>2.865744829177856</c:v>
                </c:pt>
                <c:pt idx="7">
                  <c:v>2.8279488086700439</c:v>
                </c:pt>
                <c:pt idx="8">
                  <c:v>2.8063075542449951</c:v>
                </c:pt>
                <c:pt idx="9">
                  <c:v>2.817569494247437</c:v>
                </c:pt>
                <c:pt idx="10">
                  <c:v>2.7890362739562988</c:v>
                </c:pt>
                <c:pt idx="11">
                  <c:v>2.8238706588745122</c:v>
                </c:pt>
                <c:pt idx="12">
                  <c:v>2.9417233467102051</c:v>
                </c:pt>
                <c:pt idx="13">
                  <c:v>2.9639639854431148</c:v>
                </c:pt>
                <c:pt idx="14">
                  <c:v>2.9706399440765381</c:v>
                </c:pt>
                <c:pt idx="15">
                  <c:v>3.1302323341369629</c:v>
                </c:pt>
                <c:pt idx="16">
                  <c:v>3.0127072334289551</c:v>
                </c:pt>
                <c:pt idx="17">
                  <c:v>3.0007185935974121</c:v>
                </c:pt>
                <c:pt idx="18">
                  <c:v>2.95417308807373</c:v>
                </c:pt>
                <c:pt idx="19">
                  <c:v>3.1291780471801758</c:v>
                </c:pt>
                <c:pt idx="20">
                  <c:v>3.0672042369842529</c:v>
                </c:pt>
                <c:pt idx="21">
                  <c:v>3.0837235450744629</c:v>
                </c:pt>
                <c:pt idx="22">
                  <c:v>3.1114432811737061</c:v>
                </c:pt>
                <c:pt idx="23">
                  <c:v>3.1465566158294682</c:v>
                </c:pt>
                <c:pt idx="24">
                  <c:v>3.2271535396575932</c:v>
                </c:pt>
                <c:pt idx="25">
                  <c:v>3.1756939888000488</c:v>
                </c:pt>
                <c:pt idx="26">
                  <c:v>2.9559307098388672</c:v>
                </c:pt>
                <c:pt idx="27">
                  <c:v>3.040953636169434</c:v>
                </c:pt>
                <c:pt idx="28">
                  <c:v>2.9657890796661381</c:v>
                </c:pt>
                <c:pt idx="29">
                  <c:v>2.9188530445098881</c:v>
                </c:pt>
                <c:pt idx="30">
                  <c:v>2.8845281600952148</c:v>
                </c:pt>
                <c:pt idx="31">
                  <c:v>2.95536208152771</c:v>
                </c:pt>
                <c:pt idx="32">
                  <c:v>3.159157276153564</c:v>
                </c:pt>
                <c:pt idx="33">
                  <c:v>3.0108342170715332</c:v>
                </c:pt>
                <c:pt idx="34">
                  <c:v>3.0677471160888672</c:v>
                </c:pt>
                <c:pt idx="35">
                  <c:v>3.035236120223999</c:v>
                </c:pt>
                <c:pt idx="36">
                  <c:v>2.9310898780822749</c:v>
                </c:pt>
                <c:pt idx="37">
                  <c:v>2.844605445861816</c:v>
                </c:pt>
                <c:pt idx="38">
                  <c:v>3.1941359043121338</c:v>
                </c:pt>
                <c:pt idx="39">
                  <c:v>3.1065669059753418</c:v>
                </c:pt>
                <c:pt idx="40">
                  <c:v>3.0470011234283452</c:v>
                </c:pt>
                <c:pt idx="41">
                  <c:v>3.0619759559631352</c:v>
                </c:pt>
                <c:pt idx="42">
                  <c:v>3.1443107128143311</c:v>
                </c:pt>
                <c:pt idx="43">
                  <c:v>3.0587644577026372</c:v>
                </c:pt>
                <c:pt idx="44">
                  <c:v>2.86805248260498</c:v>
                </c:pt>
                <c:pt idx="45">
                  <c:v>3.1105279922485352</c:v>
                </c:pt>
                <c:pt idx="46">
                  <c:v>3.180647611618042</c:v>
                </c:pt>
                <c:pt idx="47">
                  <c:v>3.1126406192779541</c:v>
                </c:pt>
                <c:pt idx="48">
                  <c:v>3.0837490558624272</c:v>
                </c:pt>
                <c:pt idx="49">
                  <c:v>3.073572158813477</c:v>
                </c:pt>
                <c:pt idx="50">
                  <c:v>3.0000815391540532</c:v>
                </c:pt>
                <c:pt idx="51">
                  <c:v>3.0895082950592041</c:v>
                </c:pt>
                <c:pt idx="52">
                  <c:v>3.0007941722869869</c:v>
                </c:pt>
                <c:pt idx="53">
                  <c:v>2.997346162796021</c:v>
                </c:pt>
                <c:pt idx="54">
                  <c:v>2.9989898204803471</c:v>
                </c:pt>
                <c:pt idx="55">
                  <c:v>2.9111957550048828</c:v>
                </c:pt>
                <c:pt idx="56">
                  <c:v>2.95960545539856</c:v>
                </c:pt>
                <c:pt idx="57">
                  <c:v>2.9507453441619869</c:v>
                </c:pt>
                <c:pt idx="58">
                  <c:v>2.886559009552002</c:v>
                </c:pt>
                <c:pt idx="59">
                  <c:v>2.9612338542938228</c:v>
                </c:pt>
                <c:pt idx="60">
                  <c:v>3.005561351776123</c:v>
                </c:pt>
                <c:pt idx="61">
                  <c:v>3.1324071884155269</c:v>
                </c:pt>
                <c:pt idx="62">
                  <c:v>2.950239896774292</c:v>
                </c:pt>
                <c:pt idx="63">
                  <c:v>3.076496839523315</c:v>
                </c:pt>
                <c:pt idx="64">
                  <c:v>3.0523860454559331</c:v>
                </c:pt>
                <c:pt idx="65">
                  <c:v>3.0917859077453609</c:v>
                </c:pt>
                <c:pt idx="66">
                  <c:v>3.0956494808197021</c:v>
                </c:pt>
                <c:pt idx="67">
                  <c:v>3.0710430145263672</c:v>
                </c:pt>
                <c:pt idx="68">
                  <c:v>3.146331787109375</c:v>
                </c:pt>
                <c:pt idx="69">
                  <c:v>3.159970760345459</c:v>
                </c:pt>
                <c:pt idx="70">
                  <c:v>3.0246512889862061</c:v>
                </c:pt>
                <c:pt idx="71">
                  <c:v>3.104012250900269</c:v>
                </c:pt>
                <c:pt idx="72">
                  <c:v>2.8412458896636958</c:v>
                </c:pt>
                <c:pt idx="73">
                  <c:v>3.015656709671021</c:v>
                </c:pt>
                <c:pt idx="74">
                  <c:v>3.0994446277618408</c:v>
                </c:pt>
                <c:pt idx="75">
                  <c:v>3.0841891765594478</c:v>
                </c:pt>
                <c:pt idx="76">
                  <c:v>3.1332845687866211</c:v>
                </c:pt>
                <c:pt idx="77">
                  <c:v>3.0847487449646001</c:v>
                </c:pt>
                <c:pt idx="78">
                  <c:v>3.056810617446899</c:v>
                </c:pt>
                <c:pt idx="79">
                  <c:v>2.943266630172729</c:v>
                </c:pt>
                <c:pt idx="80">
                  <c:v>3.1102685928344731</c:v>
                </c:pt>
                <c:pt idx="81">
                  <c:v>2.9377410411834721</c:v>
                </c:pt>
                <c:pt idx="82">
                  <c:v>2.9026105403900151</c:v>
                </c:pt>
                <c:pt idx="83">
                  <c:v>2.9820353984832759</c:v>
                </c:pt>
                <c:pt idx="84">
                  <c:v>2.877158641815186</c:v>
                </c:pt>
                <c:pt idx="85">
                  <c:v>2.740439891815186</c:v>
                </c:pt>
                <c:pt idx="86">
                  <c:v>2.7695245742797852</c:v>
                </c:pt>
                <c:pt idx="87">
                  <c:v>2.4263379573822021</c:v>
                </c:pt>
                <c:pt idx="88">
                  <c:v>2.714276790618896</c:v>
                </c:pt>
                <c:pt idx="89">
                  <c:v>2.8204786777496338</c:v>
                </c:pt>
                <c:pt idx="90">
                  <c:v>2.842897891998291</c:v>
                </c:pt>
                <c:pt idx="91">
                  <c:v>2.930476188659668</c:v>
                </c:pt>
                <c:pt idx="92">
                  <c:v>3.0751490592956539</c:v>
                </c:pt>
                <c:pt idx="93">
                  <c:v>2.917512178421021</c:v>
                </c:pt>
                <c:pt idx="94">
                  <c:v>2.9765148162841801</c:v>
                </c:pt>
                <c:pt idx="95">
                  <c:v>2.9659605026245122</c:v>
                </c:pt>
                <c:pt idx="96">
                  <c:v>2.8454196453094478</c:v>
                </c:pt>
                <c:pt idx="97">
                  <c:v>2.9663324356079102</c:v>
                </c:pt>
                <c:pt idx="98">
                  <c:v>2.9216771125793461</c:v>
                </c:pt>
                <c:pt idx="99">
                  <c:v>2.722059011459351</c:v>
                </c:pt>
                <c:pt idx="100">
                  <c:v>2.8619506359100342</c:v>
                </c:pt>
                <c:pt idx="101">
                  <c:v>2.916993379592896</c:v>
                </c:pt>
                <c:pt idx="102">
                  <c:v>2.8231322765350342</c:v>
                </c:pt>
                <c:pt idx="103">
                  <c:v>2.887653112411499</c:v>
                </c:pt>
                <c:pt idx="104">
                  <c:v>2.5698132514953609</c:v>
                </c:pt>
                <c:pt idx="105">
                  <c:v>2.6948292255401611</c:v>
                </c:pt>
                <c:pt idx="106">
                  <c:v>2.7713944911956792</c:v>
                </c:pt>
                <c:pt idx="107">
                  <c:v>2.5286929607391362</c:v>
                </c:pt>
                <c:pt idx="120">
                  <c:v>2.9409091472625728</c:v>
                </c:pt>
                <c:pt idx="121">
                  <c:v>2.9038844108581539</c:v>
                </c:pt>
                <c:pt idx="122">
                  <c:v>2.8601374626159668</c:v>
                </c:pt>
                <c:pt idx="123">
                  <c:v>3.0013735294342041</c:v>
                </c:pt>
                <c:pt idx="124">
                  <c:v>2.8808069229125981</c:v>
                </c:pt>
                <c:pt idx="125">
                  <c:v>2.8510463237762451</c:v>
                </c:pt>
                <c:pt idx="126">
                  <c:v>2.927444219589233</c:v>
                </c:pt>
                <c:pt idx="127">
                  <c:v>2.8748712539672852</c:v>
                </c:pt>
                <c:pt idx="128">
                  <c:v>2.823508739471436</c:v>
                </c:pt>
                <c:pt idx="129">
                  <c:v>2.8970611095428471</c:v>
                </c:pt>
                <c:pt idx="130">
                  <c:v>2.8644509315490718</c:v>
                </c:pt>
                <c:pt idx="131">
                  <c:v>2.908765554428101</c:v>
                </c:pt>
              </c:numCache>
            </c:numRef>
          </c:val>
          <c:smooth val="0"/>
          <c:extLst>
            <c:ext xmlns:c16="http://schemas.microsoft.com/office/drawing/2014/chart" uri="{C3380CC4-5D6E-409C-BE32-E72D297353CC}">
              <c16:uniqueId val="{00000001-17A2-4E32-863F-D8DD709CB351}"/>
            </c:ext>
          </c:extLst>
        </c:ser>
        <c:dLbls>
          <c:showLegendKey val="0"/>
          <c:showVal val="0"/>
          <c:showCatName val="0"/>
          <c:showSerName val="0"/>
          <c:showPercent val="0"/>
          <c:showBubbleSize val="0"/>
        </c:dLbls>
        <c:marker val="1"/>
        <c:smooth val="0"/>
        <c:axId val="66320220"/>
        <c:axId val="57719344"/>
      </c:lineChart>
      <c:lineChart>
        <c:grouping val="standard"/>
        <c:varyColors val="0"/>
        <c:ser>
          <c:idx val="2"/>
          <c:order val="1"/>
          <c:tx>
            <c:strRef>
              <c:f>'Figure 4b'!$H$1</c:f>
              <c:strCache>
                <c:ptCount val="1"/>
                <c:pt idx="0">
                  <c:v>Share wrt total number of trade partners</c:v>
                </c:pt>
              </c:strCache>
            </c:strRef>
          </c:tx>
          <c:spPr>
            <a:ln w="12700" cap="rnd" cmpd="sng">
              <a:solidFill>
                <a:srgbClr val="FF0000"/>
              </a:solidFill>
              <a:prstDash val="dash"/>
              <a:round/>
            </a:ln>
            <a:effectLst/>
          </c:spPr>
          <c:marker>
            <c:symbol val="none"/>
          </c:marker>
          <c:cat>
            <c:numRef>
              <c:f>'Figure 4b'!$D$134:$D$265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4b'!$H$134:$H$265</c:f>
              <c:numCache>
                <c:formatCode>0</c:formatCode>
                <c:ptCount val="132"/>
                <c:pt idx="0">
                  <c:v>47.829849243164063</c:v>
                </c:pt>
                <c:pt idx="1">
                  <c:v>48.439155578613281</c:v>
                </c:pt>
                <c:pt idx="2">
                  <c:v>47.158725738525391</c:v>
                </c:pt>
                <c:pt idx="3">
                  <c:v>47.747802734375</c:v>
                </c:pt>
                <c:pt idx="4">
                  <c:v>47.307590484619141</c:v>
                </c:pt>
                <c:pt idx="5">
                  <c:v>46.291431427001953</c:v>
                </c:pt>
                <c:pt idx="6">
                  <c:v>47.318511962890632</c:v>
                </c:pt>
                <c:pt idx="7">
                  <c:v>45.283889770507813</c:v>
                </c:pt>
                <c:pt idx="8">
                  <c:v>46.021381378173828</c:v>
                </c:pt>
                <c:pt idx="9">
                  <c:v>46.358264923095703</c:v>
                </c:pt>
                <c:pt idx="10">
                  <c:v>46.609176635742188</c:v>
                </c:pt>
                <c:pt idx="11">
                  <c:v>46.01123046875</c:v>
                </c:pt>
                <c:pt idx="12">
                  <c:v>47.472145080566413</c:v>
                </c:pt>
                <c:pt idx="13">
                  <c:v>45.519279479980469</c:v>
                </c:pt>
                <c:pt idx="14">
                  <c:v>47.113853454589837</c:v>
                </c:pt>
                <c:pt idx="15">
                  <c:v>48.277576446533203</c:v>
                </c:pt>
                <c:pt idx="16">
                  <c:v>48.312191009521477</c:v>
                </c:pt>
                <c:pt idx="17">
                  <c:v>47.742477416992188</c:v>
                </c:pt>
                <c:pt idx="18">
                  <c:v>47.411521911621087</c:v>
                </c:pt>
                <c:pt idx="19">
                  <c:v>48.225490570068359</c:v>
                </c:pt>
                <c:pt idx="20">
                  <c:v>47.832290649414063</c:v>
                </c:pt>
                <c:pt idx="21">
                  <c:v>47.610515594482422</c:v>
                </c:pt>
                <c:pt idx="22">
                  <c:v>47.752223968505859</c:v>
                </c:pt>
                <c:pt idx="23">
                  <c:v>48.2723388671875</c:v>
                </c:pt>
                <c:pt idx="24">
                  <c:v>49.490280151367188</c:v>
                </c:pt>
                <c:pt idx="25">
                  <c:v>46.413730621337891</c:v>
                </c:pt>
                <c:pt idx="26">
                  <c:v>47.435352325439453</c:v>
                </c:pt>
                <c:pt idx="27">
                  <c:v>46.300338745117188</c:v>
                </c:pt>
                <c:pt idx="28">
                  <c:v>47.563880920410163</c:v>
                </c:pt>
                <c:pt idx="29">
                  <c:v>45.986553192138672</c:v>
                </c:pt>
                <c:pt idx="30">
                  <c:v>46.001754760742188</c:v>
                </c:pt>
                <c:pt idx="31">
                  <c:v>46.849205017089837</c:v>
                </c:pt>
                <c:pt idx="32">
                  <c:v>48.633506774902337</c:v>
                </c:pt>
                <c:pt idx="33">
                  <c:v>47.992122650146477</c:v>
                </c:pt>
                <c:pt idx="34">
                  <c:v>48.159309387207031</c:v>
                </c:pt>
                <c:pt idx="35">
                  <c:v>46.839298248291023</c:v>
                </c:pt>
                <c:pt idx="36">
                  <c:v>50.0487060546875</c:v>
                </c:pt>
                <c:pt idx="37">
                  <c:v>46.691902160644531</c:v>
                </c:pt>
                <c:pt idx="38">
                  <c:v>48.365825653076172</c:v>
                </c:pt>
                <c:pt idx="39">
                  <c:v>47.929828643798828</c:v>
                </c:pt>
                <c:pt idx="40">
                  <c:v>48.212360382080078</c:v>
                </c:pt>
                <c:pt idx="41">
                  <c:v>49.181522369384773</c:v>
                </c:pt>
                <c:pt idx="42">
                  <c:v>48.402812957763672</c:v>
                </c:pt>
                <c:pt idx="43">
                  <c:v>46.475631713867188</c:v>
                </c:pt>
                <c:pt idx="44">
                  <c:v>47.425300598144531</c:v>
                </c:pt>
                <c:pt idx="45">
                  <c:v>49.969131469726563</c:v>
                </c:pt>
                <c:pt idx="46">
                  <c:v>48.2010498046875</c:v>
                </c:pt>
                <c:pt idx="47">
                  <c:v>48.359844207763672</c:v>
                </c:pt>
                <c:pt idx="48">
                  <c:v>47.426765441894531</c:v>
                </c:pt>
                <c:pt idx="49">
                  <c:v>45.354270935058587</c:v>
                </c:pt>
                <c:pt idx="50">
                  <c:v>46.851482391357422</c:v>
                </c:pt>
                <c:pt idx="51">
                  <c:v>47.292617797851563</c:v>
                </c:pt>
                <c:pt idx="52">
                  <c:v>46.01312255859375</c:v>
                </c:pt>
                <c:pt idx="53">
                  <c:v>47.474925994873047</c:v>
                </c:pt>
                <c:pt idx="54">
                  <c:v>46.858642578125</c:v>
                </c:pt>
                <c:pt idx="55">
                  <c:v>46.849899291992188</c:v>
                </c:pt>
                <c:pt idx="56">
                  <c:v>47.957950592041023</c:v>
                </c:pt>
                <c:pt idx="57">
                  <c:v>47.998626708984382</c:v>
                </c:pt>
                <c:pt idx="58">
                  <c:v>47.508274078369141</c:v>
                </c:pt>
                <c:pt idx="59">
                  <c:v>46.378623962402337</c:v>
                </c:pt>
                <c:pt idx="60">
                  <c:v>48.281059265136719</c:v>
                </c:pt>
                <c:pt idx="61">
                  <c:v>47.255222320556641</c:v>
                </c:pt>
                <c:pt idx="62">
                  <c:v>47.208961486816413</c:v>
                </c:pt>
                <c:pt idx="63">
                  <c:v>47.70819091796875</c:v>
                </c:pt>
                <c:pt idx="64">
                  <c:v>47.676651000976563</c:v>
                </c:pt>
                <c:pt idx="65">
                  <c:v>49.190113067626953</c:v>
                </c:pt>
                <c:pt idx="66">
                  <c:v>47.617530822753913</c:v>
                </c:pt>
                <c:pt idx="67">
                  <c:v>48.753219604492188</c:v>
                </c:pt>
                <c:pt idx="68">
                  <c:v>49.834575653076172</c:v>
                </c:pt>
                <c:pt idx="69">
                  <c:v>49.770599365234382</c:v>
                </c:pt>
                <c:pt idx="70">
                  <c:v>48.436038970947273</c:v>
                </c:pt>
                <c:pt idx="71">
                  <c:v>48.144989013671882</c:v>
                </c:pt>
                <c:pt idx="72">
                  <c:v>48.081275939941413</c:v>
                </c:pt>
                <c:pt idx="73">
                  <c:v>47.600673675537109</c:v>
                </c:pt>
                <c:pt idx="74">
                  <c:v>48.577919006347663</c:v>
                </c:pt>
                <c:pt idx="75">
                  <c:v>49.724601745605469</c:v>
                </c:pt>
                <c:pt idx="76">
                  <c:v>48.661689758300781</c:v>
                </c:pt>
                <c:pt idx="77">
                  <c:v>48.623481750488281</c:v>
                </c:pt>
                <c:pt idx="78">
                  <c:v>47.986179351806641</c:v>
                </c:pt>
                <c:pt idx="79">
                  <c:v>48.398712158203132</c:v>
                </c:pt>
                <c:pt idx="80">
                  <c:v>49.161018371582031</c:v>
                </c:pt>
                <c:pt idx="81">
                  <c:v>48.947940826416023</c:v>
                </c:pt>
                <c:pt idx="82">
                  <c:v>47.947383880615227</c:v>
                </c:pt>
                <c:pt idx="83">
                  <c:v>47.582851409912109</c:v>
                </c:pt>
                <c:pt idx="84">
                  <c:v>48.341091156005859</c:v>
                </c:pt>
                <c:pt idx="85">
                  <c:v>46.439914703369141</c:v>
                </c:pt>
                <c:pt idx="86">
                  <c:v>47.098560333251953</c:v>
                </c:pt>
                <c:pt idx="87">
                  <c:v>49.816165924072273</c:v>
                </c:pt>
                <c:pt idx="88">
                  <c:v>48.410114288330078</c:v>
                </c:pt>
                <c:pt idx="89">
                  <c:v>49.651576995849609</c:v>
                </c:pt>
                <c:pt idx="90">
                  <c:v>48.522731781005859</c:v>
                </c:pt>
                <c:pt idx="91">
                  <c:v>48.649669647216797</c:v>
                </c:pt>
                <c:pt idx="92">
                  <c:v>51.114288330078132</c:v>
                </c:pt>
                <c:pt idx="93">
                  <c:v>49.653347015380859</c:v>
                </c:pt>
                <c:pt idx="94">
                  <c:v>48.793411254882813</c:v>
                </c:pt>
                <c:pt idx="95">
                  <c:v>48.890102386474609</c:v>
                </c:pt>
                <c:pt idx="96">
                  <c:v>48.268768310546882</c:v>
                </c:pt>
                <c:pt idx="97">
                  <c:v>46.507015228271477</c:v>
                </c:pt>
                <c:pt idx="98">
                  <c:v>48.943195343017578</c:v>
                </c:pt>
                <c:pt idx="99">
                  <c:v>46.448123931884773</c:v>
                </c:pt>
                <c:pt idx="100">
                  <c:v>46.542083740234382</c:v>
                </c:pt>
                <c:pt idx="101">
                  <c:v>48.689094543457031</c:v>
                </c:pt>
                <c:pt idx="102">
                  <c:v>47.680500030517578</c:v>
                </c:pt>
                <c:pt idx="103">
                  <c:v>48.504055023193359</c:v>
                </c:pt>
                <c:pt idx="104">
                  <c:v>48.571620941162109</c:v>
                </c:pt>
                <c:pt idx="105">
                  <c:v>47.992824554443359</c:v>
                </c:pt>
                <c:pt idx="106">
                  <c:v>47.840744018554688</c:v>
                </c:pt>
                <c:pt idx="107">
                  <c:v>46.145637512207031</c:v>
                </c:pt>
                <c:pt idx="120">
                  <c:v>48.4903564453125</c:v>
                </c:pt>
                <c:pt idx="121">
                  <c:v>48.709575653076172</c:v>
                </c:pt>
                <c:pt idx="122">
                  <c:v>49.749855041503913</c:v>
                </c:pt>
                <c:pt idx="123">
                  <c:v>48.944915771484382</c:v>
                </c:pt>
                <c:pt idx="124">
                  <c:v>48.411170959472663</c:v>
                </c:pt>
                <c:pt idx="125">
                  <c:v>48.521343231201172</c:v>
                </c:pt>
                <c:pt idx="126">
                  <c:v>48.200790405273438</c:v>
                </c:pt>
                <c:pt idx="127">
                  <c:v>47.620510101318359</c:v>
                </c:pt>
                <c:pt idx="128">
                  <c:v>48.207313537597663</c:v>
                </c:pt>
                <c:pt idx="129">
                  <c:v>48.499866485595703</c:v>
                </c:pt>
                <c:pt idx="130">
                  <c:v>48.076160430908203</c:v>
                </c:pt>
                <c:pt idx="131">
                  <c:v>47.277557373046882</c:v>
                </c:pt>
              </c:numCache>
            </c:numRef>
          </c:val>
          <c:smooth val="0"/>
          <c:extLst>
            <c:ext xmlns:c16="http://schemas.microsoft.com/office/drawing/2014/chart" uri="{C3380CC4-5D6E-409C-BE32-E72D297353CC}">
              <c16:uniqueId val="{00000002-17A2-4E32-863F-D8DD709CB351}"/>
            </c:ext>
          </c:extLst>
        </c:ser>
        <c:dLbls>
          <c:showLegendKey val="0"/>
          <c:showVal val="0"/>
          <c:showCatName val="0"/>
          <c:showSerName val="0"/>
          <c:showPercent val="0"/>
          <c:showBubbleSize val="0"/>
        </c:dLbls>
        <c:marker val="1"/>
        <c:smooth val="0"/>
        <c:axId val="64220153"/>
        <c:axId val="55339386"/>
      </c:lineChart>
      <c:catAx>
        <c:axId val="66320220"/>
        <c:scaling>
          <c:orientation val="minMax"/>
        </c:scaling>
        <c:delete val="0"/>
        <c:axPos val="b"/>
        <c:numFmt formatCode="General"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mn-lt"/>
                <a:ea typeface="+mn-ea"/>
                <a:cs typeface="+mn-cs"/>
              </a:defRPr>
            </a:pPr>
            <a:endParaRPr lang="en-US"/>
          </a:p>
        </c:txPr>
        <c:crossAx val="57719344"/>
        <c:crosses val="autoZero"/>
        <c:auto val="1"/>
        <c:lblAlgn val="ctr"/>
        <c:lblOffset val="100"/>
        <c:noMultiLvlLbl val="1"/>
      </c:catAx>
      <c:valAx>
        <c:axId val="57719344"/>
        <c:scaling>
          <c:orientation val="minMax"/>
          <c:max val="3.2"/>
          <c:min val="1.85"/>
        </c:scaling>
        <c:delete val="0"/>
        <c:axPos val="l"/>
        <c:numFmt formatCode="0.0" sourceLinked="0"/>
        <c:majorTickMark val="none"/>
        <c:minorTickMark val="none"/>
        <c:tickLblPos val="nextTo"/>
        <c:spPr>
          <a:noFill/>
          <a:ln w="12700">
            <a:noFill/>
          </a:ln>
          <a:effectLst/>
        </c:spPr>
        <c:txPr>
          <a:bodyPr wrap="square"/>
          <a:lstStyle/>
          <a:p>
            <a:pPr>
              <a:defRPr lang="en-US" sz="900" b="0" i="0" u="none" kern="1200" baseline="0">
                <a:solidFill>
                  <a:schemeClr val="bg1"/>
                </a:solidFill>
                <a:latin typeface="+mn-lt"/>
                <a:ea typeface="+mn-ea"/>
                <a:cs typeface="+mn-cs"/>
              </a:defRPr>
            </a:pPr>
            <a:endParaRPr lang="en-US"/>
          </a:p>
        </c:txPr>
        <c:crossAx val="66320220"/>
        <c:crosses val="autoZero"/>
        <c:crossBetween val="between"/>
      </c:valAx>
      <c:dateAx>
        <c:axId val="64220153"/>
        <c:scaling>
          <c:orientation val="minMax"/>
        </c:scaling>
        <c:delete val="1"/>
        <c:axPos val="b"/>
        <c:numFmt formatCode="m/d/yyyy" sourceLinked="1"/>
        <c:majorTickMark val="out"/>
        <c:minorTickMark val="none"/>
        <c:tickLblPos val="nextTo"/>
        <c:crossAx val="55339386"/>
        <c:crosses val="autoZero"/>
        <c:auto val="1"/>
        <c:lblOffset val="100"/>
        <c:baseTimeUnit val="months"/>
      </c:dateAx>
      <c:valAx>
        <c:axId val="55339386"/>
        <c:scaling>
          <c:orientation val="minMax"/>
          <c:max val="54"/>
          <c:min val="44"/>
        </c:scaling>
        <c:delete val="0"/>
        <c:axPos val="r"/>
        <c:title>
          <c:tx>
            <c:rich>
              <a:bodyPr rot="-5400000" spcFirstLastPara="1" vertOverflow="ellipsis" vert="horz" wrap="square" anchor="ctr" anchorCtr="1"/>
              <a:lstStyle/>
              <a:p>
                <a:pPr>
                  <a:defRPr lang="en-US" sz="1000" b="0" i="0" u="none" kern="1200" baseline="0">
                    <a:solidFill>
                      <a:srgbClr val="595959">
                        <a:lumMod val="65000"/>
                        <a:lumOff val="35000"/>
                      </a:srgbClr>
                    </a:solidFill>
                    <a:latin typeface="+mn-lt"/>
                    <a:ea typeface="+mn-ea"/>
                    <a:cs typeface="+mn-cs"/>
                  </a:defRPr>
                </a:pPr>
                <a:r>
                  <a:rPr lang="en-US"/>
                  <a:t>Share (%)</a:t>
                </a:r>
              </a:p>
            </c:rich>
          </c:tx>
          <c:overlay val="0"/>
          <c:spPr>
            <a:noFill/>
            <a:ln w="12700">
              <a:noFill/>
            </a:ln>
            <a:effectLst/>
          </c:spPr>
        </c:title>
        <c:numFmt formatCode="General" sourceLinked="1"/>
        <c:majorTickMark val="out"/>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mn-lt"/>
                <a:ea typeface="+mn-ea"/>
                <a:cs typeface="+mn-cs"/>
              </a:defRPr>
            </a:pPr>
            <a:endParaRPr lang="en-US"/>
          </a:p>
        </c:txPr>
        <c:crossAx val="64220153"/>
        <c:crosses val="max"/>
        <c:crossBetween val="between"/>
        <c:majorUnit val="2"/>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Imports</a:t>
            </a:r>
          </a:p>
        </c:rich>
      </c:tx>
      <c:overlay val="0"/>
      <c:spPr>
        <a:noFill/>
        <a:ln w="12700">
          <a:noFill/>
        </a:ln>
        <a:effectLst/>
      </c:spPr>
    </c:title>
    <c:autoTitleDeleted val="0"/>
    <c:plotArea>
      <c:layout/>
      <c:barChart>
        <c:barDir val="col"/>
        <c:grouping val="clustered"/>
        <c:varyColors val="0"/>
        <c:ser>
          <c:idx val="0"/>
          <c:order val="1"/>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6610-4315-8B48-1BED9AD28585}"/>
              </c:ext>
            </c:extLst>
          </c:dPt>
          <c:cat>
            <c:numRef>
              <c:f>'Figure 5'!$D$2:$D$133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5'!$H$2:$H$133</c:f>
              <c:numCache>
                <c:formatCode>General</c:formatCode>
                <c:ptCount val="132"/>
                <c:pt idx="48" formatCode="0">
                  <c:v>11</c:v>
                </c:pt>
              </c:numCache>
            </c:numRef>
          </c:val>
          <c:extLst>
            <c:ext xmlns:c16="http://schemas.microsoft.com/office/drawing/2014/chart" uri="{C3380CC4-5D6E-409C-BE32-E72D297353CC}">
              <c16:uniqueId val="{00000002-6610-4315-8B48-1BED9AD28585}"/>
            </c:ext>
          </c:extLst>
        </c:ser>
        <c:dLbls>
          <c:showLegendKey val="0"/>
          <c:showVal val="0"/>
          <c:showCatName val="0"/>
          <c:showSerName val="0"/>
          <c:showPercent val="0"/>
          <c:showBubbleSize val="0"/>
        </c:dLbls>
        <c:gapWidth val="150"/>
        <c:axId val="40232818"/>
        <c:axId val="10269306"/>
      </c:barChart>
      <c:lineChart>
        <c:grouping val="standard"/>
        <c:varyColors val="0"/>
        <c:ser>
          <c:idx val="1"/>
          <c:order val="0"/>
          <c:tx>
            <c:strRef>
              <c:f>'Figure 5'!$G$1</c:f>
              <c:strCache>
                <c:ptCount val="1"/>
                <c:pt idx="0">
                  <c:v>Average number of varieties</c:v>
                </c:pt>
              </c:strCache>
            </c:strRef>
          </c:tx>
          <c:spPr>
            <a:ln w="12700" cap="rnd" cmpd="sng">
              <a:solidFill>
                <a:srgbClr val="0070C0"/>
              </a:solidFill>
              <a:round/>
            </a:ln>
            <a:effectLst/>
          </c:spPr>
          <c:marker>
            <c:symbol val="none"/>
          </c:marker>
          <c:cat>
            <c:numRef>
              <c:f>'Figure 5'!$D$2:$D$133</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5'!$G$2:$G$133</c:f>
              <c:numCache>
                <c:formatCode>0</c:formatCode>
                <c:ptCount val="132"/>
                <c:pt idx="0">
                  <c:v>10.923195838928221</c:v>
                </c:pt>
                <c:pt idx="1">
                  <c:v>9.8158721923828125</c:v>
                </c:pt>
                <c:pt idx="2">
                  <c:v>10.556900978088381</c:v>
                </c:pt>
                <c:pt idx="3">
                  <c:v>11.14988327026367</c:v>
                </c:pt>
                <c:pt idx="4">
                  <c:v>10.53646278381348</c:v>
                </c:pt>
                <c:pt idx="5">
                  <c:v>10.16164588928223</c:v>
                </c:pt>
                <c:pt idx="6">
                  <c:v>11.04902172088623</c:v>
                </c:pt>
                <c:pt idx="7">
                  <c:v>10.67525005340576</c:v>
                </c:pt>
                <c:pt idx="8">
                  <c:v>10.455245971679689</c:v>
                </c:pt>
                <c:pt idx="9">
                  <c:v>10.638631820678709</c:v>
                </c:pt>
                <c:pt idx="10">
                  <c:v>10.43337821960449</c:v>
                </c:pt>
                <c:pt idx="11">
                  <c:v>10.32286262512207</c:v>
                </c:pt>
                <c:pt idx="12">
                  <c:v>10.148763656616209</c:v>
                </c:pt>
                <c:pt idx="13">
                  <c:v>10.336756706237789</c:v>
                </c:pt>
                <c:pt idx="14">
                  <c:v>10.020035743713381</c:v>
                </c:pt>
                <c:pt idx="15">
                  <c:v>10.884762763977051</c:v>
                </c:pt>
                <c:pt idx="16">
                  <c:v>10.440055847167971</c:v>
                </c:pt>
                <c:pt idx="17">
                  <c:v>10.13034820556641</c:v>
                </c:pt>
                <c:pt idx="18">
                  <c:v>10.411472320556641</c:v>
                </c:pt>
                <c:pt idx="19">
                  <c:v>9.6236057281494141</c:v>
                </c:pt>
                <c:pt idx="20">
                  <c:v>9.8542509078979492</c:v>
                </c:pt>
                <c:pt idx="21">
                  <c:v>9.7546939849853516</c:v>
                </c:pt>
                <c:pt idx="22">
                  <c:v>9.7531919479370117</c:v>
                </c:pt>
                <c:pt idx="23">
                  <c:v>9.9932861328125</c:v>
                </c:pt>
                <c:pt idx="24">
                  <c:v>10.038393974304199</c:v>
                </c:pt>
                <c:pt idx="25">
                  <c:v>10.102739334106451</c:v>
                </c:pt>
                <c:pt idx="26">
                  <c:v>10.051181793212891</c:v>
                </c:pt>
                <c:pt idx="27">
                  <c:v>9.792851448059082</c:v>
                </c:pt>
                <c:pt idx="28">
                  <c:v>9.6816177368164063</c:v>
                </c:pt>
                <c:pt idx="29">
                  <c:v>10.176004409790041</c:v>
                </c:pt>
                <c:pt idx="30">
                  <c:v>9.8620491027832031</c:v>
                </c:pt>
                <c:pt idx="31">
                  <c:v>9.245269775390625</c:v>
                </c:pt>
                <c:pt idx="32">
                  <c:v>9.5715713500976563</c:v>
                </c:pt>
                <c:pt idx="33">
                  <c:v>9.109710693359375</c:v>
                </c:pt>
                <c:pt idx="34">
                  <c:v>9.5780792236328125</c:v>
                </c:pt>
                <c:pt idx="35">
                  <c:v>9.9524755477905273</c:v>
                </c:pt>
                <c:pt idx="36">
                  <c:v>8.8413677215576172</c:v>
                </c:pt>
                <c:pt idx="37">
                  <c:v>9.3108034133911133</c:v>
                </c:pt>
                <c:pt idx="38">
                  <c:v>9.0311555862426758</c:v>
                </c:pt>
                <c:pt idx="39">
                  <c:v>9.4068765640258789</c:v>
                </c:pt>
                <c:pt idx="40">
                  <c:v>8.8789377212524414</c:v>
                </c:pt>
                <c:pt idx="41">
                  <c:v>9.3217639923095703</c:v>
                </c:pt>
                <c:pt idx="42">
                  <c:v>9.5716609954833984</c:v>
                </c:pt>
                <c:pt idx="43">
                  <c:v>9.5745306015014648</c:v>
                </c:pt>
                <c:pt idx="44">
                  <c:v>9.2705535888671875</c:v>
                </c:pt>
                <c:pt idx="45">
                  <c:v>9.5019330978393555</c:v>
                </c:pt>
                <c:pt idx="46">
                  <c:v>9.6048994064331055</c:v>
                </c:pt>
                <c:pt idx="47">
                  <c:v>9.6316709518432617</c:v>
                </c:pt>
                <c:pt idx="48">
                  <c:v>9.810338020324707</c:v>
                </c:pt>
                <c:pt idx="49">
                  <c:v>9.9883527755737305</c:v>
                </c:pt>
                <c:pt idx="50">
                  <c:v>10.733805656433111</c:v>
                </c:pt>
                <c:pt idx="51">
                  <c:v>9.8450489044189453</c:v>
                </c:pt>
                <c:pt idx="52">
                  <c:v>10.49211502075195</c:v>
                </c:pt>
                <c:pt idx="53">
                  <c:v>9.9108295440673828</c:v>
                </c:pt>
                <c:pt idx="54">
                  <c:v>9.8322553634643555</c:v>
                </c:pt>
                <c:pt idx="55">
                  <c:v>10.104317665100099</c:v>
                </c:pt>
                <c:pt idx="56">
                  <c:v>10.479574203491209</c:v>
                </c:pt>
                <c:pt idx="57">
                  <c:v>10.30659866333008</c:v>
                </c:pt>
                <c:pt idx="58">
                  <c:v>9.9716520309448242</c:v>
                </c:pt>
                <c:pt idx="59">
                  <c:v>9.5038614273071289</c:v>
                </c:pt>
                <c:pt idx="60">
                  <c:v>10.220302581787109</c:v>
                </c:pt>
                <c:pt idx="61">
                  <c:v>10.12361431121826</c:v>
                </c:pt>
                <c:pt idx="62">
                  <c:v>9.667231559753418</c:v>
                </c:pt>
                <c:pt idx="63">
                  <c:v>9.9053821563720703</c:v>
                </c:pt>
                <c:pt idx="64">
                  <c:v>10.209037780761721</c:v>
                </c:pt>
                <c:pt idx="65">
                  <c:v>9.8081979751586914</c:v>
                </c:pt>
                <c:pt idx="66">
                  <c:v>9.7960281372070313</c:v>
                </c:pt>
                <c:pt idx="67">
                  <c:v>10.336894035339361</c:v>
                </c:pt>
                <c:pt idx="68">
                  <c:v>9.5001916885375977</c:v>
                </c:pt>
                <c:pt idx="69">
                  <c:v>9.9879436492919922</c:v>
                </c:pt>
                <c:pt idx="70">
                  <c:v>10.035182952880859</c:v>
                </c:pt>
                <c:pt idx="71">
                  <c:v>9.3500661849975586</c:v>
                </c:pt>
                <c:pt idx="72">
                  <c:v>9.5854959487915039</c:v>
                </c:pt>
                <c:pt idx="73">
                  <c:v>10.181632041931151</c:v>
                </c:pt>
                <c:pt idx="74">
                  <c:v>9.6559524536132813</c:v>
                </c:pt>
                <c:pt idx="75">
                  <c:v>10.34264469146729</c:v>
                </c:pt>
                <c:pt idx="76">
                  <c:v>10.34924793243408</c:v>
                </c:pt>
                <c:pt idx="77">
                  <c:v>10.021201133728029</c:v>
                </c:pt>
                <c:pt idx="78">
                  <c:v>10.186777114868161</c:v>
                </c:pt>
                <c:pt idx="79">
                  <c:v>10.13708019256592</c:v>
                </c:pt>
                <c:pt idx="80">
                  <c:v>9.8963651657104492</c:v>
                </c:pt>
                <c:pt idx="81">
                  <c:v>9.7401771545410156</c:v>
                </c:pt>
                <c:pt idx="82">
                  <c:v>9.7031536102294922</c:v>
                </c:pt>
                <c:pt idx="83">
                  <c:v>9.8334331512451172</c:v>
                </c:pt>
                <c:pt idx="84">
                  <c:v>9.9355688095092773</c:v>
                </c:pt>
                <c:pt idx="85">
                  <c:v>9.9923849105834961</c:v>
                </c:pt>
                <c:pt idx="86">
                  <c:v>9.0899944305419922</c:v>
                </c:pt>
                <c:pt idx="87">
                  <c:v>8.1635284423828125</c:v>
                </c:pt>
                <c:pt idx="88">
                  <c:v>8.4051065444946289</c:v>
                </c:pt>
                <c:pt idx="89">
                  <c:v>8.5719575881958008</c:v>
                </c:pt>
                <c:pt idx="90">
                  <c:v>8.1605062484741211</c:v>
                </c:pt>
                <c:pt idx="91">
                  <c:v>8.5513191223144531</c:v>
                </c:pt>
                <c:pt idx="92">
                  <c:v>9.6734085083007813</c:v>
                </c:pt>
                <c:pt idx="93">
                  <c:v>9.1637306213378906</c:v>
                </c:pt>
                <c:pt idx="94">
                  <c:v>8.9836063385009766</c:v>
                </c:pt>
                <c:pt idx="95">
                  <c:v>10.10492610931396</c:v>
                </c:pt>
                <c:pt idx="96">
                  <c:v>8.4991436004638672</c:v>
                </c:pt>
                <c:pt idx="97">
                  <c:v>8.8439493179321289</c:v>
                </c:pt>
                <c:pt idx="98">
                  <c:v>9.008183479309082</c:v>
                </c:pt>
                <c:pt idx="99">
                  <c:v>8.5165987014770508</c:v>
                </c:pt>
                <c:pt idx="100">
                  <c:v>8.8334064483642578</c:v>
                </c:pt>
                <c:pt idx="101">
                  <c:v>9.1523942947387695</c:v>
                </c:pt>
                <c:pt idx="102">
                  <c:v>9.0262651443481445</c:v>
                </c:pt>
                <c:pt idx="103">
                  <c:v>9.2664337158203125</c:v>
                </c:pt>
                <c:pt idx="104">
                  <c:v>8.5239744186401367</c:v>
                </c:pt>
                <c:pt idx="105">
                  <c:v>8.9338407516479492</c:v>
                </c:pt>
                <c:pt idx="106">
                  <c:v>9.0662498474121094</c:v>
                </c:pt>
                <c:pt idx="107">
                  <c:v>8.9049844741821289</c:v>
                </c:pt>
                <c:pt idx="120">
                  <c:v>9.5287399291992188</c:v>
                </c:pt>
                <c:pt idx="121">
                  <c:v>8.6736335754394531</c:v>
                </c:pt>
                <c:pt idx="122">
                  <c:v>9.3957614898681641</c:v>
                </c:pt>
                <c:pt idx="123">
                  <c:v>9.044957160949707</c:v>
                </c:pt>
                <c:pt idx="124">
                  <c:v>9.0706682205200195</c:v>
                </c:pt>
                <c:pt idx="125">
                  <c:v>9.4880580902099609</c:v>
                </c:pt>
                <c:pt idx="126">
                  <c:v>8.6935901641845703</c:v>
                </c:pt>
                <c:pt idx="127">
                  <c:v>8.9233102798461914</c:v>
                </c:pt>
                <c:pt idx="128">
                  <c:v>9.0621986389160156</c:v>
                </c:pt>
                <c:pt idx="129">
                  <c:v>9.0003786087036133</c:v>
                </c:pt>
                <c:pt idx="130">
                  <c:v>8.8596401214599609</c:v>
                </c:pt>
                <c:pt idx="131">
                  <c:v>8.2442560195922852</c:v>
                </c:pt>
              </c:numCache>
            </c:numRef>
          </c:val>
          <c:smooth val="0"/>
          <c:extLst>
            <c:ext xmlns:c16="http://schemas.microsoft.com/office/drawing/2014/chart" uri="{C3380CC4-5D6E-409C-BE32-E72D297353CC}">
              <c16:uniqueId val="{00000003-6610-4315-8B48-1BED9AD28585}"/>
            </c:ext>
          </c:extLst>
        </c:ser>
        <c:dLbls>
          <c:showLegendKey val="0"/>
          <c:showVal val="0"/>
          <c:showCatName val="0"/>
          <c:showSerName val="0"/>
          <c:showPercent val="0"/>
          <c:showBubbleSize val="0"/>
        </c:dLbls>
        <c:marker val="1"/>
        <c:smooth val="0"/>
        <c:axId val="40232818"/>
        <c:axId val="10269306"/>
      </c:lineChart>
      <c:dateAx>
        <c:axId val="40232818"/>
        <c:scaling>
          <c:orientation val="minMax"/>
        </c:scaling>
        <c:delete val="0"/>
        <c:axPos val="b"/>
        <c:numFmt formatCode="m/d/yyyy"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269306"/>
        <c:crosses val="autoZero"/>
        <c:auto val="1"/>
        <c:lblOffset val="100"/>
        <c:baseTimeUnit val="months"/>
      </c:dateAx>
      <c:valAx>
        <c:axId val="10269306"/>
        <c:scaling>
          <c:orientation val="minMax"/>
          <c:max val="11.5"/>
          <c:min val="5"/>
        </c:scaling>
        <c:delete val="0"/>
        <c:axPos val="l"/>
        <c:title>
          <c:tx>
            <c:rich>
              <a:bodyPr rot="-5400000" spcFirstLastPara="1" vertOverflow="ellipsis" vert="horz" wrap="square" anchor="ctr" anchorCtr="1"/>
              <a:lstStyle/>
              <a:p>
                <a:pPr>
                  <a:defRPr lang="en-US" sz="1000" b="0" i="0" u="none" baseline="0">
                    <a:solidFill>
                      <a:schemeClr val="tx1">
                        <a:lumMod val="65000"/>
                        <a:lumOff val="35000"/>
                      </a:schemeClr>
                    </a:solidFill>
                  </a:defRPr>
                </a:pPr>
                <a:r>
                  <a:rPr lang="en-US"/>
                  <a:t>Number of varieties</a:t>
                </a:r>
              </a:p>
            </c:rich>
          </c:tx>
          <c:overlay val="0"/>
          <c:spPr>
            <a:noFill/>
            <a:ln w="12700">
              <a:noFill/>
            </a:ln>
            <a:effectLst/>
          </c:spPr>
        </c:title>
        <c:numFmt formatCode="General" sourceLinked="1"/>
        <c:majorTickMark val="none"/>
        <c:minorTickMark val="none"/>
        <c:tickLblPos val="nextTo"/>
        <c:spPr>
          <a:noFill/>
          <a:ln w="12700">
            <a:noFill/>
          </a:ln>
          <a:effectLst/>
        </c:spPr>
        <c:txPr>
          <a:bodyPr rot="-54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32818"/>
        <c:crosses val="autoZero"/>
        <c:crossBetween val="between"/>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kern="1200" spc="0" baseline="0">
                <a:solidFill>
                  <a:srgbClr val="595959">
                    <a:lumMod val="65000"/>
                    <a:lumOff val="35000"/>
                  </a:srgbClr>
                </a:solidFill>
                <a:latin typeface="+mn-lt"/>
                <a:ea typeface="+mn-ea"/>
                <a:cs typeface="+mn-cs"/>
              </a:defRPr>
            </a:pPr>
            <a:r>
              <a:rPr lang="en-US"/>
              <a:t>Exports</a:t>
            </a:r>
          </a:p>
        </c:rich>
      </c:tx>
      <c:overlay val="0"/>
      <c:spPr>
        <a:noFill/>
        <a:ln w="12700">
          <a:noFill/>
        </a:ln>
        <a:effectLst/>
      </c:spPr>
    </c:title>
    <c:autoTitleDeleted val="0"/>
    <c:plotArea>
      <c:layout/>
      <c:barChart>
        <c:barDir val="col"/>
        <c:grouping val="clustered"/>
        <c:varyColors val="0"/>
        <c:ser>
          <c:idx val="0"/>
          <c:order val="1"/>
          <c:spPr>
            <a:solidFill>
              <a:srgbClr val="156082"/>
            </a:solidFill>
            <a:ln w="12700">
              <a:noFill/>
            </a:ln>
            <a:effectLst/>
          </c:spPr>
          <c:invertIfNegative val="0"/>
          <c:dPt>
            <c:idx val="48"/>
            <c:invertIfNegative val="0"/>
            <c:bubble3D val="0"/>
            <c:spPr>
              <a:solidFill>
                <a:srgbClr val="000000"/>
              </a:solidFill>
              <a:ln w="12700">
                <a:noFill/>
              </a:ln>
              <a:effectLst/>
            </c:spPr>
            <c:extLst>
              <c:ext xmlns:c16="http://schemas.microsoft.com/office/drawing/2014/chart" uri="{C3380CC4-5D6E-409C-BE32-E72D297353CC}">
                <c16:uniqueId val="{00000001-9710-4AEC-BBAB-808FBB0C5714}"/>
              </c:ext>
            </c:extLst>
          </c:dPt>
          <c:cat>
            <c:numRef>
              <c:f>'Figure 5'!$D$134:$D$265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5'!$H$134:$H$265</c:f>
              <c:numCache>
                <c:formatCode>General</c:formatCode>
                <c:ptCount val="132"/>
                <c:pt idx="48" formatCode="0">
                  <c:v>11</c:v>
                </c:pt>
              </c:numCache>
            </c:numRef>
          </c:val>
          <c:extLst>
            <c:ext xmlns:c16="http://schemas.microsoft.com/office/drawing/2014/chart" uri="{C3380CC4-5D6E-409C-BE32-E72D297353CC}">
              <c16:uniqueId val="{00000002-9710-4AEC-BBAB-808FBB0C5714}"/>
            </c:ext>
          </c:extLst>
        </c:ser>
        <c:dLbls>
          <c:showLegendKey val="0"/>
          <c:showVal val="0"/>
          <c:showCatName val="0"/>
          <c:showSerName val="0"/>
          <c:showPercent val="0"/>
          <c:showBubbleSize val="0"/>
        </c:dLbls>
        <c:gapWidth val="150"/>
        <c:axId val="6322402"/>
        <c:axId val="9293233"/>
      </c:barChart>
      <c:lineChart>
        <c:grouping val="standard"/>
        <c:varyColors val="0"/>
        <c:ser>
          <c:idx val="1"/>
          <c:order val="0"/>
          <c:tx>
            <c:strRef>
              <c:f>'Figure 5'!$G$1</c:f>
              <c:strCache>
                <c:ptCount val="1"/>
                <c:pt idx="0">
                  <c:v>Average number of varieties</c:v>
                </c:pt>
              </c:strCache>
            </c:strRef>
          </c:tx>
          <c:spPr>
            <a:ln w="12700" cap="rnd" cmpd="sng">
              <a:solidFill>
                <a:srgbClr val="0070C0"/>
              </a:solidFill>
              <a:round/>
            </a:ln>
            <a:effectLst/>
          </c:spPr>
          <c:marker>
            <c:symbol val="none"/>
          </c:marker>
          <c:cat>
            <c:numRef>
              <c:f>'Figure 5'!$D$134:$D$265</c:f>
              <c:numCache>
                <c:formatCode>m/d/yyyy</c:formatCode>
                <c:ptCount val="132"/>
                <c:pt idx="0">
                  <c:v>41275</c:v>
                </c:pt>
                <c:pt idx="1">
                  <c:v>41306</c:v>
                </c:pt>
                <c:pt idx="2">
                  <c:v>41334</c:v>
                </c:pt>
                <c:pt idx="3">
                  <c:v>41365</c:v>
                </c:pt>
                <c:pt idx="4">
                  <c:v>41395</c:v>
                </c:pt>
                <c:pt idx="5">
                  <c:v>41426</c:v>
                </c:pt>
                <c:pt idx="6">
                  <c:v>41456</c:v>
                </c:pt>
                <c:pt idx="7">
                  <c:v>41487</c:v>
                </c:pt>
                <c:pt idx="8">
                  <c:v>41518</c:v>
                </c:pt>
                <c:pt idx="9">
                  <c:v>41548</c:v>
                </c:pt>
                <c:pt idx="10">
                  <c:v>41579</c:v>
                </c:pt>
                <c:pt idx="11">
                  <c:v>41609</c:v>
                </c:pt>
                <c:pt idx="12">
                  <c:v>41640</c:v>
                </c:pt>
                <c:pt idx="13">
                  <c:v>41671</c:v>
                </c:pt>
                <c:pt idx="14">
                  <c:v>41699</c:v>
                </c:pt>
                <c:pt idx="15">
                  <c:v>41730</c:v>
                </c:pt>
                <c:pt idx="16">
                  <c:v>41760</c:v>
                </c:pt>
                <c:pt idx="17">
                  <c:v>41791</c:v>
                </c:pt>
                <c:pt idx="18">
                  <c:v>41821</c:v>
                </c:pt>
                <c:pt idx="19">
                  <c:v>41852</c:v>
                </c:pt>
                <c:pt idx="20">
                  <c:v>41883</c:v>
                </c:pt>
                <c:pt idx="21">
                  <c:v>41913</c:v>
                </c:pt>
                <c:pt idx="22">
                  <c:v>41944</c:v>
                </c:pt>
                <c:pt idx="23">
                  <c:v>41974</c:v>
                </c:pt>
                <c:pt idx="24">
                  <c:v>42005</c:v>
                </c:pt>
                <c:pt idx="25">
                  <c:v>42036</c:v>
                </c:pt>
                <c:pt idx="26">
                  <c:v>42064</c:v>
                </c:pt>
                <c:pt idx="27">
                  <c:v>42095</c:v>
                </c:pt>
                <c:pt idx="28">
                  <c:v>42125</c:v>
                </c:pt>
                <c:pt idx="29">
                  <c:v>42156</c:v>
                </c:pt>
                <c:pt idx="30">
                  <c:v>42186</c:v>
                </c:pt>
                <c:pt idx="31">
                  <c:v>42217</c:v>
                </c:pt>
                <c:pt idx="32">
                  <c:v>42248</c:v>
                </c:pt>
                <c:pt idx="33">
                  <c:v>42278</c:v>
                </c:pt>
                <c:pt idx="34">
                  <c:v>42309</c:v>
                </c:pt>
                <c:pt idx="35">
                  <c:v>42339</c:v>
                </c:pt>
                <c:pt idx="36">
                  <c:v>42370</c:v>
                </c:pt>
                <c:pt idx="37">
                  <c:v>42401</c:v>
                </c:pt>
                <c:pt idx="38">
                  <c:v>42430</c:v>
                </c:pt>
                <c:pt idx="39">
                  <c:v>42461</c:v>
                </c:pt>
                <c:pt idx="40">
                  <c:v>42491</c:v>
                </c:pt>
                <c:pt idx="41">
                  <c:v>42522</c:v>
                </c:pt>
                <c:pt idx="42">
                  <c:v>42552</c:v>
                </c:pt>
                <c:pt idx="43">
                  <c:v>42583</c:v>
                </c:pt>
                <c:pt idx="44">
                  <c:v>42614</c:v>
                </c:pt>
                <c:pt idx="45">
                  <c:v>42644</c:v>
                </c:pt>
                <c:pt idx="46">
                  <c:v>42675</c:v>
                </c:pt>
                <c:pt idx="47">
                  <c:v>42705</c:v>
                </c:pt>
                <c:pt idx="48">
                  <c:v>42736</c:v>
                </c:pt>
                <c:pt idx="49">
                  <c:v>42767</c:v>
                </c:pt>
                <c:pt idx="50">
                  <c:v>42795</c:v>
                </c:pt>
                <c:pt idx="51">
                  <c:v>42826</c:v>
                </c:pt>
                <c:pt idx="52">
                  <c:v>42856</c:v>
                </c:pt>
                <c:pt idx="53">
                  <c:v>42887</c:v>
                </c:pt>
                <c:pt idx="54">
                  <c:v>42917</c:v>
                </c:pt>
                <c:pt idx="55">
                  <c:v>42948</c:v>
                </c:pt>
                <c:pt idx="56">
                  <c:v>42979</c:v>
                </c:pt>
                <c:pt idx="57">
                  <c:v>43009</c:v>
                </c:pt>
                <c:pt idx="58">
                  <c:v>43040</c:v>
                </c:pt>
                <c:pt idx="59">
                  <c:v>43070</c:v>
                </c:pt>
                <c:pt idx="60">
                  <c:v>43101</c:v>
                </c:pt>
                <c:pt idx="61">
                  <c:v>43132</c:v>
                </c:pt>
                <c:pt idx="62">
                  <c:v>43160</c:v>
                </c:pt>
                <c:pt idx="63">
                  <c:v>43191</c:v>
                </c:pt>
                <c:pt idx="64">
                  <c:v>43221</c:v>
                </c:pt>
                <c:pt idx="65">
                  <c:v>43252</c:v>
                </c:pt>
                <c:pt idx="66">
                  <c:v>43282</c:v>
                </c:pt>
                <c:pt idx="67">
                  <c:v>43313</c:v>
                </c:pt>
                <c:pt idx="68">
                  <c:v>43344</c:v>
                </c:pt>
                <c:pt idx="69">
                  <c:v>43374</c:v>
                </c:pt>
                <c:pt idx="70">
                  <c:v>43405</c:v>
                </c:pt>
                <c:pt idx="71">
                  <c:v>43435</c:v>
                </c:pt>
                <c:pt idx="72">
                  <c:v>43466</c:v>
                </c:pt>
                <c:pt idx="73">
                  <c:v>43497</c:v>
                </c:pt>
                <c:pt idx="74">
                  <c:v>43525</c:v>
                </c:pt>
                <c:pt idx="75">
                  <c:v>43556</c:v>
                </c:pt>
                <c:pt idx="76">
                  <c:v>43586</c:v>
                </c:pt>
                <c:pt idx="77">
                  <c:v>43617</c:v>
                </c:pt>
                <c:pt idx="78">
                  <c:v>43647</c:v>
                </c:pt>
                <c:pt idx="79">
                  <c:v>43678</c:v>
                </c:pt>
                <c:pt idx="80">
                  <c:v>43709</c:v>
                </c:pt>
                <c:pt idx="81">
                  <c:v>43739</c:v>
                </c:pt>
                <c:pt idx="82">
                  <c:v>43770</c:v>
                </c:pt>
                <c:pt idx="83">
                  <c:v>43800</c:v>
                </c:pt>
                <c:pt idx="84">
                  <c:v>43831</c:v>
                </c:pt>
                <c:pt idx="85">
                  <c:v>43862</c:v>
                </c:pt>
                <c:pt idx="86">
                  <c:v>43891</c:v>
                </c:pt>
                <c:pt idx="87">
                  <c:v>43922</c:v>
                </c:pt>
                <c:pt idx="88">
                  <c:v>43952</c:v>
                </c:pt>
                <c:pt idx="89">
                  <c:v>43983</c:v>
                </c:pt>
                <c:pt idx="90">
                  <c:v>44013</c:v>
                </c:pt>
                <c:pt idx="91">
                  <c:v>44044</c:v>
                </c:pt>
                <c:pt idx="92">
                  <c:v>44075</c:v>
                </c:pt>
                <c:pt idx="93">
                  <c:v>44105</c:v>
                </c:pt>
                <c:pt idx="94">
                  <c:v>44136</c:v>
                </c:pt>
                <c:pt idx="95">
                  <c:v>44166</c:v>
                </c:pt>
                <c:pt idx="96">
                  <c:v>44197</c:v>
                </c:pt>
                <c:pt idx="97">
                  <c:v>44228</c:v>
                </c:pt>
                <c:pt idx="98">
                  <c:v>44256</c:v>
                </c:pt>
                <c:pt idx="99">
                  <c:v>44287</c:v>
                </c:pt>
                <c:pt idx="100">
                  <c:v>44317</c:v>
                </c:pt>
                <c:pt idx="101">
                  <c:v>44348</c:v>
                </c:pt>
                <c:pt idx="102">
                  <c:v>44378</c:v>
                </c:pt>
                <c:pt idx="103">
                  <c:v>44409</c:v>
                </c:pt>
                <c:pt idx="104">
                  <c:v>44440</c:v>
                </c:pt>
                <c:pt idx="105">
                  <c:v>44470</c:v>
                </c:pt>
                <c:pt idx="106">
                  <c:v>44501</c:v>
                </c:pt>
                <c:pt idx="107">
                  <c:v>44531</c:v>
                </c:pt>
                <c:pt idx="108">
                  <c:v>44562</c:v>
                </c:pt>
                <c:pt idx="109">
                  <c:v>44593</c:v>
                </c:pt>
                <c:pt idx="110">
                  <c:v>44621</c:v>
                </c:pt>
                <c:pt idx="111">
                  <c:v>44652</c:v>
                </c:pt>
                <c:pt idx="112">
                  <c:v>44682</c:v>
                </c:pt>
                <c:pt idx="113">
                  <c:v>44713</c:v>
                </c:pt>
                <c:pt idx="114">
                  <c:v>44743</c:v>
                </c:pt>
                <c:pt idx="115">
                  <c:v>44774</c:v>
                </c:pt>
                <c:pt idx="116">
                  <c:v>44805</c:v>
                </c:pt>
                <c:pt idx="117">
                  <c:v>44835</c:v>
                </c:pt>
                <c:pt idx="118">
                  <c:v>44866</c:v>
                </c:pt>
                <c:pt idx="119">
                  <c:v>44896</c:v>
                </c:pt>
                <c:pt idx="120">
                  <c:v>44927</c:v>
                </c:pt>
                <c:pt idx="121">
                  <c:v>44958</c:v>
                </c:pt>
                <c:pt idx="122">
                  <c:v>44986</c:v>
                </c:pt>
                <c:pt idx="123">
                  <c:v>45017</c:v>
                </c:pt>
                <c:pt idx="124">
                  <c:v>45047</c:v>
                </c:pt>
                <c:pt idx="125">
                  <c:v>45078</c:v>
                </c:pt>
                <c:pt idx="126">
                  <c:v>45108</c:v>
                </c:pt>
                <c:pt idx="127">
                  <c:v>45139</c:v>
                </c:pt>
                <c:pt idx="128">
                  <c:v>45170</c:v>
                </c:pt>
                <c:pt idx="129">
                  <c:v>45200</c:v>
                </c:pt>
                <c:pt idx="130">
                  <c:v>45231</c:v>
                </c:pt>
                <c:pt idx="131">
                  <c:v>45261</c:v>
                </c:pt>
              </c:numCache>
            </c:numRef>
          </c:cat>
          <c:val>
            <c:numRef>
              <c:f>'Figure 5'!$G$134:$G$265</c:f>
              <c:numCache>
                <c:formatCode>0</c:formatCode>
                <c:ptCount val="132"/>
                <c:pt idx="0">
                  <c:v>5.8652892112731934</c:v>
                </c:pt>
                <c:pt idx="1">
                  <c:v>5.5231070518493652</c:v>
                </c:pt>
                <c:pt idx="2">
                  <c:v>5.7591986656188956</c:v>
                </c:pt>
                <c:pt idx="3">
                  <c:v>5.5186605453491211</c:v>
                </c:pt>
                <c:pt idx="4">
                  <c:v>5.5850143432617188</c:v>
                </c:pt>
                <c:pt idx="5">
                  <c:v>5.4553461074829102</c:v>
                </c:pt>
                <c:pt idx="6">
                  <c:v>5.3126010894775391</c:v>
                </c:pt>
                <c:pt idx="7">
                  <c:v>5.5371594429016113</c:v>
                </c:pt>
                <c:pt idx="8">
                  <c:v>5.6034951210021973</c:v>
                </c:pt>
                <c:pt idx="9">
                  <c:v>5.335845947265625</c:v>
                </c:pt>
                <c:pt idx="10">
                  <c:v>5.4751191139221191</c:v>
                </c:pt>
                <c:pt idx="11">
                  <c:v>5.4411463737487793</c:v>
                </c:pt>
                <c:pt idx="12">
                  <c:v>5.5137591361999512</c:v>
                </c:pt>
                <c:pt idx="13">
                  <c:v>5.624382495880127</c:v>
                </c:pt>
                <c:pt idx="14">
                  <c:v>5.8762192726135254</c:v>
                </c:pt>
                <c:pt idx="15">
                  <c:v>5.6710395812988281</c:v>
                </c:pt>
                <c:pt idx="16">
                  <c:v>5.6661324501037598</c:v>
                </c:pt>
                <c:pt idx="17">
                  <c:v>5.7177286148071289</c:v>
                </c:pt>
                <c:pt idx="18">
                  <c:v>5.3501753807067871</c:v>
                </c:pt>
                <c:pt idx="19">
                  <c:v>6.0913910865783691</c:v>
                </c:pt>
                <c:pt idx="20">
                  <c:v>5.7176513671875</c:v>
                </c:pt>
                <c:pt idx="21">
                  <c:v>5.6123218536376953</c:v>
                </c:pt>
                <c:pt idx="22">
                  <c:v>6.0592951774597168</c:v>
                </c:pt>
                <c:pt idx="23">
                  <c:v>5.6271810531616211</c:v>
                </c:pt>
                <c:pt idx="24">
                  <c:v>5.7246828079223633</c:v>
                </c:pt>
                <c:pt idx="25">
                  <c:v>5.8017935752868652</c:v>
                </c:pt>
                <c:pt idx="26">
                  <c:v>5.2307882308959961</c:v>
                </c:pt>
                <c:pt idx="27">
                  <c:v>5.6788458824157706</c:v>
                </c:pt>
                <c:pt idx="28">
                  <c:v>5.3751382827758789</c:v>
                </c:pt>
                <c:pt idx="29">
                  <c:v>5.5013103485107422</c:v>
                </c:pt>
                <c:pt idx="30">
                  <c:v>5.2100076675415039</c:v>
                </c:pt>
                <c:pt idx="31">
                  <c:v>5.8507547378540039</c:v>
                </c:pt>
                <c:pt idx="32">
                  <c:v>5.8420896530151367</c:v>
                </c:pt>
                <c:pt idx="33">
                  <c:v>5.5267448425292969</c:v>
                </c:pt>
                <c:pt idx="34">
                  <c:v>5.772061824798584</c:v>
                </c:pt>
                <c:pt idx="35">
                  <c:v>5.5761423110961914</c:v>
                </c:pt>
                <c:pt idx="36">
                  <c:v>5.5799884796142578</c:v>
                </c:pt>
                <c:pt idx="37">
                  <c:v>5.5978984832763672</c:v>
                </c:pt>
                <c:pt idx="38">
                  <c:v>5.8331146240234384</c:v>
                </c:pt>
                <c:pt idx="39">
                  <c:v>5.7282514572143546</c:v>
                </c:pt>
                <c:pt idx="40">
                  <c:v>5.7192835807800293</c:v>
                </c:pt>
                <c:pt idx="41">
                  <c:v>6.1258468627929688</c:v>
                </c:pt>
                <c:pt idx="42">
                  <c:v>5.975395679473877</c:v>
                </c:pt>
                <c:pt idx="43">
                  <c:v>5.7872023582458496</c:v>
                </c:pt>
                <c:pt idx="44">
                  <c:v>5.6509380340576172</c:v>
                </c:pt>
                <c:pt idx="45">
                  <c:v>6.4921064376831046</c:v>
                </c:pt>
                <c:pt idx="46">
                  <c:v>5.8134193420410156</c:v>
                </c:pt>
                <c:pt idx="47">
                  <c:v>6.2573676109313956</c:v>
                </c:pt>
                <c:pt idx="48">
                  <c:v>6.2366747856140137</c:v>
                </c:pt>
                <c:pt idx="49">
                  <c:v>6.0322632789611816</c:v>
                </c:pt>
                <c:pt idx="50">
                  <c:v>5.7773923873901367</c:v>
                </c:pt>
                <c:pt idx="51">
                  <c:v>6.1613101959228516</c:v>
                </c:pt>
                <c:pt idx="52">
                  <c:v>5.9743595123291016</c:v>
                </c:pt>
                <c:pt idx="53">
                  <c:v>5.7166638374328613</c:v>
                </c:pt>
                <c:pt idx="54">
                  <c:v>5.975128173828125</c:v>
                </c:pt>
                <c:pt idx="55">
                  <c:v>5.5473852157592773</c:v>
                </c:pt>
                <c:pt idx="56">
                  <c:v>5.5971665382385254</c:v>
                </c:pt>
                <c:pt idx="57">
                  <c:v>5.5868716239929199</c:v>
                </c:pt>
                <c:pt idx="58">
                  <c:v>5.4157915115356454</c:v>
                </c:pt>
                <c:pt idx="59">
                  <c:v>5.5823802947998047</c:v>
                </c:pt>
                <c:pt idx="60">
                  <c:v>5.6157159805297852</c:v>
                </c:pt>
                <c:pt idx="61">
                  <c:v>5.7124991416931152</c:v>
                </c:pt>
                <c:pt idx="62">
                  <c:v>5.5604438781738281</c:v>
                </c:pt>
                <c:pt idx="63">
                  <c:v>5.9843120574951172</c:v>
                </c:pt>
                <c:pt idx="64">
                  <c:v>5.6494269371032706</c:v>
                </c:pt>
                <c:pt idx="65">
                  <c:v>5.7623534202575684</c:v>
                </c:pt>
                <c:pt idx="66">
                  <c:v>5.8958849906921387</c:v>
                </c:pt>
                <c:pt idx="67">
                  <c:v>5.6314864158630371</c:v>
                </c:pt>
                <c:pt idx="68">
                  <c:v>5.8294596672058114</c:v>
                </c:pt>
                <c:pt idx="69">
                  <c:v>6.0626959800720206</c:v>
                </c:pt>
                <c:pt idx="70">
                  <c:v>5.5505013465881348</c:v>
                </c:pt>
                <c:pt idx="71">
                  <c:v>6.0032467842102051</c:v>
                </c:pt>
                <c:pt idx="72">
                  <c:v>5.2492227554321289</c:v>
                </c:pt>
                <c:pt idx="73">
                  <c:v>5.7045612335205078</c:v>
                </c:pt>
                <c:pt idx="74">
                  <c:v>5.9236593246459961</c:v>
                </c:pt>
                <c:pt idx="75">
                  <c:v>5.8860373497009277</c:v>
                </c:pt>
                <c:pt idx="76">
                  <c:v>5.8933238983154297</c:v>
                </c:pt>
                <c:pt idx="77">
                  <c:v>5.7732272148132324</c:v>
                </c:pt>
                <c:pt idx="78">
                  <c:v>6.0198807716369629</c:v>
                </c:pt>
                <c:pt idx="79">
                  <c:v>5.8230690956115723</c:v>
                </c:pt>
                <c:pt idx="80">
                  <c:v>6.1621384620666504</c:v>
                </c:pt>
                <c:pt idx="81">
                  <c:v>5.2929692268371582</c:v>
                </c:pt>
                <c:pt idx="82">
                  <c:v>5.8252301216125488</c:v>
                </c:pt>
                <c:pt idx="83">
                  <c:v>5.8914704322814941</c:v>
                </c:pt>
                <c:pt idx="84">
                  <c:v>5.5727548599243164</c:v>
                </c:pt>
                <c:pt idx="85">
                  <c:v>5.6320738792419434</c:v>
                </c:pt>
                <c:pt idx="86">
                  <c:v>5.7735171318054199</c:v>
                </c:pt>
                <c:pt idx="87">
                  <c:v>4.9469418525695801</c:v>
                </c:pt>
                <c:pt idx="88">
                  <c:v>5.7540616989135742</c:v>
                </c:pt>
                <c:pt idx="89">
                  <c:v>5.7029943466186523</c:v>
                </c:pt>
                <c:pt idx="90">
                  <c:v>5.468299388885498</c:v>
                </c:pt>
                <c:pt idx="91">
                  <c:v>5.6214179992675781</c:v>
                </c:pt>
                <c:pt idx="92">
                  <c:v>5.6591610908508301</c:v>
                </c:pt>
                <c:pt idx="93">
                  <c:v>5.5818629264831543</c:v>
                </c:pt>
                <c:pt idx="94">
                  <c:v>5.700718879699707</c:v>
                </c:pt>
                <c:pt idx="95">
                  <c:v>5.1626782417297363</c:v>
                </c:pt>
                <c:pt idx="96">
                  <c:v>5.3272919654846191</c:v>
                </c:pt>
                <c:pt idx="97">
                  <c:v>5.5678720474243164</c:v>
                </c:pt>
                <c:pt idx="98">
                  <c:v>5.3437647819519043</c:v>
                </c:pt>
                <c:pt idx="99">
                  <c:v>5.2388486862182617</c:v>
                </c:pt>
                <c:pt idx="100">
                  <c:v>5.7985177040100098</c:v>
                </c:pt>
                <c:pt idx="101">
                  <c:v>5.4332308769226074</c:v>
                </c:pt>
                <c:pt idx="102">
                  <c:v>5.3876223564147949</c:v>
                </c:pt>
                <c:pt idx="103">
                  <c:v>5.5187020301818848</c:v>
                </c:pt>
                <c:pt idx="104">
                  <c:v>5.041010856628418</c:v>
                </c:pt>
                <c:pt idx="105">
                  <c:v>5.5597290992736816</c:v>
                </c:pt>
                <c:pt idx="106">
                  <c:v>5.4612603187561044</c:v>
                </c:pt>
                <c:pt idx="107">
                  <c:v>5.2842307090759277</c:v>
                </c:pt>
                <c:pt idx="120">
                  <c:v>5.9713783264160156</c:v>
                </c:pt>
                <c:pt idx="121">
                  <c:v>5.4539752006530762</c:v>
                </c:pt>
                <c:pt idx="122">
                  <c:v>5.5654616355895996</c:v>
                </c:pt>
                <c:pt idx="123">
                  <c:v>5.8217463493347168</c:v>
                </c:pt>
                <c:pt idx="124">
                  <c:v>5.2124958038330078</c:v>
                </c:pt>
                <c:pt idx="125">
                  <c:v>5.4301462173461914</c:v>
                </c:pt>
                <c:pt idx="126">
                  <c:v>6.0145173072814941</c:v>
                </c:pt>
                <c:pt idx="127">
                  <c:v>5.1913728713989258</c:v>
                </c:pt>
                <c:pt idx="128">
                  <c:v>5.4871015548706046</c:v>
                </c:pt>
                <c:pt idx="129">
                  <c:v>5.5291528701782227</c:v>
                </c:pt>
                <c:pt idx="130">
                  <c:v>5.4967737197875977</c:v>
                </c:pt>
                <c:pt idx="131">
                  <c:v>5.7340235710144043</c:v>
                </c:pt>
              </c:numCache>
            </c:numRef>
          </c:val>
          <c:smooth val="0"/>
          <c:extLst>
            <c:ext xmlns:c16="http://schemas.microsoft.com/office/drawing/2014/chart" uri="{C3380CC4-5D6E-409C-BE32-E72D297353CC}">
              <c16:uniqueId val="{00000003-9710-4AEC-BBAB-808FBB0C5714}"/>
            </c:ext>
          </c:extLst>
        </c:ser>
        <c:dLbls>
          <c:showLegendKey val="0"/>
          <c:showVal val="0"/>
          <c:showCatName val="0"/>
          <c:showSerName val="0"/>
          <c:showPercent val="0"/>
          <c:showBubbleSize val="0"/>
        </c:dLbls>
        <c:marker val="1"/>
        <c:smooth val="0"/>
        <c:axId val="6322402"/>
        <c:axId val="9293233"/>
      </c:lineChart>
      <c:dateAx>
        <c:axId val="6322402"/>
        <c:scaling>
          <c:orientation val="minMax"/>
        </c:scaling>
        <c:delete val="0"/>
        <c:axPos val="b"/>
        <c:numFmt formatCode="m/d/yyyy" sourceLinked="1"/>
        <c:majorTickMark val="out"/>
        <c:minorTickMark val="none"/>
        <c:tickLblPos val="nextTo"/>
        <c:spPr>
          <a:noFill/>
          <a:ln w="9525" cap="flat" cmpd="sng">
            <a:solidFill>
              <a:schemeClr val="tx1">
                <a:lumMod val="15000"/>
                <a:lumOff val="85000"/>
              </a:schemeClr>
            </a:solidFill>
            <a:round/>
          </a:ln>
          <a:effectLst/>
        </c:spPr>
        <c:txPr>
          <a:bodyPr rot="-2700000" vert="horz" wrap="square"/>
          <a:lstStyle/>
          <a:p>
            <a:pPr>
              <a:defRPr lang="en-US" sz="900" b="0" i="0" u="non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93233"/>
        <c:crosses val="autoZero"/>
        <c:auto val="1"/>
        <c:lblOffset val="100"/>
        <c:baseTimeUnit val="months"/>
      </c:dateAx>
      <c:valAx>
        <c:axId val="9293233"/>
        <c:scaling>
          <c:orientation val="minMax"/>
          <c:max val="11.5"/>
          <c:min val="5"/>
        </c:scaling>
        <c:delete val="0"/>
        <c:axPos val="l"/>
        <c:numFmt formatCode="General" sourceLinked="1"/>
        <c:majorTickMark val="none"/>
        <c:minorTickMark val="none"/>
        <c:tickLblPos val="nextTo"/>
        <c:spPr>
          <a:solidFill>
            <a:srgbClr val="FFFFFF"/>
          </a:solidFill>
          <a:ln w="12700">
            <a:noFill/>
          </a:ln>
          <a:effectLst/>
        </c:spPr>
        <c:txPr>
          <a:bodyPr rot="-5400000" vert="horz" wrap="square"/>
          <a:lstStyle/>
          <a:p>
            <a:pPr>
              <a:defRPr lang="en-US" sz="900" b="0" i="0" u="none" kern="1200" baseline="0">
                <a:solidFill>
                  <a:schemeClr val="bg1"/>
                </a:solidFill>
                <a:latin typeface="+mn-lt"/>
                <a:ea typeface="+mn-ea"/>
                <a:cs typeface="+mn-cs"/>
              </a:defRPr>
            </a:pPr>
            <a:endParaRPr lang="en-US"/>
          </a:p>
        </c:txPr>
        <c:crossAx val="6322402"/>
        <c:crosses val="autoZero"/>
        <c:crossBetween val="between"/>
      </c:valAx>
      <c:spPr>
        <a:noFill/>
        <a:ln w="12700">
          <a:noFill/>
        </a:ln>
        <a:effectLst/>
      </c:spPr>
    </c:plotArea>
    <c:legend>
      <c:legendPos val="b"/>
      <c:legendEntry>
        <c:idx val="0"/>
        <c:delete val="1"/>
      </c:legendEntry>
      <c:overlay val="0"/>
      <c:spPr>
        <a:noFill/>
        <a:ln w="12700">
          <a:noFill/>
        </a:ln>
        <a:effectLst/>
      </c:spPr>
      <c:txPr>
        <a:bodyPr rot="0" spcFirstLastPara="1" vertOverflow="ellipsis" vert="horz" wrap="square" anchor="ctr" anchorCtr="1"/>
        <a:lstStyle/>
        <a:p>
          <a:pPr algn="l">
            <a:defRPr lang="en-US" sz="900" b="0" i="0" u="none" kern="1200" baseline="0">
              <a:solidFill>
                <a:srgbClr val="595959">
                  <a:lumMod val="65000"/>
                  <a:lumOff val="35000"/>
                </a:srgbClr>
              </a:solidFill>
              <a:latin typeface="+mn-lt"/>
              <a:ea typeface="+mn-ea"/>
              <a:cs typeface="+mn-cs"/>
            </a:defRPr>
          </a:pPr>
          <a:endParaRPr lang="en-US"/>
        </a:p>
      </c:txPr>
    </c:legend>
    <c:plotVisOnly val="1"/>
    <c:dispBlanksAs val="gap"/>
    <c:showDLblsOverMax val="0"/>
  </c:chart>
  <c:spPr>
    <a:solidFill>
      <a:srgbClr val="FFFFFF"/>
    </a:solidFill>
    <a:ln w="9525" cap="flat" cmpd="sng">
      <a:noFill/>
      <a:round/>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8085</Words>
  <Characters>46088</Characters>
  <Application>Microsoft Office Word</Application>
  <DocSecurity>0</DocSecurity>
  <Lines>384</Lines>
  <Paragraphs>108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54065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SHK</cp:lastModifiedBy>
  <cp:revision>57</cp:revision>
  <dcterms:created xsi:type="dcterms:W3CDTF">2026-06-12T16:26:00Z</dcterms:created>
  <dcterms:modified xsi:type="dcterms:W3CDTF">2026-07-07T19:48:00Z</dcterms:modified>
  <cp:category/>
</cp:coreProperties>
</file>