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C1F7" w14:textId="77777777" w:rsidR="006458FC" w:rsidRPr="00FC0A46" w:rsidRDefault="006458FC" w:rsidP="006458FC">
      <w:pPr>
        <w:spacing w:line="240" w:lineRule="auto"/>
        <w:jc w:val="center"/>
        <w:rPr>
          <w:rFonts w:cs="Times New Roman"/>
          <w:szCs w:val="28"/>
        </w:rPr>
      </w:pPr>
      <w:r w:rsidRPr="00FC0A46">
        <w:rPr>
          <w:rFonts w:cs="Times New Roman"/>
          <w:szCs w:val="28"/>
        </w:rPr>
        <w:t xml:space="preserve">Федеральное государственное автономное </w:t>
      </w:r>
    </w:p>
    <w:p w14:paraId="6E7A1ADC" w14:textId="77777777" w:rsidR="006458FC" w:rsidRPr="00FC0A46" w:rsidRDefault="006458FC" w:rsidP="006458FC">
      <w:pPr>
        <w:spacing w:line="240" w:lineRule="auto"/>
        <w:jc w:val="center"/>
        <w:rPr>
          <w:rFonts w:cs="Times New Roman"/>
          <w:szCs w:val="28"/>
        </w:rPr>
      </w:pPr>
      <w:r w:rsidRPr="00FC0A46">
        <w:rPr>
          <w:rFonts w:cs="Times New Roman"/>
          <w:szCs w:val="28"/>
        </w:rPr>
        <w:t>образовательное учреждение</w:t>
      </w:r>
    </w:p>
    <w:p w14:paraId="5D656D1F" w14:textId="77777777" w:rsidR="006458FC" w:rsidRPr="00FC0A46" w:rsidRDefault="006458FC" w:rsidP="006458FC">
      <w:pPr>
        <w:spacing w:line="240" w:lineRule="auto"/>
        <w:jc w:val="center"/>
        <w:rPr>
          <w:rFonts w:cs="Times New Roman"/>
          <w:szCs w:val="28"/>
        </w:rPr>
      </w:pPr>
      <w:r w:rsidRPr="00FC0A46">
        <w:rPr>
          <w:rFonts w:cs="Times New Roman"/>
          <w:szCs w:val="28"/>
        </w:rPr>
        <w:t>высшего образования</w:t>
      </w:r>
    </w:p>
    <w:p w14:paraId="17181A34" w14:textId="77777777" w:rsidR="006458FC" w:rsidRPr="00FC0A46" w:rsidRDefault="006458FC" w:rsidP="006458FC">
      <w:pPr>
        <w:spacing w:line="240" w:lineRule="auto"/>
        <w:jc w:val="center"/>
        <w:rPr>
          <w:rFonts w:cs="Times New Roman"/>
          <w:szCs w:val="28"/>
        </w:rPr>
      </w:pPr>
      <w:r w:rsidRPr="00FC0A46">
        <w:rPr>
          <w:rFonts w:cs="Times New Roman"/>
          <w:szCs w:val="28"/>
        </w:rPr>
        <w:t>«СИБИРСКИЙ ФЕДЕРАЛЬНЫЙ УНИВЕРСИТЕТ»</w:t>
      </w:r>
    </w:p>
    <w:p w14:paraId="12B1EB80" w14:textId="77777777" w:rsidR="006458FC" w:rsidRPr="00FC0A46" w:rsidRDefault="006458FC" w:rsidP="006458FC">
      <w:pPr>
        <w:spacing w:line="240" w:lineRule="auto"/>
        <w:jc w:val="center"/>
        <w:rPr>
          <w:rFonts w:cs="Times New Roman"/>
          <w:szCs w:val="28"/>
        </w:rPr>
      </w:pPr>
      <w:r w:rsidRPr="00FC0A46">
        <w:rPr>
          <w:rFonts w:cs="Times New Roman"/>
          <w:szCs w:val="28"/>
        </w:rPr>
        <w:t>Институт инженерной физики и радиоэлектроники</w:t>
      </w:r>
    </w:p>
    <w:p w14:paraId="4EA4403A" w14:textId="77777777" w:rsidR="006458FC" w:rsidRPr="00FC0A46" w:rsidRDefault="006458FC" w:rsidP="006458FC">
      <w:pPr>
        <w:spacing w:line="240" w:lineRule="auto"/>
        <w:jc w:val="center"/>
        <w:rPr>
          <w:rFonts w:cs="Times New Roman"/>
          <w:szCs w:val="28"/>
        </w:rPr>
      </w:pPr>
      <w:r w:rsidRPr="00FC0A46">
        <w:rPr>
          <w:rFonts w:cs="Times New Roman"/>
          <w:szCs w:val="28"/>
        </w:rPr>
        <w:t>Кафедра радиотехники</w:t>
      </w:r>
    </w:p>
    <w:p w14:paraId="0E40C9CA" w14:textId="77777777" w:rsidR="006458FC" w:rsidRPr="00FC0A46" w:rsidRDefault="006458FC" w:rsidP="006458FC">
      <w:pPr>
        <w:spacing w:line="240" w:lineRule="auto"/>
        <w:jc w:val="center"/>
        <w:rPr>
          <w:rFonts w:cs="Times New Roman"/>
        </w:rPr>
      </w:pPr>
    </w:p>
    <w:p w14:paraId="668A0041" w14:textId="77777777" w:rsidR="006458FC" w:rsidRPr="00FC0A46" w:rsidRDefault="006458FC" w:rsidP="006458FC">
      <w:pPr>
        <w:spacing w:line="240" w:lineRule="auto"/>
        <w:jc w:val="center"/>
        <w:rPr>
          <w:rFonts w:cs="Times New Roman"/>
        </w:rPr>
      </w:pPr>
    </w:p>
    <w:p w14:paraId="5738AE74" w14:textId="77777777" w:rsidR="006458FC" w:rsidRPr="00EA2474" w:rsidRDefault="006458FC" w:rsidP="00441DE9">
      <w:pPr>
        <w:pStyle w:val="a3"/>
        <w:jc w:val="center"/>
      </w:pPr>
    </w:p>
    <w:p w14:paraId="3489871C" w14:textId="77777777" w:rsidR="006458FC" w:rsidRPr="00FC0A46" w:rsidRDefault="006458FC" w:rsidP="006458FC">
      <w:pPr>
        <w:spacing w:line="240" w:lineRule="auto"/>
        <w:jc w:val="center"/>
        <w:rPr>
          <w:rFonts w:cs="Times New Roman"/>
        </w:rPr>
      </w:pPr>
    </w:p>
    <w:p w14:paraId="1B111763" w14:textId="77777777" w:rsidR="006458FC" w:rsidRPr="00FC0A46" w:rsidRDefault="006458FC" w:rsidP="006458FC">
      <w:pPr>
        <w:spacing w:line="240" w:lineRule="auto"/>
        <w:jc w:val="center"/>
        <w:rPr>
          <w:rFonts w:cs="Times New Roman"/>
        </w:rPr>
      </w:pPr>
    </w:p>
    <w:p w14:paraId="79BAFF1D" w14:textId="77777777" w:rsidR="006458FC" w:rsidRPr="00FC0A46" w:rsidRDefault="006458FC" w:rsidP="006458FC">
      <w:pPr>
        <w:spacing w:line="240" w:lineRule="auto"/>
        <w:jc w:val="center"/>
        <w:rPr>
          <w:rFonts w:cs="Times New Roman"/>
        </w:rPr>
      </w:pPr>
    </w:p>
    <w:p w14:paraId="15D9E6AF" w14:textId="77777777" w:rsidR="006458FC" w:rsidRPr="00FC0A46" w:rsidRDefault="006458FC" w:rsidP="006458FC">
      <w:pPr>
        <w:spacing w:line="240" w:lineRule="auto"/>
        <w:jc w:val="center"/>
        <w:rPr>
          <w:rFonts w:cs="Times New Roman"/>
        </w:rPr>
      </w:pPr>
    </w:p>
    <w:p w14:paraId="637397D2" w14:textId="77777777" w:rsidR="006458FC" w:rsidRPr="00FC0A46" w:rsidRDefault="006458FC" w:rsidP="006458FC">
      <w:pPr>
        <w:spacing w:line="240" w:lineRule="auto"/>
        <w:jc w:val="center"/>
        <w:rPr>
          <w:rFonts w:cs="Times New Roman"/>
        </w:rPr>
      </w:pPr>
    </w:p>
    <w:p w14:paraId="649441BB" w14:textId="77777777" w:rsidR="006458FC" w:rsidRPr="00FC0A46" w:rsidRDefault="006458FC" w:rsidP="006458FC">
      <w:pPr>
        <w:spacing w:line="240" w:lineRule="auto"/>
        <w:jc w:val="center"/>
        <w:rPr>
          <w:rFonts w:cs="Times New Roman"/>
          <w:b/>
          <w:szCs w:val="28"/>
        </w:rPr>
      </w:pPr>
    </w:p>
    <w:p w14:paraId="26AA9919" w14:textId="77777777" w:rsidR="006458FC" w:rsidRPr="00FC0A46" w:rsidRDefault="006458FC" w:rsidP="006458FC">
      <w:pPr>
        <w:spacing w:line="240" w:lineRule="auto"/>
        <w:jc w:val="center"/>
        <w:rPr>
          <w:rFonts w:cs="Times New Roman"/>
          <w:b/>
          <w:szCs w:val="28"/>
        </w:rPr>
      </w:pPr>
      <w:r w:rsidRPr="00FC0A46">
        <w:rPr>
          <w:rFonts w:cs="Times New Roman"/>
          <w:b/>
          <w:szCs w:val="28"/>
        </w:rPr>
        <w:t xml:space="preserve">ОТЧЕТ О </w:t>
      </w:r>
      <w:r>
        <w:rPr>
          <w:rFonts w:cs="Times New Roman"/>
          <w:b/>
          <w:szCs w:val="28"/>
        </w:rPr>
        <w:t>НАУЧНО-ИССЛЕДОВАТЕЛЬСКОЙ РАБОТЕ</w:t>
      </w:r>
    </w:p>
    <w:p w14:paraId="79C018B7" w14:textId="77777777" w:rsidR="006458FC" w:rsidRPr="00FC0A46" w:rsidRDefault="006458FC" w:rsidP="006458FC">
      <w:pPr>
        <w:spacing w:line="240" w:lineRule="auto"/>
        <w:jc w:val="center"/>
        <w:rPr>
          <w:rFonts w:cs="Times New Roman"/>
          <w:b/>
          <w:szCs w:val="28"/>
        </w:rPr>
      </w:pPr>
    </w:p>
    <w:p w14:paraId="59810D01" w14:textId="1A33B896" w:rsidR="006458FC" w:rsidRPr="006458FC" w:rsidRDefault="006458FC" w:rsidP="006458FC">
      <w:pPr>
        <w:spacing w:line="240" w:lineRule="auto"/>
        <w:jc w:val="center"/>
        <w:rPr>
          <w:rFonts w:cs="Times New Roman"/>
          <w:szCs w:val="28"/>
        </w:rPr>
      </w:pPr>
      <w:r>
        <w:t xml:space="preserve">Использование </w:t>
      </w:r>
      <w:proofErr w:type="spellStart"/>
      <w:r>
        <w:rPr>
          <w:lang w:val="en-US"/>
        </w:rPr>
        <w:t>NeQuick</w:t>
      </w:r>
      <w:proofErr w:type="spellEnd"/>
      <w:r w:rsidRPr="006458FC">
        <w:t xml:space="preserve"> </w:t>
      </w:r>
      <w:r>
        <w:t>в спутниковой связи</w:t>
      </w:r>
    </w:p>
    <w:p w14:paraId="46DCC830" w14:textId="1A33B896" w:rsidR="006458FC" w:rsidRPr="00FC0A46" w:rsidRDefault="006458FC" w:rsidP="006458FC">
      <w:pPr>
        <w:spacing w:line="240" w:lineRule="auto"/>
        <w:jc w:val="center"/>
        <w:rPr>
          <w:rFonts w:cs="Times New Roman"/>
          <w:szCs w:val="28"/>
        </w:rPr>
      </w:pPr>
    </w:p>
    <w:p w14:paraId="1EF8B7B3" w14:textId="77777777" w:rsidR="006458FC" w:rsidRPr="00FC0A46" w:rsidRDefault="006458FC" w:rsidP="006458FC">
      <w:pPr>
        <w:spacing w:line="240" w:lineRule="auto"/>
        <w:jc w:val="center"/>
        <w:rPr>
          <w:rFonts w:cs="Times New Roman"/>
          <w:szCs w:val="28"/>
        </w:rPr>
      </w:pPr>
    </w:p>
    <w:p w14:paraId="46AC14D6" w14:textId="77777777" w:rsidR="006458FC" w:rsidRPr="00FC0A46" w:rsidRDefault="006458FC" w:rsidP="006458FC">
      <w:pPr>
        <w:spacing w:line="240" w:lineRule="auto"/>
        <w:jc w:val="center"/>
        <w:rPr>
          <w:rFonts w:cs="Times New Roman"/>
          <w:sz w:val="20"/>
          <w:szCs w:val="20"/>
        </w:rPr>
      </w:pPr>
    </w:p>
    <w:p w14:paraId="52A8222B" w14:textId="77777777" w:rsidR="006458FC" w:rsidRPr="00FC0A46" w:rsidRDefault="006458FC" w:rsidP="006458FC">
      <w:pPr>
        <w:spacing w:line="240" w:lineRule="auto"/>
        <w:jc w:val="center"/>
        <w:rPr>
          <w:rFonts w:cs="Times New Roman"/>
          <w:sz w:val="20"/>
          <w:szCs w:val="20"/>
        </w:rPr>
      </w:pPr>
    </w:p>
    <w:p w14:paraId="1733AFF4" w14:textId="1ABFC1AF" w:rsidR="006458FC" w:rsidRPr="00FC0A46" w:rsidRDefault="006458FC" w:rsidP="006458FC">
      <w:pPr>
        <w:spacing w:line="240" w:lineRule="auto"/>
        <w:jc w:val="center"/>
        <w:rPr>
          <w:rFonts w:cs="Times New Roman"/>
          <w:sz w:val="20"/>
          <w:szCs w:val="20"/>
        </w:rPr>
      </w:pPr>
    </w:p>
    <w:p w14:paraId="34F1DF6F" w14:textId="77777777" w:rsidR="006458FC" w:rsidRPr="00FC0A46" w:rsidRDefault="006458FC" w:rsidP="006458FC">
      <w:pPr>
        <w:spacing w:line="240" w:lineRule="auto"/>
        <w:jc w:val="center"/>
        <w:rPr>
          <w:rFonts w:cs="Times New Roman"/>
        </w:rPr>
      </w:pPr>
    </w:p>
    <w:p w14:paraId="3E157D37" w14:textId="77777777" w:rsidR="006458FC" w:rsidRPr="00FC0A46" w:rsidRDefault="006458FC" w:rsidP="00441DE9">
      <w:pPr>
        <w:spacing w:line="240" w:lineRule="auto"/>
        <w:jc w:val="center"/>
        <w:rPr>
          <w:rFonts w:cs="Times New Roman"/>
        </w:rPr>
      </w:pPr>
    </w:p>
    <w:p w14:paraId="5971834A" w14:textId="77777777" w:rsidR="006458FC" w:rsidRPr="00FC0A46" w:rsidRDefault="006458FC" w:rsidP="00441DE9">
      <w:pPr>
        <w:spacing w:line="240" w:lineRule="auto"/>
        <w:jc w:val="center"/>
        <w:rPr>
          <w:rFonts w:cs="Times New Roman"/>
        </w:rPr>
      </w:pPr>
    </w:p>
    <w:p w14:paraId="72C6A5B1" w14:textId="77777777" w:rsidR="006458FC" w:rsidRPr="00FC0A46" w:rsidRDefault="006458FC" w:rsidP="00441DE9">
      <w:pPr>
        <w:spacing w:line="240" w:lineRule="auto"/>
        <w:jc w:val="center"/>
        <w:rPr>
          <w:rFonts w:cs="Times New Roman"/>
        </w:rPr>
      </w:pPr>
    </w:p>
    <w:p w14:paraId="49CF6226" w14:textId="77777777" w:rsidR="006458FC" w:rsidRPr="00FC0A46" w:rsidRDefault="006458FC" w:rsidP="006458FC">
      <w:pPr>
        <w:spacing w:line="240" w:lineRule="auto"/>
        <w:jc w:val="center"/>
        <w:rPr>
          <w:rFonts w:cs="Times New Roman"/>
        </w:rPr>
      </w:pPr>
    </w:p>
    <w:p w14:paraId="33F5268B" w14:textId="3783C1B2" w:rsidR="006458FC" w:rsidRDefault="006458FC" w:rsidP="006458FC">
      <w:pPr>
        <w:spacing w:line="240" w:lineRule="auto"/>
        <w:jc w:val="center"/>
        <w:rPr>
          <w:rFonts w:cs="Times New Roman"/>
        </w:rPr>
      </w:pPr>
    </w:p>
    <w:p w14:paraId="54AAA0E1" w14:textId="60D9F6FE" w:rsidR="00441DE9" w:rsidRDefault="00441DE9" w:rsidP="006458FC">
      <w:pPr>
        <w:spacing w:line="240" w:lineRule="auto"/>
        <w:jc w:val="center"/>
        <w:rPr>
          <w:rFonts w:cs="Times New Roman"/>
        </w:rPr>
      </w:pPr>
    </w:p>
    <w:p w14:paraId="29ED5825" w14:textId="77777777" w:rsidR="00441DE9" w:rsidRDefault="00441DE9" w:rsidP="006458FC">
      <w:pPr>
        <w:spacing w:line="240" w:lineRule="auto"/>
        <w:jc w:val="center"/>
        <w:rPr>
          <w:rFonts w:cs="Times New Roman"/>
        </w:rPr>
      </w:pPr>
    </w:p>
    <w:p w14:paraId="3923AFFD" w14:textId="29233E06" w:rsidR="00441DE9" w:rsidRDefault="00441DE9" w:rsidP="006458FC">
      <w:pPr>
        <w:spacing w:line="240" w:lineRule="auto"/>
        <w:jc w:val="center"/>
        <w:rPr>
          <w:rFonts w:cs="Times New Roman"/>
        </w:rPr>
      </w:pPr>
    </w:p>
    <w:p w14:paraId="6DAD0C6C" w14:textId="03E68514" w:rsidR="00441DE9" w:rsidRPr="00FC0A46" w:rsidRDefault="00441DE9" w:rsidP="00441DE9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C0A46">
        <w:rPr>
          <w:rFonts w:cs="Times New Roman"/>
          <w:szCs w:val="28"/>
        </w:rPr>
        <w:tab/>
      </w:r>
      <w:r w:rsidRPr="00FC0A46">
        <w:rPr>
          <w:rFonts w:cs="Times New Roman"/>
          <w:szCs w:val="28"/>
        </w:rPr>
        <w:tab/>
        <w:t>__________</w:t>
      </w:r>
      <w:r w:rsidRPr="00FC0A46">
        <w:rPr>
          <w:rFonts w:cs="Times New Roman"/>
          <w:szCs w:val="28"/>
        </w:rPr>
        <w:tab/>
      </w:r>
      <w:r w:rsidRPr="00FC0A46">
        <w:rPr>
          <w:rFonts w:cs="Times New Roman"/>
          <w:szCs w:val="28"/>
        </w:rPr>
        <w:tab/>
        <w:t xml:space="preserve">       </w:t>
      </w:r>
      <w:r>
        <w:rPr>
          <w:rFonts w:cs="Times New Roman"/>
          <w:szCs w:val="28"/>
        </w:rPr>
        <w:t>Валиханов</w:t>
      </w:r>
      <w:r w:rsidRPr="00FC0A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</w:t>
      </w:r>
      <w:r w:rsidRPr="00FC0A4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М</w:t>
      </w:r>
      <w:r w:rsidRPr="00FC0A46">
        <w:rPr>
          <w:rFonts w:cs="Times New Roman"/>
          <w:szCs w:val="28"/>
        </w:rPr>
        <w:t>.</w:t>
      </w:r>
    </w:p>
    <w:p w14:paraId="22C26A19" w14:textId="77777777" w:rsidR="00441DE9" w:rsidRPr="00FC0A46" w:rsidRDefault="00441DE9" w:rsidP="00441DE9">
      <w:pPr>
        <w:spacing w:line="240" w:lineRule="auto"/>
        <w:rPr>
          <w:rFonts w:cs="Times New Roman"/>
          <w:sz w:val="20"/>
          <w:szCs w:val="20"/>
        </w:rPr>
      </w:pPr>
      <w:r w:rsidRPr="00FC0A46">
        <w:rPr>
          <w:rFonts w:cs="Times New Roman"/>
        </w:rPr>
        <w:tab/>
      </w:r>
      <w:r w:rsidRPr="00FC0A46">
        <w:rPr>
          <w:rFonts w:cs="Times New Roman"/>
        </w:rPr>
        <w:tab/>
      </w:r>
      <w:r w:rsidRPr="00FC0A46">
        <w:rPr>
          <w:rFonts w:cs="Times New Roman"/>
        </w:rPr>
        <w:tab/>
      </w:r>
      <w:r w:rsidRPr="00FC0A46">
        <w:rPr>
          <w:rFonts w:cs="Times New Roman"/>
        </w:rPr>
        <w:tab/>
      </w:r>
      <w:r w:rsidRPr="00FC0A46">
        <w:rPr>
          <w:rFonts w:cs="Times New Roman"/>
        </w:rPr>
        <w:tab/>
      </w:r>
      <w:r w:rsidRPr="00FC0A46">
        <w:rPr>
          <w:rFonts w:cs="Times New Roman"/>
        </w:rPr>
        <w:tab/>
      </w:r>
      <w:r w:rsidRPr="00FC0A46">
        <w:rPr>
          <w:rFonts w:cs="Times New Roman"/>
        </w:rPr>
        <w:tab/>
      </w:r>
      <w:r w:rsidRPr="00FC0A46">
        <w:rPr>
          <w:rFonts w:cs="Times New Roman"/>
          <w:sz w:val="20"/>
          <w:szCs w:val="20"/>
        </w:rPr>
        <w:t>подпись, дата</w:t>
      </w:r>
      <w:r w:rsidRPr="00FC0A46">
        <w:rPr>
          <w:rFonts w:cs="Times New Roman"/>
          <w:sz w:val="20"/>
          <w:szCs w:val="20"/>
        </w:rPr>
        <w:tab/>
        <w:t xml:space="preserve">    </w:t>
      </w:r>
      <w:r w:rsidRPr="00FC0A46">
        <w:rPr>
          <w:rFonts w:cs="Times New Roman"/>
          <w:sz w:val="20"/>
          <w:szCs w:val="20"/>
        </w:rPr>
        <w:tab/>
      </w:r>
    </w:p>
    <w:p w14:paraId="1881E31E" w14:textId="77777777" w:rsidR="006458FC" w:rsidRPr="00FC0A46" w:rsidRDefault="006458FC" w:rsidP="006458FC">
      <w:pPr>
        <w:spacing w:line="240" w:lineRule="auto"/>
        <w:jc w:val="center"/>
        <w:rPr>
          <w:rFonts w:cs="Times New Roman"/>
          <w:szCs w:val="28"/>
        </w:rPr>
      </w:pPr>
    </w:p>
    <w:p w14:paraId="49F2A241" w14:textId="77777777" w:rsidR="006458FC" w:rsidRPr="00FC0A46" w:rsidRDefault="006458FC" w:rsidP="006458FC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C0A46">
        <w:rPr>
          <w:rFonts w:cs="Times New Roman"/>
          <w:szCs w:val="28"/>
        </w:rPr>
        <w:tab/>
      </w:r>
      <w:r w:rsidRPr="00FC0A46">
        <w:rPr>
          <w:rFonts w:cs="Times New Roman"/>
          <w:szCs w:val="28"/>
        </w:rPr>
        <w:tab/>
        <w:t>__________</w:t>
      </w:r>
      <w:r w:rsidRPr="00FC0A46">
        <w:rPr>
          <w:rFonts w:cs="Times New Roman"/>
          <w:szCs w:val="28"/>
        </w:rPr>
        <w:tab/>
      </w:r>
      <w:r w:rsidRPr="00FC0A46">
        <w:rPr>
          <w:rFonts w:cs="Times New Roman"/>
          <w:szCs w:val="28"/>
        </w:rPr>
        <w:tab/>
        <w:t xml:space="preserve">           </w:t>
      </w:r>
      <w:r>
        <w:rPr>
          <w:rFonts w:cs="Times New Roman"/>
          <w:szCs w:val="28"/>
        </w:rPr>
        <w:t>Сенченко</w:t>
      </w:r>
      <w:r w:rsidRPr="00FC0A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</w:t>
      </w:r>
      <w:r w:rsidRPr="00FC0A4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И</w:t>
      </w:r>
      <w:r w:rsidRPr="00FC0A46">
        <w:rPr>
          <w:rFonts w:cs="Times New Roman"/>
          <w:szCs w:val="28"/>
        </w:rPr>
        <w:t>.</w:t>
      </w:r>
    </w:p>
    <w:p w14:paraId="7C4785D4" w14:textId="77777777" w:rsidR="006458FC" w:rsidRPr="00FC0A46" w:rsidRDefault="006458FC" w:rsidP="006458FC">
      <w:pPr>
        <w:spacing w:line="240" w:lineRule="auto"/>
        <w:rPr>
          <w:rFonts w:cs="Times New Roman"/>
          <w:sz w:val="20"/>
          <w:szCs w:val="20"/>
        </w:rPr>
      </w:pPr>
      <w:r w:rsidRPr="00FC0A46">
        <w:rPr>
          <w:rFonts w:cs="Times New Roman"/>
        </w:rPr>
        <w:tab/>
      </w:r>
      <w:r w:rsidRPr="00FC0A46">
        <w:rPr>
          <w:rFonts w:cs="Times New Roman"/>
        </w:rPr>
        <w:tab/>
      </w:r>
      <w:r w:rsidRPr="00FC0A46">
        <w:rPr>
          <w:rFonts w:cs="Times New Roman"/>
        </w:rPr>
        <w:tab/>
      </w:r>
      <w:r w:rsidRPr="00FC0A46">
        <w:rPr>
          <w:rFonts w:cs="Times New Roman"/>
        </w:rPr>
        <w:tab/>
      </w:r>
      <w:r w:rsidRPr="00FC0A46">
        <w:rPr>
          <w:rFonts w:cs="Times New Roman"/>
        </w:rPr>
        <w:tab/>
      </w:r>
      <w:r w:rsidRPr="00FC0A46">
        <w:rPr>
          <w:rFonts w:cs="Times New Roman"/>
        </w:rPr>
        <w:tab/>
      </w:r>
      <w:r w:rsidRPr="00FC0A46">
        <w:rPr>
          <w:rFonts w:cs="Times New Roman"/>
        </w:rPr>
        <w:tab/>
      </w:r>
      <w:r w:rsidRPr="00FC0A46">
        <w:rPr>
          <w:rFonts w:cs="Times New Roman"/>
          <w:sz w:val="20"/>
          <w:szCs w:val="20"/>
        </w:rPr>
        <w:t>подпись, дата</w:t>
      </w:r>
      <w:r w:rsidRPr="00FC0A46">
        <w:rPr>
          <w:rFonts w:cs="Times New Roman"/>
          <w:sz w:val="20"/>
          <w:szCs w:val="20"/>
        </w:rPr>
        <w:tab/>
        <w:t xml:space="preserve">    </w:t>
      </w:r>
      <w:r w:rsidRPr="00FC0A46">
        <w:rPr>
          <w:rFonts w:cs="Times New Roman"/>
          <w:sz w:val="20"/>
          <w:szCs w:val="20"/>
        </w:rPr>
        <w:tab/>
      </w:r>
    </w:p>
    <w:p w14:paraId="5EE61DA2" w14:textId="77777777" w:rsidR="006458FC" w:rsidRPr="00FC0A46" w:rsidRDefault="006458FC" w:rsidP="006458FC">
      <w:pPr>
        <w:spacing w:line="240" w:lineRule="auto"/>
        <w:rPr>
          <w:rFonts w:cs="Times New Roman"/>
          <w:sz w:val="20"/>
          <w:szCs w:val="20"/>
        </w:rPr>
      </w:pPr>
    </w:p>
    <w:p w14:paraId="3D0BC75D" w14:textId="77777777" w:rsidR="006458FC" w:rsidRPr="00FC0A46" w:rsidRDefault="006458FC" w:rsidP="006458FC">
      <w:pPr>
        <w:spacing w:line="240" w:lineRule="auto"/>
        <w:rPr>
          <w:rFonts w:cs="Times New Roman"/>
          <w:sz w:val="20"/>
          <w:szCs w:val="20"/>
        </w:rPr>
      </w:pPr>
    </w:p>
    <w:p w14:paraId="07EC09C3" w14:textId="77777777" w:rsidR="006458FC" w:rsidRPr="00FC0A46" w:rsidRDefault="006458FC" w:rsidP="006458FC">
      <w:pPr>
        <w:spacing w:line="240" w:lineRule="auto"/>
        <w:rPr>
          <w:rFonts w:cs="Times New Roman"/>
          <w:sz w:val="20"/>
          <w:szCs w:val="20"/>
        </w:rPr>
      </w:pPr>
      <w:r w:rsidRPr="00FC0A46">
        <w:rPr>
          <w:rFonts w:cs="Times New Roman"/>
          <w:szCs w:val="28"/>
        </w:rPr>
        <w:t>Студент</w:t>
      </w:r>
      <w:r w:rsidRPr="00FC0A46">
        <w:rPr>
          <w:rFonts w:cs="Times New Roman"/>
          <w:szCs w:val="28"/>
        </w:rPr>
        <w:tab/>
        <w:t>РФ18-32Б</w:t>
      </w:r>
      <w:r w:rsidRPr="00FC0A46">
        <w:rPr>
          <w:rFonts w:cs="Times New Roman"/>
          <w:sz w:val="20"/>
          <w:szCs w:val="20"/>
        </w:rPr>
        <w:tab/>
      </w:r>
      <w:r w:rsidRPr="00FC0A46">
        <w:rPr>
          <w:rFonts w:cs="Times New Roman"/>
          <w:szCs w:val="20"/>
        </w:rPr>
        <w:t>№051830835</w:t>
      </w:r>
      <w:r w:rsidRPr="00FC0A46">
        <w:rPr>
          <w:rFonts w:cs="Times New Roman"/>
          <w:sz w:val="20"/>
          <w:szCs w:val="20"/>
        </w:rPr>
        <w:tab/>
        <w:t>____________</w:t>
      </w:r>
      <w:r w:rsidRPr="00FC0A46">
        <w:rPr>
          <w:rFonts w:cs="Times New Roman"/>
          <w:sz w:val="20"/>
          <w:szCs w:val="20"/>
        </w:rPr>
        <w:softHyphen/>
      </w:r>
      <w:r w:rsidRPr="00FC0A46">
        <w:rPr>
          <w:rFonts w:cs="Times New Roman"/>
          <w:sz w:val="20"/>
          <w:szCs w:val="20"/>
        </w:rPr>
        <w:softHyphen/>
      </w:r>
      <w:r w:rsidRPr="00FC0A46">
        <w:rPr>
          <w:rFonts w:cs="Times New Roman"/>
          <w:sz w:val="20"/>
          <w:szCs w:val="20"/>
        </w:rPr>
        <w:softHyphen/>
      </w:r>
      <w:r w:rsidRPr="00FC0A46">
        <w:rPr>
          <w:rFonts w:cs="Times New Roman"/>
          <w:sz w:val="20"/>
          <w:szCs w:val="20"/>
        </w:rPr>
        <w:softHyphen/>
      </w:r>
      <w:r w:rsidRPr="00FC0A46">
        <w:rPr>
          <w:rFonts w:cs="Times New Roman"/>
          <w:sz w:val="20"/>
          <w:szCs w:val="20"/>
        </w:rPr>
        <w:softHyphen/>
      </w:r>
      <w:r w:rsidRPr="00FC0A46">
        <w:rPr>
          <w:rFonts w:cs="Times New Roman"/>
          <w:sz w:val="20"/>
          <w:szCs w:val="20"/>
        </w:rPr>
        <w:softHyphen/>
      </w:r>
      <w:r w:rsidRPr="00FC0A46">
        <w:rPr>
          <w:rFonts w:cs="Times New Roman"/>
          <w:sz w:val="20"/>
          <w:szCs w:val="20"/>
        </w:rPr>
        <w:softHyphen/>
      </w:r>
      <w:r w:rsidRPr="00FC0A46">
        <w:rPr>
          <w:rFonts w:cs="Times New Roman"/>
          <w:sz w:val="20"/>
          <w:szCs w:val="20"/>
        </w:rPr>
        <w:softHyphen/>
      </w:r>
      <w:r w:rsidRPr="00FC0A46">
        <w:rPr>
          <w:rFonts w:cs="Times New Roman"/>
          <w:sz w:val="20"/>
          <w:szCs w:val="20"/>
        </w:rPr>
        <w:softHyphen/>
      </w:r>
      <w:r w:rsidRPr="00FC0A46">
        <w:rPr>
          <w:rFonts w:cs="Times New Roman"/>
          <w:sz w:val="20"/>
          <w:szCs w:val="20"/>
        </w:rPr>
        <w:softHyphen/>
        <w:t>__</w:t>
      </w:r>
      <w:r w:rsidRPr="00FC0A46">
        <w:rPr>
          <w:rFonts w:cs="Times New Roman"/>
          <w:sz w:val="20"/>
          <w:szCs w:val="20"/>
        </w:rPr>
        <w:tab/>
      </w:r>
      <w:r w:rsidRPr="00FC0A46">
        <w:rPr>
          <w:rFonts w:cs="Times New Roman"/>
          <w:sz w:val="20"/>
          <w:szCs w:val="20"/>
        </w:rPr>
        <w:tab/>
      </w:r>
      <w:r w:rsidRPr="00FC0A46">
        <w:rPr>
          <w:rFonts w:cs="Times New Roman"/>
          <w:sz w:val="20"/>
          <w:szCs w:val="20"/>
        </w:rPr>
        <w:tab/>
        <w:t xml:space="preserve">       </w:t>
      </w:r>
      <w:r w:rsidRPr="00FC0A46">
        <w:rPr>
          <w:rFonts w:cs="Times New Roman"/>
          <w:szCs w:val="28"/>
        </w:rPr>
        <w:t xml:space="preserve">Сюлин Н. Г. </w:t>
      </w:r>
    </w:p>
    <w:p w14:paraId="053F428E" w14:textId="77777777" w:rsidR="006458FC" w:rsidRPr="00FC0A46" w:rsidRDefault="006458FC" w:rsidP="006458FC">
      <w:pPr>
        <w:spacing w:line="240" w:lineRule="auto"/>
        <w:rPr>
          <w:rFonts w:cs="Times New Roman"/>
          <w:sz w:val="20"/>
          <w:szCs w:val="20"/>
        </w:rPr>
      </w:pPr>
      <w:r w:rsidRPr="00FC0A46">
        <w:rPr>
          <w:rFonts w:cs="Times New Roman"/>
          <w:sz w:val="20"/>
          <w:szCs w:val="20"/>
        </w:rPr>
        <w:tab/>
      </w:r>
      <w:r w:rsidRPr="00FC0A46">
        <w:rPr>
          <w:rFonts w:cs="Times New Roman"/>
          <w:sz w:val="20"/>
          <w:szCs w:val="20"/>
        </w:rPr>
        <w:tab/>
      </w:r>
      <w:r w:rsidRPr="00FC0A46">
        <w:rPr>
          <w:rFonts w:cs="Times New Roman"/>
          <w:sz w:val="20"/>
          <w:szCs w:val="20"/>
        </w:rPr>
        <w:tab/>
      </w:r>
      <w:r w:rsidRPr="00FC0A46">
        <w:rPr>
          <w:rFonts w:cs="Times New Roman"/>
          <w:sz w:val="20"/>
          <w:szCs w:val="20"/>
        </w:rPr>
        <w:tab/>
      </w:r>
      <w:r w:rsidRPr="00FC0A46">
        <w:rPr>
          <w:rFonts w:cs="Times New Roman"/>
          <w:sz w:val="20"/>
          <w:szCs w:val="20"/>
        </w:rPr>
        <w:tab/>
      </w:r>
      <w:r w:rsidRPr="00FC0A46">
        <w:rPr>
          <w:rFonts w:cs="Times New Roman"/>
          <w:sz w:val="20"/>
          <w:szCs w:val="20"/>
        </w:rPr>
        <w:tab/>
      </w:r>
      <w:r w:rsidRPr="00FC0A46">
        <w:rPr>
          <w:rFonts w:cs="Times New Roman"/>
          <w:sz w:val="20"/>
          <w:szCs w:val="20"/>
        </w:rPr>
        <w:tab/>
        <w:t>подпись, дата</w:t>
      </w:r>
      <w:r w:rsidRPr="00FC0A46">
        <w:rPr>
          <w:rFonts w:cs="Times New Roman"/>
          <w:sz w:val="20"/>
          <w:szCs w:val="20"/>
        </w:rPr>
        <w:tab/>
        <w:t xml:space="preserve">    </w:t>
      </w:r>
      <w:r w:rsidRPr="00FC0A46">
        <w:rPr>
          <w:rFonts w:cs="Times New Roman"/>
          <w:sz w:val="20"/>
          <w:szCs w:val="20"/>
        </w:rPr>
        <w:tab/>
      </w:r>
    </w:p>
    <w:p w14:paraId="66E8E45A" w14:textId="77777777" w:rsidR="006458FC" w:rsidRPr="00FC0A46" w:rsidRDefault="006458FC" w:rsidP="006458FC">
      <w:pPr>
        <w:spacing w:line="240" w:lineRule="auto"/>
        <w:rPr>
          <w:rFonts w:cs="Times New Roman"/>
          <w:sz w:val="20"/>
          <w:szCs w:val="20"/>
        </w:rPr>
      </w:pPr>
    </w:p>
    <w:p w14:paraId="0F8D3554" w14:textId="77777777" w:rsidR="006458FC" w:rsidRPr="00FC0A46" w:rsidRDefault="006458FC" w:rsidP="006458FC">
      <w:pPr>
        <w:spacing w:line="240" w:lineRule="auto"/>
        <w:rPr>
          <w:rFonts w:cs="Times New Roman"/>
          <w:sz w:val="20"/>
          <w:szCs w:val="20"/>
        </w:rPr>
      </w:pPr>
    </w:p>
    <w:p w14:paraId="374388D2" w14:textId="77777777" w:rsidR="006458FC" w:rsidRDefault="006458FC" w:rsidP="006458FC">
      <w:pPr>
        <w:spacing w:line="240" w:lineRule="auto"/>
        <w:jc w:val="center"/>
        <w:rPr>
          <w:rFonts w:cs="Times New Roman"/>
          <w:sz w:val="20"/>
          <w:szCs w:val="20"/>
        </w:rPr>
      </w:pPr>
    </w:p>
    <w:p w14:paraId="1EF63693" w14:textId="77777777" w:rsidR="006458FC" w:rsidRDefault="006458FC" w:rsidP="006458FC">
      <w:pPr>
        <w:spacing w:line="240" w:lineRule="auto"/>
        <w:jc w:val="center"/>
        <w:rPr>
          <w:rFonts w:cs="Times New Roman"/>
          <w:sz w:val="20"/>
          <w:szCs w:val="20"/>
        </w:rPr>
      </w:pPr>
    </w:p>
    <w:p w14:paraId="66985F78" w14:textId="77777777" w:rsidR="006458FC" w:rsidRDefault="006458FC" w:rsidP="006458FC">
      <w:pPr>
        <w:spacing w:line="240" w:lineRule="auto"/>
        <w:jc w:val="center"/>
        <w:rPr>
          <w:rFonts w:cs="Times New Roman"/>
          <w:sz w:val="20"/>
          <w:szCs w:val="20"/>
        </w:rPr>
      </w:pPr>
    </w:p>
    <w:p w14:paraId="7E937607" w14:textId="77777777" w:rsidR="006458FC" w:rsidRPr="00FC0A46" w:rsidRDefault="006458FC" w:rsidP="006458FC">
      <w:pPr>
        <w:spacing w:line="240" w:lineRule="auto"/>
        <w:jc w:val="center"/>
        <w:rPr>
          <w:rFonts w:cs="Times New Roman"/>
          <w:sz w:val="20"/>
          <w:szCs w:val="20"/>
        </w:rPr>
      </w:pPr>
    </w:p>
    <w:p w14:paraId="7A23D8E9" w14:textId="77777777" w:rsidR="006458FC" w:rsidRPr="00FC0A46" w:rsidRDefault="006458FC" w:rsidP="006458FC">
      <w:pPr>
        <w:spacing w:line="240" w:lineRule="auto"/>
        <w:rPr>
          <w:rFonts w:cs="Times New Roman"/>
          <w:szCs w:val="28"/>
        </w:rPr>
      </w:pPr>
    </w:p>
    <w:p w14:paraId="3A7FDEAE" w14:textId="2D22023E" w:rsidR="00441DE9" w:rsidRDefault="006458FC" w:rsidP="00441DE9">
      <w:pPr>
        <w:spacing w:line="240" w:lineRule="auto"/>
        <w:jc w:val="center"/>
        <w:rPr>
          <w:rFonts w:cs="Times New Roman"/>
          <w:szCs w:val="28"/>
        </w:rPr>
      </w:pPr>
      <w:r w:rsidRPr="00FC0A46">
        <w:rPr>
          <w:rFonts w:cs="Times New Roman"/>
          <w:szCs w:val="28"/>
        </w:rPr>
        <w:t>Красноярск 202</w:t>
      </w:r>
      <w:r>
        <w:rPr>
          <w:rFonts w:cs="Times New Roman"/>
          <w:szCs w:val="28"/>
        </w:rPr>
        <w:t>1</w:t>
      </w:r>
      <w:r w:rsidRPr="00FC0A46">
        <w:rPr>
          <w:rFonts w:cs="Times New Roman"/>
          <w:szCs w:val="28"/>
        </w:rPr>
        <w:t xml:space="preserve"> </w:t>
      </w:r>
      <w:r w:rsidR="00441DE9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31198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6C0CF7" w14:textId="65FE0349" w:rsidR="00DB50B7" w:rsidRDefault="00DB50B7" w:rsidP="00DB50B7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B50B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CD0FD28" w14:textId="77777777" w:rsidR="00DB50B7" w:rsidRPr="00DB50B7" w:rsidRDefault="00DB50B7" w:rsidP="00DB50B7">
          <w:pPr>
            <w:rPr>
              <w:lang w:eastAsia="ru-RU"/>
            </w:rPr>
          </w:pPr>
        </w:p>
        <w:p w14:paraId="0909835C" w14:textId="7FD47291" w:rsidR="00DB50B7" w:rsidRDefault="00DB50B7">
          <w:pPr>
            <w:pStyle w:val="2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515822" w:history="1">
            <w:r w:rsidRPr="00C35B7B">
              <w:rPr>
                <w:rStyle w:val="a4"/>
                <w:noProof/>
              </w:rPr>
              <w:t xml:space="preserve">1 Описание и назначение </w:t>
            </w:r>
            <w:r w:rsidRPr="00C35B7B">
              <w:rPr>
                <w:rStyle w:val="a4"/>
                <w:noProof/>
                <w:lang w:val="en-US"/>
              </w:rPr>
              <w:t>NeQuick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2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12415" w14:textId="0F1C64D0" w:rsidR="00DB50B7" w:rsidRDefault="006F52C8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91515823" w:history="1">
            <w:r w:rsidR="00DB50B7" w:rsidRPr="00C35B7B">
              <w:rPr>
                <w:rStyle w:val="a4"/>
                <w:noProof/>
              </w:rPr>
              <w:t>2 Galileo и NeQuick G</w:t>
            </w:r>
            <w:r w:rsidR="00DB50B7">
              <w:rPr>
                <w:noProof/>
                <w:webHidden/>
              </w:rPr>
              <w:tab/>
            </w:r>
            <w:r w:rsidR="00DB50B7">
              <w:rPr>
                <w:noProof/>
                <w:webHidden/>
              </w:rPr>
              <w:fldChar w:fldCharType="begin"/>
            </w:r>
            <w:r w:rsidR="00DB50B7">
              <w:rPr>
                <w:noProof/>
                <w:webHidden/>
              </w:rPr>
              <w:instrText xml:space="preserve"> PAGEREF _Toc91515823 \h </w:instrText>
            </w:r>
            <w:r w:rsidR="00DB50B7">
              <w:rPr>
                <w:noProof/>
                <w:webHidden/>
              </w:rPr>
            </w:r>
            <w:r w:rsidR="00DB50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B50B7">
              <w:rPr>
                <w:noProof/>
                <w:webHidden/>
              </w:rPr>
              <w:fldChar w:fldCharType="end"/>
            </w:r>
          </w:hyperlink>
        </w:p>
        <w:p w14:paraId="3FD2144B" w14:textId="43E46CBC" w:rsidR="00DB50B7" w:rsidRDefault="006F52C8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91515824" w:history="1">
            <w:r w:rsidR="00DB50B7" w:rsidRPr="00C35B7B">
              <w:rPr>
                <w:rStyle w:val="a4"/>
                <w:noProof/>
              </w:rPr>
              <w:t xml:space="preserve">3 Проделанная работа по использованию </w:t>
            </w:r>
            <w:r w:rsidR="00DB50B7" w:rsidRPr="00C35B7B">
              <w:rPr>
                <w:rStyle w:val="a4"/>
                <w:noProof/>
                <w:lang w:val="en-US"/>
              </w:rPr>
              <w:t>NeQuick</w:t>
            </w:r>
            <w:r w:rsidR="00DB50B7">
              <w:rPr>
                <w:noProof/>
                <w:webHidden/>
              </w:rPr>
              <w:tab/>
            </w:r>
            <w:r w:rsidR="00DB50B7">
              <w:rPr>
                <w:noProof/>
                <w:webHidden/>
              </w:rPr>
              <w:fldChar w:fldCharType="begin"/>
            </w:r>
            <w:r w:rsidR="00DB50B7">
              <w:rPr>
                <w:noProof/>
                <w:webHidden/>
              </w:rPr>
              <w:instrText xml:space="preserve"> PAGEREF _Toc91515824 \h </w:instrText>
            </w:r>
            <w:r w:rsidR="00DB50B7">
              <w:rPr>
                <w:noProof/>
                <w:webHidden/>
              </w:rPr>
            </w:r>
            <w:r w:rsidR="00DB50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B50B7">
              <w:rPr>
                <w:noProof/>
                <w:webHidden/>
              </w:rPr>
              <w:fldChar w:fldCharType="end"/>
            </w:r>
          </w:hyperlink>
        </w:p>
        <w:p w14:paraId="796152D7" w14:textId="198F2531" w:rsidR="00DB50B7" w:rsidRDefault="006F52C8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91515825" w:history="1">
            <w:r w:rsidR="00DB50B7" w:rsidRPr="00C35B7B">
              <w:rPr>
                <w:rStyle w:val="a4"/>
                <w:noProof/>
              </w:rPr>
              <w:t>ЗАКЛЮЧЕНИЕ</w:t>
            </w:r>
            <w:r w:rsidR="00DB50B7">
              <w:rPr>
                <w:noProof/>
                <w:webHidden/>
              </w:rPr>
              <w:tab/>
            </w:r>
            <w:r w:rsidR="00DB50B7">
              <w:rPr>
                <w:noProof/>
                <w:webHidden/>
              </w:rPr>
              <w:fldChar w:fldCharType="begin"/>
            </w:r>
            <w:r w:rsidR="00DB50B7">
              <w:rPr>
                <w:noProof/>
                <w:webHidden/>
              </w:rPr>
              <w:instrText xml:space="preserve"> PAGEREF _Toc91515825 \h </w:instrText>
            </w:r>
            <w:r w:rsidR="00DB50B7">
              <w:rPr>
                <w:noProof/>
                <w:webHidden/>
              </w:rPr>
            </w:r>
            <w:r w:rsidR="00DB50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B50B7">
              <w:rPr>
                <w:noProof/>
                <w:webHidden/>
              </w:rPr>
              <w:fldChar w:fldCharType="end"/>
            </w:r>
          </w:hyperlink>
        </w:p>
        <w:p w14:paraId="25B3FAE4" w14:textId="5F9BE9CD" w:rsidR="00DB50B7" w:rsidRDefault="006F52C8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91515826" w:history="1">
            <w:r w:rsidR="00DB50B7" w:rsidRPr="00C35B7B">
              <w:rPr>
                <w:rStyle w:val="a4"/>
                <w:noProof/>
              </w:rPr>
              <w:t>СПИСОК ИСПОЛЬЗОВАННЫХ ИСТОЧНИКОВ</w:t>
            </w:r>
            <w:r w:rsidR="00DB50B7">
              <w:rPr>
                <w:noProof/>
                <w:webHidden/>
              </w:rPr>
              <w:tab/>
            </w:r>
            <w:r w:rsidR="00DB50B7">
              <w:rPr>
                <w:noProof/>
                <w:webHidden/>
              </w:rPr>
              <w:fldChar w:fldCharType="begin"/>
            </w:r>
            <w:r w:rsidR="00DB50B7">
              <w:rPr>
                <w:noProof/>
                <w:webHidden/>
              </w:rPr>
              <w:instrText xml:space="preserve"> PAGEREF _Toc91515826 \h </w:instrText>
            </w:r>
            <w:r w:rsidR="00DB50B7">
              <w:rPr>
                <w:noProof/>
                <w:webHidden/>
              </w:rPr>
            </w:r>
            <w:r w:rsidR="00DB50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B50B7">
              <w:rPr>
                <w:noProof/>
                <w:webHidden/>
              </w:rPr>
              <w:fldChar w:fldCharType="end"/>
            </w:r>
          </w:hyperlink>
        </w:p>
        <w:p w14:paraId="2D3A300E" w14:textId="2097079F" w:rsidR="00DB50B7" w:rsidRDefault="00DB50B7">
          <w:r>
            <w:rPr>
              <w:b/>
              <w:bCs/>
            </w:rPr>
            <w:fldChar w:fldCharType="end"/>
          </w:r>
        </w:p>
      </w:sdtContent>
    </w:sdt>
    <w:p w14:paraId="0CBCC604" w14:textId="165B6985" w:rsidR="00DB50B7" w:rsidRDefault="00DB50B7">
      <w:p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E6C0EDC" w14:textId="69EAA195" w:rsidR="00CE3770" w:rsidRPr="00CE3770" w:rsidRDefault="00CE3770" w:rsidP="00CE3770">
      <w:pPr>
        <w:pStyle w:val="2"/>
      </w:pPr>
      <w:bookmarkStart w:id="0" w:name="_Toc91515822"/>
      <w:r w:rsidRPr="00CE3770">
        <w:lastRenderedPageBreak/>
        <w:t xml:space="preserve">1 </w:t>
      </w:r>
      <w:r>
        <w:t xml:space="preserve">Описание и назначение </w:t>
      </w:r>
      <w:proofErr w:type="spellStart"/>
      <w:r>
        <w:rPr>
          <w:lang w:val="en-US"/>
        </w:rPr>
        <w:t>NeQuick</w:t>
      </w:r>
      <w:bookmarkEnd w:id="0"/>
      <w:proofErr w:type="spellEnd"/>
    </w:p>
    <w:p w14:paraId="70925505" w14:textId="2282F83F" w:rsidR="00F51615" w:rsidRDefault="00F51615" w:rsidP="00CE3770">
      <w:pPr>
        <w:ind w:firstLine="708"/>
      </w:pPr>
      <w:r>
        <w:t xml:space="preserve">На пути к приемникам, расположенным на поверхности Земли или вблизи нее, сигналы спутников ГНСС проходят через ионосферу. Свободные электроны, находящиеся в этой оболочке атмосферы, влияют на распространение сигналов, изменяя их скорость и направление движения. Это приводит к задержке в прибытии модулированных составляющих сигналов (из которых впоследствии получают измерения </w:t>
      </w:r>
      <w:proofErr w:type="spellStart"/>
      <w:r>
        <w:t>псевдодальности</w:t>
      </w:r>
      <w:proofErr w:type="spellEnd"/>
      <w:r>
        <w:t xml:space="preserve">) и в несущих фазах волн сигналов (влияющих на измерения несущей фазы). Ионосфера - диспергирующая среда для радиосигналов, поэтому при одновременном проведении измерений на двух частотах, передаваемых спутником, большая часть влияния ионосферы может быть исключена. Однако одночастотные устройства, такие как большинство навигационных транспортных средств и портативных приемников, не могут позволить себе роскошь. Эти устройства должны полагаться на модели коррекции в одночастотном режиме. Коэффициенты для такой модели включены в навигационные сообщения, передаваемые со всех спутников GPS. Известный как алгоритм коррекции ионосферы или алгоритм </w:t>
      </w:r>
      <w:proofErr w:type="spellStart"/>
      <w:r>
        <w:t>Клобухар</w:t>
      </w:r>
      <w:proofErr w:type="spellEnd"/>
      <w:r>
        <w:t>, он удаляет по меньшей мере 50 % влияния ионосферы в сигналах.</w:t>
      </w:r>
    </w:p>
    <w:p w14:paraId="1AAD4817" w14:textId="2AADEAC3" w:rsidR="00F51615" w:rsidRDefault="00F51615" w:rsidP="00CE3770">
      <w:pPr>
        <w:ind w:firstLine="708"/>
      </w:pPr>
      <w:r>
        <w:t xml:space="preserve">Распространение радиоволн сигналов ГНСС зависит от атмосферы Земли и характеристик среды, окружающей приемник. Системы ГНСС основаны на трансляции радиоволн в микроволновой области (в основном все работают в так называемом L-диапазоне, хотя некоторые новые системы, такие как Индийская региональная навигационная спутниковая система, как ожидается, будет вести вещание в S-диапазоне). Эти электромагнитные сигналы могут страдать от ряда помех. При рассмотрении этих эффектов, мы можем разделить атмосферу Земли на две части: электрически нейтральную атмосферу (в первую очередь самую низкую часть - тропосферу), где основной эффект групповой задержки навигационных сигналов происходит из-за частиц водяного пара и газовых компонентов сухого воздуха, который для микроволнового излучения является </w:t>
      </w:r>
      <w:proofErr w:type="spellStart"/>
      <w:r>
        <w:t>недисперсным</w:t>
      </w:r>
      <w:proofErr w:type="spellEnd"/>
      <w:r>
        <w:t xml:space="preserve"> (зависит от частоты); и ионосферу, ионизированную часть атмосферы. Локальное окружение может повлиять на навигационный сигнал различным образом, приводя к созданию препятствий для свободного прохождения сигнала или полной его блокировке (например, растительностью или такими препятствиями, как здания). Сигнал также может рассеяться и стать многолучевым из-за отражения и дифракции на окружающие предметы. В этой статье мы обсудим влияние ионосферы на сигналы ГНСС и решение данной проблемы, предложенное командой </w:t>
      </w:r>
      <w:proofErr w:type="spellStart"/>
      <w:r>
        <w:t>Galileo</w:t>
      </w:r>
      <w:proofErr w:type="spellEnd"/>
      <w:r>
        <w:t>.</w:t>
      </w:r>
    </w:p>
    <w:p w14:paraId="6E674E6B" w14:textId="19C80D2B" w:rsidR="00F51615" w:rsidRDefault="00F51615" w:rsidP="00CE3770">
      <w:pPr>
        <w:ind w:firstLine="708"/>
      </w:pPr>
      <w:r>
        <w:t>Ионосфера обязана своим существованием солнечной радиации. Излучение ионизирует атомы и молекулы в верхних слоях атмосферы, производя огромное количество ионов и свободных электронов (в совокупности известных как плазма). Этот регион является причиной дисперсионного (частотно-</w:t>
      </w:r>
      <w:r>
        <w:lastRenderedPageBreak/>
        <w:t>зависимого) воздействия на навигационные сигналы. Главным фактором является постоянная задержка псевдослучайных шумов (PRN) в диапазоне кодов, вводящая погрешности в позиционирование и синхронизацию, если не проводится их дополнительная компенсация. Сигналы также восприимчивы к мерцанию - быстрому изменению амплитуды и/или фазы сигналов из-за дифракции и рефракции, вызванной плазменными неоднородностями. Кроме того, ионосфера может искривить путь сигнала, в результате чего изменится его поляризация.</w:t>
      </w:r>
    </w:p>
    <w:p w14:paraId="67A1A4B9" w14:textId="33734B07" w:rsidR="00F51615" w:rsidRDefault="00F51615" w:rsidP="00CE3770">
      <w:pPr>
        <w:ind w:firstLine="708"/>
      </w:pPr>
      <w:r>
        <w:t xml:space="preserve">Ионосферное преломление (отношение скорости распространения электромагнитных волн в вакууме к скорости их распространения в среднем) связано с количеством свободных электронов вдоль пути их распространения. Общее содержание электронов (TEC) определяется как электронная плотность в поперечном сечении площадью 1 </w:t>
      </w:r>
      <w:proofErr w:type="spellStart"/>
      <w:r>
        <w:t>кв.м</w:t>
      </w:r>
      <w:proofErr w:type="spellEnd"/>
      <w:r>
        <w:t>., интегрированное вдоль наклонного (или вертикального) пути между двумя точками (например, спутником и приемником). Этот показатель часто выражается в единицах TEC (TECU), где 1 TECU = 1016 электронам на квадратный метр = 0,1624 метров задержки на частоте GPS L1. В зависимости от плотности электронов, природы ионизации и динамике этих показателей ионосфера, подразделена на слои с различными характеристиками: D, E, F1 и F2, причем последний в значительной степени ответствен за ионосферные эффекты для ГНСС.</w:t>
      </w:r>
    </w:p>
    <w:p w14:paraId="3F392F5D" w14:textId="77777777" w:rsidR="00F51615" w:rsidRDefault="00F51615" w:rsidP="00CE3770">
      <w:pPr>
        <w:ind w:firstLine="708"/>
      </w:pPr>
      <w:r>
        <w:t xml:space="preserve">Все эффекты распространения в ионосфере зависят от ряда факторов, таких как время суток, местоположение, сезон и солнечная активность. Существует также взаимодействие между солнечной активностью, ионосферой и магнитным полем Земли, которое порой может привести к значительным нарушениям стабильности ионосферы, как это происходит во время геомагнитных бурь. Цикл солнечная активности длится примерно 11 лет. </w:t>
      </w:r>
      <w:proofErr w:type="spellStart"/>
      <w:r>
        <w:t>Пространственно</w:t>
      </w:r>
      <w:proofErr w:type="spellEnd"/>
      <w:r>
        <w:t xml:space="preserve"> поведение ионосферы можно подразделить на четыре основных региона: аномалии экваториальных районов, расположенные в пределах ± 15-20º по обе стороны от магнитного экватора, обычно дающие наибольшие значения TEC; регионы средних широт, где дневные значения TEC, как правило, в два раза ниже значений экваториальных; районы полярных сияний, и полярные регионы, которые дают умеренные значения TEC, но с большей изменчивостью, чем в средних широтах из-за постоянного изменения характеристик геомагнитного поля.</w:t>
      </w:r>
    </w:p>
    <w:p w14:paraId="5A03FB28" w14:textId="77777777" w:rsidR="00F51615" w:rsidRDefault="00F51615" w:rsidP="00CE3770">
      <w:pPr>
        <w:ind w:firstLine="708"/>
      </w:pPr>
      <w:r>
        <w:t xml:space="preserve">Если мы будем игнорировать некоторые более мелкие помехи, используя лишь данные о погрешностях высокого порядка, ионосферная групповая задержка (задержка «группы» волн, составляющих PRN для исходного кода модуляции) может быть выражена в метрах и описана как 40,3sTEC/f2, где </w:t>
      </w:r>
      <w:proofErr w:type="spellStart"/>
      <w:r>
        <w:t>sTEC</w:t>
      </w:r>
      <w:proofErr w:type="spellEnd"/>
      <w:r>
        <w:t xml:space="preserve"> является наклонной к TEC в электронах на </w:t>
      </w:r>
      <w:proofErr w:type="spellStart"/>
      <w:r>
        <w:t>кв.м</w:t>
      </w:r>
      <w:proofErr w:type="spellEnd"/>
      <w:r>
        <w:t xml:space="preserve">. и рассчитывается по пути прямого распространения между приемником и спутником; f - это несущая частота в герцах. Этот эффект вводит ошибки в измерения сразу на нескольких метров. Условия высших порядков обычно учитывают различия на уровне </w:t>
      </w:r>
      <w:r>
        <w:lastRenderedPageBreak/>
        <w:t>миллиметра (может возрастать до сантиметра при экстремальных ионосферных возмущениях) и могут быть с уверенностью отброшены для кодового диапазона. Эффект от несущей фазы имеет ту же величину, что и задержка кода, но противоположного знака, а значит несущая фаза увеличивается при распространении через ионосферу. Поскольку задержка группы дисперсионная, его влияние может быть смягчено с помощью линейных комбинаций сигналов на двух отдельных частотах.</w:t>
      </w:r>
    </w:p>
    <w:p w14:paraId="23F06575" w14:textId="77777777" w:rsidR="00F51615" w:rsidRDefault="00F51615" w:rsidP="00CE3770">
      <w:pPr>
        <w:ind w:firstLine="708"/>
      </w:pPr>
      <w:r>
        <w:t xml:space="preserve">Для одночастотных приемников сигналов ГНСС часто предлагаются модели коррекции управления широковещательными данными. Например, на GPS применяется Алгоритм коррекции атмосферы (ICA, также известный как алгоритм </w:t>
      </w:r>
      <w:proofErr w:type="spellStart"/>
      <w:r>
        <w:t>Клобухар</w:t>
      </w:r>
      <w:proofErr w:type="spellEnd"/>
      <w:r>
        <w:t xml:space="preserve">), который использует восемь коэффициентов вещания для описания ионосферы, которая представлена ​​в виде двумерной модели тонких оболочек (предполагается, что </w:t>
      </w:r>
      <w:proofErr w:type="spellStart"/>
      <w:r>
        <w:t>vTEC</w:t>
      </w:r>
      <w:proofErr w:type="spellEnd"/>
      <w:r>
        <w:t xml:space="preserve">, расположена в двумерной оболочке на заданной высоте, ее модель основана на аналитической карте или функции наклонения, для преобразования между </w:t>
      </w:r>
      <w:proofErr w:type="spellStart"/>
      <w:r>
        <w:t>vTEC</w:t>
      </w:r>
      <w:proofErr w:type="spellEnd"/>
      <w:r>
        <w:t xml:space="preserve"> и </w:t>
      </w:r>
      <w:proofErr w:type="spellStart"/>
      <w:r>
        <w:t>sTEC</w:t>
      </w:r>
      <w:proofErr w:type="spellEnd"/>
      <w:r>
        <w:t>, в зависимости от угла точки приема сигнала). Эта модель очень эффективна с точки зрения вычислительной сложности, и она, как правило, позволяет исключить более 50 % ионосферной ошибки, особенно в средних широтах.</w:t>
      </w:r>
    </w:p>
    <w:p w14:paraId="5870EDBA" w14:textId="77777777" w:rsidR="00F51615" w:rsidRDefault="00F51615" w:rsidP="00F51615"/>
    <w:p w14:paraId="7F5CE98F" w14:textId="3537AA2A" w:rsidR="00F51615" w:rsidRDefault="00CE3770" w:rsidP="00CE3770">
      <w:pPr>
        <w:pStyle w:val="2"/>
      </w:pPr>
      <w:bookmarkStart w:id="1" w:name="_Toc91515823"/>
      <w:r>
        <w:t xml:space="preserve">2 </w:t>
      </w:r>
      <w:proofErr w:type="spellStart"/>
      <w:r w:rsidR="00F51615">
        <w:t>Galileo</w:t>
      </w:r>
      <w:proofErr w:type="spellEnd"/>
      <w:r w:rsidR="00F51615">
        <w:t xml:space="preserve"> и </w:t>
      </w:r>
      <w:proofErr w:type="spellStart"/>
      <w:r w:rsidR="00F51615">
        <w:t>NeQuick</w:t>
      </w:r>
      <w:proofErr w:type="spellEnd"/>
      <w:r w:rsidR="00F51615">
        <w:t xml:space="preserve"> G</w:t>
      </w:r>
      <w:bookmarkEnd w:id="1"/>
    </w:p>
    <w:p w14:paraId="0162169C" w14:textId="77777777" w:rsidR="00F51615" w:rsidRDefault="00F51615" w:rsidP="00CE3770">
      <w:pPr>
        <w:ind w:firstLine="708"/>
      </w:pPr>
      <w:proofErr w:type="spellStart"/>
      <w:r>
        <w:t>Galileo</w:t>
      </w:r>
      <w:proofErr w:type="spellEnd"/>
      <w:r>
        <w:t xml:space="preserve"> предоставляет двухчастотный сервис, позволяющий смягчить влияние ионосферы, но также дает возможности работы и для одночастотных пользователей. Для одночастотных приемников </w:t>
      </w:r>
      <w:proofErr w:type="spellStart"/>
      <w:r>
        <w:t>Galileo</w:t>
      </w:r>
      <w:proofErr w:type="spellEnd"/>
      <w:r>
        <w:t xml:space="preserve"> алгоритм был разработан на основе адаптации для </w:t>
      </w:r>
      <w:proofErr w:type="spellStart"/>
      <w:r>
        <w:t>NeQuick</w:t>
      </w:r>
      <w:proofErr w:type="spellEnd"/>
      <w:r>
        <w:t xml:space="preserve"> модели электронной плотности.</w:t>
      </w:r>
    </w:p>
    <w:p w14:paraId="3BCEB455" w14:textId="77777777" w:rsidR="00F51615" w:rsidRDefault="00F51615" w:rsidP="00CE3770">
      <w:pPr>
        <w:ind w:firstLine="708"/>
      </w:pPr>
      <w:r>
        <w:t xml:space="preserve">После запуска орбитальных </w:t>
      </w:r>
      <w:proofErr w:type="spellStart"/>
      <w:r>
        <w:t>тестировочных</w:t>
      </w:r>
      <w:proofErr w:type="spellEnd"/>
      <w:r>
        <w:t xml:space="preserve"> спутников </w:t>
      </w:r>
      <w:proofErr w:type="spellStart"/>
      <w:r>
        <w:t>Galileo</w:t>
      </w:r>
      <w:proofErr w:type="spellEnd"/>
      <w:r>
        <w:t xml:space="preserve"> IOV и начала трансляции их навигационных сообщений, впервые появилась возможность проанализировать производительность алгоритма одночастотной коррекции для системы </w:t>
      </w:r>
      <w:proofErr w:type="spellStart"/>
      <w:r>
        <w:t>Galileo</w:t>
      </w:r>
      <w:proofErr w:type="spellEnd"/>
      <w:r>
        <w:t xml:space="preserve">. Целью этого этапа работы был запуск первых четырех спутников </w:t>
      </w:r>
      <w:proofErr w:type="spellStart"/>
      <w:r>
        <w:t>Galileo</w:t>
      </w:r>
      <w:proofErr w:type="spellEnd"/>
      <w:r>
        <w:t xml:space="preserve"> и развертывание первого варианта совершенно нового наземного сегмента. В рамках этого этапа Европейскому космическому агентству (ЕКА) требовалось проверить операционную среду - весь космический сегмент, наземный сегмент, а также компоненты пользовательского интерфейса. Кроме того, необходимо было выполнить полное развертывание системы, в том числе и проверить одночастотный алгоритм коррекции. Этот этап реализовывался с апреля 2013. Результаты были получены в марте 2014 года, охватив тем самым максимальное количество солнечных циклов, в том числе три дня равноденствия с повышенной солнечной активностью. В этой статье мы представляем результаты работы, показывающие, что алгоритм способен скорректировать более 70 % влияния ионосферы при номинальных ионосферных условиях, используя только наземную инфраструктуру </w:t>
      </w:r>
      <w:proofErr w:type="spellStart"/>
      <w:r>
        <w:t>Galileo</w:t>
      </w:r>
      <w:proofErr w:type="spellEnd"/>
      <w:r>
        <w:t xml:space="preserve"> (четыре спутника, приемники </w:t>
      </w:r>
      <w:proofErr w:type="spellStart"/>
      <w:r>
        <w:t>Galileo</w:t>
      </w:r>
      <w:proofErr w:type="spellEnd"/>
      <w:r>
        <w:t xml:space="preserve"> и станции мониторинга).</w:t>
      </w:r>
    </w:p>
    <w:p w14:paraId="03E8FA03" w14:textId="77777777" w:rsidR="00F51615" w:rsidRDefault="00F51615" w:rsidP="00F51615"/>
    <w:p w14:paraId="1BCBE7B6" w14:textId="77777777" w:rsidR="00F51615" w:rsidRDefault="00F51615" w:rsidP="00F51615">
      <w:r>
        <w:t xml:space="preserve">Алгоритм. Алгоритм одночастотной коррекции </w:t>
      </w:r>
      <w:proofErr w:type="spellStart"/>
      <w:r>
        <w:t>Galileo</w:t>
      </w:r>
      <w:proofErr w:type="spellEnd"/>
      <w:r>
        <w:t xml:space="preserve"> основан на адаптации трехмерной модели электронной плотности </w:t>
      </w:r>
      <w:proofErr w:type="spellStart"/>
      <w:r>
        <w:t>NeQuick</w:t>
      </w:r>
      <w:proofErr w:type="spellEnd"/>
      <w:r>
        <w:t>, основанной на расчете эффективного уровня ионизации, к тремя транслируемым коэффициентам ионосферы.</w:t>
      </w:r>
    </w:p>
    <w:p w14:paraId="1CC9B253" w14:textId="77777777" w:rsidR="00F51615" w:rsidRDefault="00F51615" w:rsidP="00CE3770">
      <w:pPr>
        <w:ind w:firstLine="708"/>
      </w:pPr>
      <w:r>
        <w:t xml:space="preserve">Оригинальная модель </w:t>
      </w:r>
      <w:proofErr w:type="spellStart"/>
      <w:r>
        <w:t>NeQuick</w:t>
      </w:r>
      <w:proofErr w:type="spellEnd"/>
      <w:r>
        <w:t xml:space="preserve"> является трехмерной и зависимой от времени. Модель электронной плотности ионосферы основывается на эмпирических климатических представлениях ионосферы. Она включает прогнозы для среднемесячной электронной плотности в зависимости от солнечной активности и других исходных данных: количество пятен на солнце или солнечных вспышек, месяца, географической широты и долготы, высоты и времени. Это позволяет нам вычислять TEC через численное интегрирование плотности электронов вдоль пути между начальной и конечной точками пересечения ионосферы. В качестве примера, можно показать глобальную карту VTEC, полученную на основе данных </w:t>
      </w:r>
      <w:proofErr w:type="spellStart"/>
      <w:r>
        <w:t>NeQuick</w:t>
      </w:r>
      <w:proofErr w:type="spellEnd"/>
      <w:r>
        <w:t xml:space="preserve"> (рис.1). Первая версия этой модели (NeQuick1) была включена в предыдущую версию Рекомендаций МСЭ (Международного союза электросвязи) для оценки TEC для прогнозов распространения радиоволн. Исследователи продолжили разработку модели с обновленными формулировками, и версия NeQuick2 рекомендована МСЭ.</w:t>
      </w:r>
    </w:p>
    <w:p w14:paraId="00CAE0D0" w14:textId="776E3B01" w:rsidR="00F51615" w:rsidRDefault="00F51615" w:rsidP="00F51615"/>
    <w:p w14:paraId="5ADA8036" w14:textId="135FF87C" w:rsidR="00201175" w:rsidRDefault="00201175" w:rsidP="00201175">
      <w:pPr>
        <w:jc w:val="center"/>
      </w:pPr>
      <w:r>
        <w:rPr>
          <w:noProof/>
        </w:rPr>
        <w:drawing>
          <wp:inline distT="0" distB="0" distL="0" distR="0" wp14:anchorId="293F0E79" wp14:editId="5C30344A">
            <wp:extent cx="4842163" cy="3570580"/>
            <wp:effectExtent l="0" t="0" r="0" b="0"/>
            <wp:docPr id="1" name="Рисунок 1" descr="JRC NeQuick Implementation to model the Ionosphere for GNSS - European  Com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RC NeQuick Implementation to model the Ionosphere for GNSS - European  Commis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498" cy="357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4A0F" w14:textId="105B43E6" w:rsidR="00F51615" w:rsidRDefault="00F51615" w:rsidP="00201175">
      <w:pPr>
        <w:jc w:val="center"/>
      </w:pPr>
      <w:r>
        <w:t>Рис</w:t>
      </w:r>
      <w:r w:rsidR="00201175">
        <w:t>унок</w:t>
      </w:r>
      <w:r>
        <w:t xml:space="preserve"> 1</w:t>
      </w:r>
      <w:r w:rsidR="00201175">
        <w:t xml:space="preserve"> -</w:t>
      </w:r>
      <w:r>
        <w:t xml:space="preserve"> Карта мира VTEC, полученная на основе модели </w:t>
      </w:r>
      <w:proofErr w:type="spellStart"/>
      <w:r>
        <w:t>NeQuick</w:t>
      </w:r>
      <w:proofErr w:type="spellEnd"/>
    </w:p>
    <w:p w14:paraId="0568C14C" w14:textId="77777777" w:rsidR="00F51615" w:rsidRDefault="00F51615" w:rsidP="00F51615"/>
    <w:p w14:paraId="1ECC4728" w14:textId="77777777" w:rsidR="00F51615" w:rsidRDefault="00F51615" w:rsidP="00CE3770">
      <w:pPr>
        <w:ind w:firstLine="708"/>
      </w:pPr>
      <w:r>
        <w:t xml:space="preserve">Модель </w:t>
      </w:r>
      <w:proofErr w:type="spellStart"/>
      <w:r>
        <w:t>NeQuick</w:t>
      </w:r>
      <w:proofErr w:type="spellEnd"/>
      <w:r>
        <w:t xml:space="preserve"> была адаптирована для одночастотных ионосферных поправок </w:t>
      </w:r>
      <w:proofErr w:type="spellStart"/>
      <w:r>
        <w:t>Galileo</w:t>
      </w:r>
      <w:proofErr w:type="spellEnd"/>
      <w:r>
        <w:t xml:space="preserve"> (для удобства, версию для </w:t>
      </w:r>
      <w:proofErr w:type="spellStart"/>
      <w:r>
        <w:t>Galileo</w:t>
      </w:r>
      <w:proofErr w:type="spellEnd"/>
      <w:r>
        <w:t xml:space="preserve"> назвали </w:t>
      </w:r>
      <w:proofErr w:type="spellStart"/>
      <w:r>
        <w:t>NeQuick</w:t>
      </w:r>
      <w:proofErr w:type="spellEnd"/>
      <w:r>
        <w:t xml:space="preserve"> G) для того, чтобы получать в режиме реального времени прогнозы, основанные лишь на </w:t>
      </w:r>
      <w:r>
        <w:lastRenderedPageBreak/>
        <w:t xml:space="preserve">одном входном параметре- Az - который определяется с помощью трех коэффициентов, передающихся через навигационные сообщения спутников. Три коэффициента используются для решения полинома второй степени в зависимости от модифицированного показателя падения широты (MODIP). Чтобы определить, Az, который заменяет входной параметр солнечного потока, используется родительская модель </w:t>
      </w:r>
      <w:proofErr w:type="spellStart"/>
      <w:r>
        <w:t>NeQuick</w:t>
      </w:r>
      <w:proofErr w:type="spellEnd"/>
      <w:r>
        <w:t>, определить его можно с помощью следующего уравнения:</w:t>
      </w:r>
    </w:p>
    <w:p w14:paraId="1DD279C2" w14:textId="77777777" w:rsidR="00F51615" w:rsidRDefault="00F51615" w:rsidP="00F51615"/>
    <w:p w14:paraId="45B2A074" w14:textId="6A7FACD8" w:rsidR="00F51615" w:rsidRPr="00F97FE7" w:rsidRDefault="006F52C8" w:rsidP="00F97FE7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∙MODIP+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MODIP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97FE7" w:rsidRPr="00F97FE7">
        <w:rPr>
          <w:rFonts w:eastAsiaTheme="minorEastAsia"/>
        </w:rPr>
        <w:t xml:space="preserve"> </w:t>
      </w:r>
      <w:r w:rsidR="00F97FE7">
        <w:rPr>
          <w:rFonts w:eastAsiaTheme="minorEastAsia"/>
        </w:rPr>
        <w:tab/>
      </w:r>
      <w:r w:rsidR="00F97FE7">
        <w:rPr>
          <w:rFonts w:eastAsiaTheme="minorEastAsia"/>
        </w:rPr>
        <w:tab/>
      </w:r>
      <w:r w:rsidR="00F97FE7">
        <w:rPr>
          <w:rFonts w:eastAsiaTheme="minorEastAsia"/>
        </w:rPr>
        <w:tab/>
      </w:r>
      <w:r w:rsidR="00F97FE7">
        <w:rPr>
          <w:rFonts w:eastAsiaTheme="minorEastAsia"/>
        </w:rPr>
        <w:tab/>
      </w:r>
      <w:r w:rsidR="00F97FE7">
        <w:rPr>
          <w:rFonts w:eastAsiaTheme="minorEastAsia"/>
        </w:rPr>
        <w:tab/>
      </w:r>
      <w:r w:rsidR="00F97FE7" w:rsidRPr="00F97FE7">
        <w:rPr>
          <w:rFonts w:eastAsiaTheme="minorEastAsia"/>
        </w:rPr>
        <w:t xml:space="preserve"> (1)</w:t>
      </w:r>
    </w:p>
    <w:p w14:paraId="4E9CE823" w14:textId="77777777" w:rsidR="003569A1" w:rsidRDefault="003569A1" w:rsidP="00F51615"/>
    <w:p w14:paraId="6516C024" w14:textId="77777777" w:rsidR="003569A1" w:rsidRDefault="00F51615" w:rsidP="003569A1">
      <w:pPr>
        <w:ind w:firstLine="708"/>
      </w:pPr>
      <w:r>
        <w:t xml:space="preserve">где все </w:t>
      </w:r>
      <w:r w:rsidRPr="00F97FE7">
        <w:rPr>
          <w:i/>
          <w:iCs/>
        </w:rPr>
        <w:t>a</w:t>
      </w:r>
      <w:r>
        <w:t xml:space="preserve"> являются коэффициентами, представленными в сообщениях спутника</w:t>
      </w:r>
      <w:r w:rsidR="003569A1">
        <w:t>,</w:t>
      </w:r>
      <w:r>
        <w:t xml:space="preserve"> MODIP выражается в градусах. </w:t>
      </w:r>
    </w:p>
    <w:p w14:paraId="70C2589B" w14:textId="6D1204BD" w:rsidR="00F51615" w:rsidRDefault="00F51615" w:rsidP="003569A1">
      <w:pPr>
        <w:ind w:firstLine="708"/>
      </w:pPr>
      <w:r>
        <w:t>Таблица значений MODIP относительно географического положения объектов предоставляется совместно с алгоритмом. Карта с указанием пяти различных регионов MODIP представлена на рисунке 2.</w:t>
      </w:r>
    </w:p>
    <w:p w14:paraId="674CCA28" w14:textId="77777777" w:rsidR="00C2210B" w:rsidRDefault="00C2210B" w:rsidP="003569A1">
      <w:pPr>
        <w:ind w:firstLine="708"/>
      </w:pPr>
    </w:p>
    <w:p w14:paraId="6ACE23AC" w14:textId="7CE20284" w:rsidR="00F51615" w:rsidRDefault="003569A1" w:rsidP="003569A1">
      <w:pPr>
        <w:jc w:val="center"/>
      </w:pPr>
      <w:r w:rsidRPr="003569A1">
        <w:rPr>
          <w:noProof/>
        </w:rPr>
        <w:drawing>
          <wp:inline distT="0" distB="0" distL="0" distR="0" wp14:anchorId="05877F9D" wp14:editId="64435F16">
            <wp:extent cx="6120130" cy="2316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76F3" w14:textId="5408A2A5" w:rsidR="00F51615" w:rsidRDefault="00F51615" w:rsidP="003569A1">
      <w:pPr>
        <w:jc w:val="center"/>
      </w:pPr>
      <w:r>
        <w:t>Рис</w:t>
      </w:r>
      <w:r w:rsidR="003569A1">
        <w:t>унок</w:t>
      </w:r>
      <w:r>
        <w:t xml:space="preserve"> 2.</w:t>
      </w:r>
      <w:r w:rsidR="003569A1">
        <w:t xml:space="preserve"> -</w:t>
      </w:r>
      <w:r>
        <w:t xml:space="preserve"> Регионы MODIP. Изолинии показывают измененные широты.</w:t>
      </w:r>
    </w:p>
    <w:p w14:paraId="614EE652" w14:textId="77777777" w:rsidR="00F51615" w:rsidRDefault="00F51615" w:rsidP="00F51615"/>
    <w:p w14:paraId="2AE6D1C6" w14:textId="77777777" w:rsidR="00F51615" w:rsidRDefault="00F51615" w:rsidP="00CE3770">
      <w:pPr>
        <w:ind w:firstLine="708"/>
      </w:pPr>
      <w:r>
        <w:t xml:space="preserve">Производительность алгоритма одночастотной коррекции ионосферы </w:t>
      </w:r>
      <w:proofErr w:type="spellStart"/>
      <w:r>
        <w:t>Galileo</w:t>
      </w:r>
      <w:proofErr w:type="spellEnd"/>
      <w:r>
        <w:t xml:space="preserve">, позволяет достигнуть не менее 70 % точности, этот показатель был оценен с использованием данных только от GPS и использованием GPS + </w:t>
      </w:r>
      <w:proofErr w:type="spellStart"/>
      <w:r>
        <w:t>Galileo</w:t>
      </w:r>
      <w:proofErr w:type="spellEnd"/>
      <w:r>
        <w:t xml:space="preserve"> In-</w:t>
      </w:r>
      <w:proofErr w:type="spellStart"/>
      <w:r>
        <w:t>Orbit</w:t>
      </w:r>
      <w:proofErr w:type="spellEnd"/>
      <w:r>
        <w:t xml:space="preserve"> спутниковых данных для проверки и автономной оценки параметров вещания.</w:t>
      </w:r>
    </w:p>
    <w:p w14:paraId="4FF02097" w14:textId="77777777" w:rsidR="00F51615" w:rsidRDefault="00F51615" w:rsidP="00CE3770">
      <w:pPr>
        <w:ind w:firstLine="708"/>
      </w:pPr>
      <w:r>
        <w:t xml:space="preserve">Первое успешное автономное определения координат при помощи системы </w:t>
      </w:r>
      <w:proofErr w:type="spellStart"/>
      <w:r>
        <w:t>Galileo</w:t>
      </w:r>
      <w:proofErr w:type="spellEnd"/>
      <w:r>
        <w:t xml:space="preserve"> в режиме реального времени состоялось 12 марта 2013 года, навигационные сообщения </w:t>
      </w:r>
      <w:proofErr w:type="spellStart"/>
      <w:r>
        <w:t>Galileo</w:t>
      </w:r>
      <w:proofErr w:type="spellEnd"/>
      <w:r>
        <w:t xml:space="preserve"> были переданы со всех четырех спутников IOV на внешние приемники пользователей; переданные данные включали и ионосферные параметры вещания, определенные по IOV-измерениям.</w:t>
      </w:r>
    </w:p>
    <w:p w14:paraId="4A1F2C14" w14:textId="69120C81" w:rsidR="00F51615" w:rsidRDefault="00F51615" w:rsidP="00F51615"/>
    <w:p w14:paraId="74769D35" w14:textId="5D4A4FD1" w:rsidR="00CE3770" w:rsidRDefault="00CE3770" w:rsidP="00CE3770">
      <w:pPr>
        <w:pStyle w:val="2"/>
        <w:rPr>
          <w:lang w:val="en-US"/>
        </w:rPr>
      </w:pPr>
      <w:bookmarkStart w:id="2" w:name="_Toc91515824"/>
      <w:r>
        <w:t>3</w:t>
      </w:r>
      <w:r w:rsidRPr="00CE3770">
        <w:t xml:space="preserve"> </w:t>
      </w:r>
      <w:r>
        <w:t xml:space="preserve">Проделанная работа по использованию </w:t>
      </w:r>
      <w:proofErr w:type="spellStart"/>
      <w:r>
        <w:rPr>
          <w:lang w:val="en-US"/>
        </w:rPr>
        <w:t>NeQuick</w:t>
      </w:r>
      <w:bookmarkEnd w:id="2"/>
      <w:proofErr w:type="spellEnd"/>
    </w:p>
    <w:p w14:paraId="06E4E55D" w14:textId="558BBB88" w:rsidR="00917B56" w:rsidRDefault="00917B56" w:rsidP="00917B56">
      <w:pPr>
        <w:pStyle w:val="a3"/>
      </w:pPr>
      <w:r>
        <w:lastRenderedPageBreak/>
        <w:tab/>
        <w:t xml:space="preserve">Рабочая версия алгоритма </w:t>
      </w:r>
      <w:proofErr w:type="spellStart"/>
      <w:r>
        <w:rPr>
          <w:lang w:val="en-US"/>
        </w:rPr>
        <w:t>NeQuick</w:t>
      </w:r>
      <w:proofErr w:type="spellEnd"/>
      <w:r w:rsidRPr="00917B56">
        <w:t xml:space="preserve"> </w:t>
      </w:r>
      <w:r>
        <w:t xml:space="preserve">находится в свободном доступе, ее можно скачать, собрать и пользоваться. Задача – получить </w:t>
      </w:r>
      <w:r>
        <w:rPr>
          <w:lang w:val="en-US"/>
        </w:rPr>
        <w:t>TECU</w:t>
      </w:r>
      <w:r w:rsidRPr="00917B56">
        <w:t xml:space="preserve"> </w:t>
      </w:r>
      <w:r>
        <w:t xml:space="preserve">для различных станций наблюдения, данные которых так же можно получить из архивов наблюдений </w:t>
      </w:r>
      <w:r>
        <w:rPr>
          <w:lang w:val="en-US"/>
        </w:rPr>
        <w:t>NASA</w:t>
      </w:r>
      <w:r w:rsidR="00863E34" w:rsidRPr="00863E34">
        <w:t xml:space="preserve">. </w:t>
      </w:r>
      <w:r w:rsidR="00333B07">
        <w:t xml:space="preserve">Данные хранятся </w:t>
      </w:r>
      <w:proofErr w:type="gramStart"/>
      <w:r w:rsidR="00333B07">
        <w:t>в .</w:t>
      </w:r>
      <w:proofErr w:type="spellStart"/>
      <w:r w:rsidR="00333B07">
        <w:rPr>
          <w:lang w:val="en-US"/>
        </w:rPr>
        <w:t>rinex</w:t>
      </w:r>
      <w:proofErr w:type="spellEnd"/>
      <w:proofErr w:type="gramEnd"/>
      <w:r w:rsidR="00333B07" w:rsidRPr="00333B07">
        <w:t xml:space="preserve"> </w:t>
      </w:r>
      <w:r w:rsidR="00333B07">
        <w:t>и .</w:t>
      </w:r>
      <w:proofErr w:type="spellStart"/>
      <w:r w:rsidR="00333B07">
        <w:rPr>
          <w:lang w:val="en-US"/>
        </w:rPr>
        <w:t>sp</w:t>
      </w:r>
      <w:proofErr w:type="spellEnd"/>
      <w:r w:rsidR="00333B07" w:rsidRPr="00333B07">
        <w:t>3</w:t>
      </w:r>
      <w:r w:rsidR="00333B07">
        <w:t xml:space="preserve"> файлах, для </w:t>
      </w:r>
      <w:proofErr w:type="spellStart"/>
      <w:r w:rsidR="00333B07">
        <w:rPr>
          <w:lang w:val="en-US"/>
        </w:rPr>
        <w:t>NeQuick</w:t>
      </w:r>
      <w:proofErr w:type="spellEnd"/>
      <w:r w:rsidR="00333B07">
        <w:t xml:space="preserve"> понадобятся следующие значения:</w:t>
      </w:r>
    </w:p>
    <w:p w14:paraId="4A9E3CEA" w14:textId="7641186C" w:rsidR="00333B07" w:rsidRPr="00333B07" w:rsidRDefault="00333B07" w:rsidP="00333B07">
      <w:pPr>
        <w:pStyle w:val="a3"/>
        <w:ind w:firstLine="708"/>
      </w:pPr>
      <w:r w:rsidRPr="00333B07">
        <w:rPr>
          <w:lang w:val="en-US"/>
        </w:rPr>
        <w:t>a</w:t>
      </w:r>
      <w:r w:rsidRPr="00333B07">
        <w:t xml:space="preserve">0, </w:t>
      </w:r>
      <w:r w:rsidRPr="00333B07">
        <w:rPr>
          <w:lang w:val="en-US"/>
        </w:rPr>
        <w:t>a</w:t>
      </w:r>
      <w:r w:rsidRPr="00333B07">
        <w:t xml:space="preserve">1, </w:t>
      </w:r>
      <w:r w:rsidRPr="00333B07">
        <w:rPr>
          <w:lang w:val="en-US"/>
        </w:rPr>
        <w:t>a</w:t>
      </w:r>
      <w:r w:rsidRPr="00333B07">
        <w:t xml:space="preserve">2 – </w:t>
      </w:r>
      <w:r>
        <w:t>коэффициенты</w:t>
      </w:r>
      <w:r w:rsidRPr="00333B07">
        <w:t xml:space="preserve"> </w:t>
      </w:r>
      <w:r>
        <w:t>солнечной активности</w:t>
      </w:r>
      <w:r w:rsidRPr="00333B07">
        <w:t>,</w:t>
      </w:r>
    </w:p>
    <w:p w14:paraId="46A37FF1" w14:textId="3A52D920" w:rsidR="00333B07" w:rsidRPr="00333B07" w:rsidRDefault="00333B07" w:rsidP="00333B07">
      <w:pPr>
        <w:pStyle w:val="a3"/>
        <w:ind w:firstLine="708"/>
        <w:rPr>
          <w:lang w:val="en-US"/>
        </w:rPr>
      </w:pPr>
      <w:r w:rsidRPr="00333B07">
        <w:rPr>
          <w:lang w:val="en-US"/>
        </w:rPr>
        <w:t xml:space="preserve">month, UT – </w:t>
      </w:r>
      <w:proofErr w:type="gramStart"/>
      <w:r>
        <w:t>время</w:t>
      </w:r>
      <w:r w:rsidRPr="00333B07">
        <w:rPr>
          <w:lang w:val="en-US"/>
        </w:rPr>
        <w:t xml:space="preserve"> </w:t>
      </w:r>
      <w:r>
        <w:rPr>
          <w:lang w:val="en-US"/>
        </w:rPr>
        <w:t>,</w:t>
      </w:r>
      <w:proofErr w:type="gramEnd"/>
    </w:p>
    <w:p w14:paraId="6803A887" w14:textId="17607E10" w:rsidR="00333B07" w:rsidRPr="00333B07" w:rsidRDefault="00333B07" w:rsidP="00333B07">
      <w:pPr>
        <w:pStyle w:val="a3"/>
        <w:ind w:firstLine="708"/>
        <w:rPr>
          <w:lang w:val="en-US"/>
        </w:rPr>
      </w:pPr>
      <w:proofErr w:type="spellStart"/>
      <w:proofErr w:type="gramStart"/>
      <w:r w:rsidRPr="00333B07">
        <w:rPr>
          <w:lang w:val="en-US"/>
        </w:rPr>
        <w:t>station.longitude</w:t>
      </w:r>
      <w:proofErr w:type="spellEnd"/>
      <w:proofErr w:type="gramEnd"/>
      <w:r w:rsidRPr="00333B07">
        <w:rPr>
          <w:lang w:val="en-US"/>
        </w:rPr>
        <w:t xml:space="preserve">, </w:t>
      </w:r>
      <w:proofErr w:type="spellStart"/>
      <w:r w:rsidRPr="00333B07">
        <w:rPr>
          <w:lang w:val="en-US"/>
        </w:rPr>
        <w:t>station.latitude</w:t>
      </w:r>
      <w:proofErr w:type="spellEnd"/>
      <w:r w:rsidRPr="00333B07">
        <w:rPr>
          <w:lang w:val="en-US"/>
        </w:rPr>
        <w:t xml:space="preserve">, </w:t>
      </w:r>
      <w:proofErr w:type="spellStart"/>
      <w:r w:rsidRPr="00333B07">
        <w:rPr>
          <w:lang w:val="en-US"/>
        </w:rPr>
        <w:t>station.height</w:t>
      </w:r>
      <w:proofErr w:type="spellEnd"/>
      <w:r w:rsidRPr="00333B07">
        <w:rPr>
          <w:lang w:val="en-US"/>
        </w:rPr>
        <w:t xml:space="preserve"> </w:t>
      </w:r>
      <w:r>
        <w:rPr>
          <w:lang w:val="en-US"/>
        </w:rPr>
        <w:t>–</w:t>
      </w:r>
      <w:r w:rsidRPr="00333B07">
        <w:rPr>
          <w:lang w:val="en-US"/>
        </w:rPr>
        <w:t xml:space="preserve"> </w:t>
      </w:r>
      <w:r>
        <w:t>координаты</w:t>
      </w:r>
      <w:r w:rsidRPr="00333B07">
        <w:rPr>
          <w:lang w:val="en-US"/>
        </w:rPr>
        <w:t xml:space="preserve"> </w:t>
      </w:r>
      <w:r>
        <w:t>станции</w:t>
      </w:r>
      <w:r>
        <w:rPr>
          <w:lang w:val="en-US"/>
        </w:rPr>
        <w:t>,</w:t>
      </w:r>
    </w:p>
    <w:p w14:paraId="6CA629B8" w14:textId="6EBB17F0" w:rsidR="00333B07" w:rsidRDefault="00333B07" w:rsidP="00333B07">
      <w:pPr>
        <w:pStyle w:val="a3"/>
        <w:ind w:firstLine="708"/>
        <w:rPr>
          <w:lang w:val="en-US"/>
        </w:rPr>
      </w:pPr>
      <w:proofErr w:type="spellStart"/>
      <w:proofErr w:type="gramStart"/>
      <w:r w:rsidRPr="00333B07">
        <w:rPr>
          <w:lang w:val="en-US"/>
        </w:rPr>
        <w:t>satellite.longitude</w:t>
      </w:r>
      <w:proofErr w:type="spellEnd"/>
      <w:proofErr w:type="gramEnd"/>
      <w:r w:rsidRPr="00333B07">
        <w:rPr>
          <w:lang w:val="en-US"/>
        </w:rPr>
        <w:t xml:space="preserve">, </w:t>
      </w:r>
      <w:proofErr w:type="spellStart"/>
      <w:r w:rsidRPr="00333B07">
        <w:rPr>
          <w:lang w:val="en-US"/>
        </w:rPr>
        <w:t>satellite.latitude</w:t>
      </w:r>
      <w:proofErr w:type="spellEnd"/>
      <w:r w:rsidRPr="00333B07">
        <w:rPr>
          <w:lang w:val="en-US"/>
        </w:rPr>
        <w:t xml:space="preserve">, </w:t>
      </w:r>
      <w:proofErr w:type="spellStart"/>
      <w:r w:rsidRPr="00333B07">
        <w:rPr>
          <w:lang w:val="en-US"/>
        </w:rPr>
        <w:t>satellite.height</w:t>
      </w:r>
      <w:proofErr w:type="spellEnd"/>
      <w:r w:rsidRPr="00333B07">
        <w:rPr>
          <w:lang w:val="en-US"/>
        </w:rPr>
        <w:t xml:space="preserve"> – </w:t>
      </w:r>
      <w:r>
        <w:t>координаты</w:t>
      </w:r>
      <w:r w:rsidRPr="00333B07">
        <w:rPr>
          <w:lang w:val="en-US"/>
        </w:rPr>
        <w:t xml:space="preserve"> </w:t>
      </w:r>
      <w:r>
        <w:t>спутника</w:t>
      </w:r>
      <w:r>
        <w:rPr>
          <w:lang w:val="en-US"/>
        </w:rPr>
        <w:t>.</w:t>
      </w:r>
    </w:p>
    <w:p w14:paraId="1A923758" w14:textId="7661E6D5" w:rsidR="00F35854" w:rsidRDefault="00F35854" w:rsidP="00F35854">
      <w:pPr>
        <w:pStyle w:val="a3"/>
        <w:rPr>
          <w:lang w:val="en-US"/>
        </w:rPr>
      </w:pPr>
    </w:p>
    <w:p w14:paraId="24E17E9A" w14:textId="66B3C369" w:rsidR="00F35854" w:rsidRPr="00F35854" w:rsidRDefault="00F35854" w:rsidP="00F35854">
      <w:pPr>
        <w:pStyle w:val="a3"/>
        <w:ind w:firstLine="708"/>
      </w:pPr>
      <w:r>
        <w:t xml:space="preserve">Коэффициенты солнечной активности, координаты станции наблюдения (которая и сняла эти коэффициенты) и время находятся в файлах </w:t>
      </w:r>
      <w:proofErr w:type="spellStart"/>
      <w:r>
        <w:rPr>
          <w:lang w:val="en-US"/>
        </w:rPr>
        <w:t>rinex</w:t>
      </w:r>
      <w:proofErr w:type="spellEnd"/>
      <w:r w:rsidRPr="00F35854">
        <w:t>.</w:t>
      </w:r>
    </w:p>
    <w:p w14:paraId="2F79F118" w14:textId="07B5CC3E" w:rsidR="00F35854" w:rsidRDefault="00F35854" w:rsidP="00F35854">
      <w:pPr>
        <w:pStyle w:val="a3"/>
        <w:ind w:firstLine="708"/>
      </w:pPr>
      <w:r w:rsidRPr="00F35854">
        <w:t>RINEX</w:t>
      </w:r>
      <w:r>
        <w:t xml:space="preserve"> — это формат обмена данными для файлов исходных данных спутниковых навигационных приёмников. Он позволяет пользователям производить пост-обработку полученных данных для выполнения более точных вычислений — обычно с помощью других данных, неизвестных приемнику, например за счёт применения более точной модели атмосферных параметров в момент измерений. Выглядит такой формат следующим образом:</w:t>
      </w:r>
    </w:p>
    <w:p w14:paraId="64692683" w14:textId="77777777" w:rsidR="00C2210B" w:rsidRDefault="00C2210B" w:rsidP="00F35854">
      <w:pPr>
        <w:pStyle w:val="a3"/>
        <w:ind w:firstLine="708"/>
      </w:pPr>
    </w:p>
    <w:p w14:paraId="4828344B" w14:textId="2581DB0D" w:rsidR="00F35854" w:rsidRDefault="00F35854" w:rsidP="00F35854">
      <w:pPr>
        <w:pStyle w:val="a3"/>
        <w:jc w:val="center"/>
      </w:pPr>
      <w:r>
        <w:rPr>
          <w:noProof/>
        </w:rPr>
        <w:drawing>
          <wp:inline distT="0" distB="0" distL="0" distR="0" wp14:anchorId="4180F99D" wp14:editId="6EC92263">
            <wp:extent cx="4301836" cy="46294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332" cy="463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3B7F" w14:textId="279EF2EB" w:rsidR="00F35854" w:rsidRPr="00C2210B" w:rsidRDefault="00F35854" w:rsidP="00F35854">
      <w:pPr>
        <w:pStyle w:val="a3"/>
        <w:jc w:val="center"/>
      </w:pPr>
      <w:r>
        <w:t xml:space="preserve">Рисунок </w:t>
      </w:r>
      <w:r w:rsidR="00653255">
        <w:t>3</w:t>
      </w:r>
      <w:r>
        <w:t xml:space="preserve"> – пример заголовка </w:t>
      </w:r>
      <w:proofErr w:type="spellStart"/>
      <w:r>
        <w:rPr>
          <w:lang w:val="en-US"/>
        </w:rPr>
        <w:t>rinex</w:t>
      </w:r>
      <w:proofErr w:type="spellEnd"/>
      <w:r>
        <w:t xml:space="preserve"> файла</w:t>
      </w:r>
    </w:p>
    <w:p w14:paraId="1E0DFD64" w14:textId="19BEB73A" w:rsidR="00E94B55" w:rsidRPr="00C2210B" w:rsidRDefault="00E94B55" w:rsidP="00F35854">
      <w:pPr>
        <w:pStyle w:val="a3"/>
        <w:jc w:val="center"/>
      </w:pPr>
    </w:p>
    <w:p w14:paraId="4487F400" w14:textId="1A7B0A9E" w:rsidR="00E94B55" w:rsidRDefault="00E94B55" w:rsidP="00E94B55">
      <w:pPr>
        <w:pStyle w:val="a3"/>
      </w:pPr>
      <w:r w:rsidRPr="00C2210B">
        <w:tab/>
      </w:r>
      <w:r>
        <w:t xml:space="preserve">Координаты спутника же передаются в другом формате – </w:t>
      </w:r>
      <w:proofErr w:type="spellStart"/>
      <w:r>
        <w:rPr>
          <w:lang w:val="en-US"/>
        </w:rPr>
        <w:t>sp</w:t>
      </w:r>
      <w:proofErr w:type="spellEnd"/>
      <w:r w:rsidRPr="00E94B55">
        <w:t>3</w:t>
      </w:r>
      <w:r w:rsidR="00C2210B">
        <w:t>.</w:t>
      </w:r>
    </w:p>
    <w:p w14:paraId="7D530F75" w14:textId="77777777" w:rsidR="00C2210B" w:rsidRDefault="00C2210B" w:rsidP="00E94B55">
      <w:pPr>
        <w:pStyle w:val="a3"/>
      </w:pPr>
    </w:p>
    <w:p w14:paraId="732D0139" w14:textId="5BDAAE4B" w:rsidR="00E94B55" w:rsidRDefault="00E94B55" w:rsidP="00C2210B">
      <w:pPr>
        <w:pStyle w:val="a3"/>
        <w:jc w:val="center"/>
      </w:pPr>
      <w:r>
        <w:rPr>
          <w:noProof/>
        </w:rPr>
        <w:drawing>
          <wp:inline distT="0" distB="0" distL="0" distR="0" wp14:anchorId="113D1486" wp14:editId="16BF566B">
            <wp:extent cx="4440382" cy="4596104"/>
            <wp:effectExtent l="0" t="0" r="0" b="0"/>
            <wp:docPr id="4" name="Рисунок 4" descr="SP3 - NGS SP3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3 - NGS SP3 Fi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767" cy="460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5746" w14:textId="1BEC8D51" w:rsidR="00E94B55" w:rsidRDefault="00E94B55" w:rsidP="00E94B55">
      <w:pPr>
        <w:pStyle w:val="a3"/>
        <w:jc w:val="center"/>
      </w:pPr>
      <w:r>
        <w:t xml:space="preserve">Рисунок </w:t>
      </w:r>
      <w:r w:rsidR="00653255">
        <w:t>4</w:t>
      </w:r>
      <w:r>
        <w:t xml:space="preserve"> – Пример описания формата </w:t>
      </w:r>
      <w:proofErr w:type="spellStart"/>
      <w:r>
        <w:rPr>
          <w:lang w:val="en-US"/>
        </w:rPr>
        <w:t>sp</w:t>
      </w:r>
      <w:proofErr w:type="spellEnd"/>
      <w:r w:rsidRPr="00E94B55">
        <w:t>3</w:t>
      </w:r>
    </w:p>
    <w:p w14:paraId="0911FB33" w14:textId="77777777" w:rsidR="00133A8F" w:rsidRPr="00E94B55" w:rsidRDefault="00133A8F" w:rsidP="00E94B55">
      <w:pPr>
        <w:pStyle w:val="a3"/>
        <w:jc w:val="center"/>
      </w:pPr>
    </w:p>
    <w:p w14:paraId="33E53009" w14:textId="131378E8" w:rsidR="00A41E32" w:rsidRDefault="00333B07" w:rsidP="00133A8F">
      <w:pPr>
        <w:pStyle w:val="a3"/>
        <w:ind w:firstLine="708"/>
      </w:pPr>
      <w:r>
        <w:t xml:space="preserve">Получаем значения </w:t>
      </w:r>
      <w:r>
        <w:rPr>
          <w:lang w:val="en-US"/>
        </w:rPr>
        <w:t>TECU</w:t>
      </w:r>
      <w:r w:rsidR="00A41E32">
        <w:t xml:space="preserve"> (единица полной концентрации электронов), которые необходимы для коррекции ионосферной погрешности. </w:t>
      </w:r>
      <w:r w:rsidR="00653255">
        <w:t xml:space="preserve">Собрав </w:t>
      </w:r>
      <w:r w:rsidR="00C2210B">
        <w:t>достаточное количество измерений,</w:t>
      </w:r>
      <w:r w:rsidR="00653255">
        <w:t xml:space="preserve"> можно сделать диаграмму, на которой будет видна разница в количестве электронов в ионосфере над различными частями планеты:</w:t>
      </w:r>
    </w:p>
    <w:p w14:paraId="409B8731" w14:textId="3CB7624D" w:rsidR="00653255" w:rsidRDefault="00653255" w:rsidP="00653255">
      <w:pPr>
        <w:pStyle w:val="a3"/>
        <w:jc w:val="center"/>
      </w:pPr>
      <w:r>
        <w:rPr>
          <w:noProof/>
        </w:rPr>
        <w:drawing>
          <wp:inline distT="0" distB="0" distL="0" distR="0" wp14:anchorId="33494B7B" wp14:editId="4BD3CC6E">
            <wp:extent cx="3165475" cy="2639060"/>
            <wp:effectExtent l="0" t="0" r="0" b="8890"/>
            <wp:docPr id="5" name="Рисунок 5" descr="Scatter plot showing the VTEC [TECU] at the sub-IPP 450 km. The elevation angle is 3°, and the azimuth angle is 180° (Year 2012, DOY 75, 12 UTC). The VTEC at the sub-IPP is plotted at the location of the 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tter plot showing the VTEC [TECU] at the sub-IPP 450 km. The elevation angle is 3°, and the azimuth angle is 180° (Year 2012, DOY 75, 12 UTC). The VTEC at the sub-IPP is plotted at the location of the st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A58F" w14:textId="456308A8" w:rsidR="00A41E32" w:rsidRPr="00653255" w:rsidRDefault="00653255" w:rsidP="00C2210B">
      <w:pPr>
        <w:pStyle w:val="a3"/>
        <w:jc w:val="center"/>
      </w:pPr>
      <w:r>
        <w:t xml:space="preserve">Рисунок 5 </w:t>
      </w:r>
      <w:r w:rsidR="00C2210B">
        <w:t>–</w:t>
      </w:r>
      <w:r>
        <w:t xml:space="preserve"> Диаграмма</w:t>
      </w:r>
      <w:r w:rsidR="00C2210B">
        <w:t xml:space="preserve"> концентрации электронов</w:t>
      </w:r>
      <w:r w:rsidR="00A41E32">
        <w:br w:type="page"/>
      </w:r>
    </w:p>
    <w:p w14:paraId="5AA60A29" w14:textId="293D36EC" w:rsidR="00F51615" w:rsidRDefault="00A41E32" w:rsidP="00A41E32">
      <w:pPr>
        <w:pStyle w:val="2"/>
        <w:jc w:val="center"/>
      </w:pPr>
      <w:bookmarkStart w:id="3" w:name="_Toc91515825"/>
      <w:r>
        <w:lastRenderedPageBreak/>
        <w:t>ЗАКЛЮЧЕНИЕ</w:t>
      </w:r>
      <w:bookmarkEnd w:id="3"/>
    </w:p>
    <w:p w14:paraId="059F08E2" w14:textId="159FAA4D" w:rsidR="00DB50B7" w:rsidRDefault="00F51615" w:rsidP="00A41E32">
      <w:pPr>
        <w:ind w:firstLine="708"/>
      </w:pPr>
      <w:r>
        <w:t xml:space="preserve">Производительность одночастотного алгоритма коррекции ионосферы для </w:t>
      </w:r>
      <w:proofErr w:type="spellStart"/>
      <w:r>
        <w:t>Galileo</w:t>
      </w:r>
      <w:proofErr w:type="spellEnd"/>
      <w:r>
        <w:t xml:space="preserve"> на основе модели </w:t>
      </w:r>
      <w:proofErr w:type="spellStart"/>
      <w:r>
        <w:t>NeQuick</w:t>
      </w:r>
      <w:proofErr w:type="spellEnd"/>
      <w:r>
        <w:t xml:space="preserve"> </w:t>
      </w:r>
      <w:r w:rsidR="00A41E32">
        <w:t>н</w:t>
      </w:r>
      <w:r>
        <w:t>есмотря на сокращенную инфраструктуру (широкоформатные ионосферные параметры оценивались только с использованием спутников IOV на ограниченном количестве станций мониторинга), дает возможности, в частности, для низкоширотных регионов, где ионосфера является более проблематичной и, как и ожидалось, было подтверждено, что качество коррекции коррелирует с солнечной активностью.</w:t>
      </w:r>
    </w:p>
    <w:p w14:paraId="2954F7A8" w14:textId="77777777" w:rsidR="00DB50B7" w:rsidRDefault="00DB50B7">
      <w:pPr>
        <w:spacing w:after="160"/>
        <w:jc w:val="left"/>
      </w:pPr>
      <w:r>
        <w:br w:type="page"/>
      </w:r>
    </w:p>
    <w:p w14:paraId="621D35A3" w14:textId="602999D3" w:rsidR="00EA5425" w:rsidRDefault="00DB50B7" w:rsidP="00DB50B7">
      <w:pPr>
        <w:pStyle w:val="2"/>
      </w:pPr>
      <w:bookmarkStart w:id="4" w:name="_Toc91515826"/>
      <w:r>
        <w:lastRenderedPageBreak/>
        <w:t>СПИСОК ИСПОЛЬЗОВАННЫХ ИСТОЧНИКОВ</w:t>
      </w:r>
      <w:bookmarkEnd w:id="4"/>
    </w:p>
    <w:p w14:paraId="36FF1369" w14:textId="2BB743C9" w:rsidR="00DB50B7" w:rsidRDefault="00DB50B7" w:rsidP="00DB50B7">
      <w:pPr>
        <w:pStyle w:val="a3"/>
        <w:ind w:firstLine="708"/>
      </w:pPr>
      <w:r>
        <w:t xml:space="preserve">1. Электронный ресурс - </w:t>
      </w:r>
      <w:hyperlink r:id="rId10" w:history="1">
        <w:r w:rsidRPr="00962B8E">
          <w:rPr>
            <w:rStyle w:val="a4"/>
          </w:rPr>
          <w:t>https://cddis.nasa.gov</w:t>
        </w:r>
      </w:hyperlink>
    </w:p>
    <w:p w14:paraId="6F5E7AB7" w14:textId="7DFA934A" w:rsidR="00DB50B7" w:rsidRDefault="00DB50B7" w:rsidP="00DB50B7">
      <w:pPr>
        <w:pStyle w:val="a3"/>
        <w:ind w:firstLine="708"/>
      </w:pPr>
      <w:r>
        <w:t>2. К.М. Антонович Использование спутниковых радионавигационных систем в геодезии</w:t>
      </w:r>
    </w:p>
    <w:p w14:paraId="02B8ABBC" w14:textId="4E444BF0" w:rsidR="00DB50B7" w:rsidRDefault="00DB50B7" w:rsidP="00DB50B7">
      <w:pPr>
        <w:pStyle w:val="a3"/>
        <w:ind w:firstLine="708"/>
      </w:pPr>
      <w:r>
        <w:t xml:space="preserve">3. Электронный ресурс - </w:t>
      </w:r>
      <w:r w:rsidRPr="00DB50B7">
        <w:t>http://www.gisa.ru</w:t>
      </w:r>
    </w:p>
    <w:sectPr w:rsidR="00DB50B7" w:rsidSect="006458FC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8F"/>
    <w:rsid w:val="00081DF4"/>
    <w:rsid w:val="00133A8F"/>
    <w:rsid w:val="00164ED7"/>
    <w:rsid w:val="00201175"/>
    <w:rsid w:val="00232E8F"/>
    <w:rsid w:val="00333B07"/>
    <w:rsid w:val="003569A1"/>
    <w:rsid w:val="003E5715"/>
    <w:rsid w:val="00441DE9"/>
    <w:rsid w:val="006458FC"/>
    <w:rsid w:val="00653255"/>
    <w:rsid w:val="006F52C8"/>
    <w:rsid w:val="00863E34"/>
    <w:rsid w:val="00917B56"/>
    <w:rsid w:val="00A41E32"/>
    <w:rsid w:val="00AE5F2B"/>
    <w:rsid w:val="00C2210B"/>
    <w:rsid w:val="00CE3770"/>
    <w:rsid w:val="00DB50B7"/>
    <w:rsid w:val="00E94B55"/>
    <w:rsid w:val="00EA5425"/>
    <w:rsid w:val="00F35854"/>
    <w:rsid w:val="00F51615"/>
    <w:rsid w:val="00F9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8603"/>
  <w15:chartTrackingRefBased/>
  <w15:docId w15:val="{2715B926-48B9-41E7-B37F-6323681A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DE9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50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СФУ заголовок"/>
    <w:basedOn w:val="a"/>
    <w:link w:val="20"/>
    <w:uiPriority w:val="9"/>
    <w:qFormat/>
    <w:rsid w:val="00081DF4"/>
    <w:pPr>
      <w:spacing w:before="40" w:line="480" w:lineRule="auto"/>
      <w:ind w:left="709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ФУ Текст"/>
    <w:uiPriority w:val="1"/>
    <w:qFormat/>
    <w:rsid w:val="003E5715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aliases w:val="СФУ заголовок Знак"/>
    <w:basedOn w:val="a0"/>
    <w:link w:val="2"/>
    <w:uiPriority w:val="9"/>
    <w:rsid w:val="00081DF4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4">
    <w:name w:val="Hyperlink"/>
    <w:basedOn w:val="a0"/>
    <w:uiPriority w:val="99"/>
    <w:unhideWhenUsed/>
    <w:rsid w:val="00DB50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50B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B5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B50B7"/>
    <w:pPr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B50B7"/>
    <w:pPr>
      <w:spacing w:after="100"/>
      <w:ind w:left="280"/>
    </w:pPr>
  </w:style>
  <w:style w:type="character" w:styleId="a7">
    <w:name w:val="Placeholder Text"/>
    <w:basedOn w:val="a0"/>
    <w:uiPriority w:val="99"/>
    <w:semiHidden/>
    <w:rsid w:val="00DB50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ddis.nasa.go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F4084-8927-4BFD-9A15-A8D3E6A0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2192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6</cp:revision>
  <dcterms:created xsi:type="dcterms:W3CDTF">2021-12-25T13:35:00Z</dcterms:created>
  <dcterms:modified xsi:type="dcterms:W3CDTF">2021-12-28T17:50:00Z</dcterms:modified>
</cp:coreProperties>
</file>