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2DC6" w14:textId="77777777" w:rsidR="00AB0BE8" w:rsidRDefault="00000000">
      <w:pPr>
        <w:spacing w:after="15"/>
        <w:jc w:val="center"/>
      </w:pPr>
      <w:r>
        <w:rPr>
          <w:b/>
          <w:bCs/>
          <w:color w:val="1A1A1A"/>
          <w:sz w:val="19"/>
          <w:szCs w:val="19"/>
        </w:rPr>
        <w:t>UNIVERSIDAD CENTRAL</w:t>
      </w:r>
    </w:p>
    <w:p w14:paraId="779DCFEE" w14:textId="77777777" w:rsidR="00AB0BE8" w:rsidRDefault="00000000">
      <w:pPr>
        <w:spacing w:after="110"/>
        <w:jc w:val="center"/>
      </w:pPr>
      <w:r>
        <w:rPr>
          <w:color w:val="595959"/>
          <w:sz w:val="17"/>
          <w:szCs w:val="17"/>
        </w:rPr>
        <w:t>Asignatura Data Analytics (43390860), periodo 2026-2</w:t>
      </w:r>
    </w:p>
    <w:p w14:paraId="7C3ED6D7" w14:textId="77777777" w:rsidR="00AB0BE8" w:rsidRDefault="00000000">
      <w:pPr>
        <w:spacing w:after="25"/>
        <w:jc w:val="center"/>
      </w:pPr>
      <w:r>
        <w:rPr>
          <w:color w:val="595959"/>
          <w:sz w:val="19"/>
          <w:szCs w:val="19"/>
        </w:rPr>
        <w:t>Laboratorio SECOP Data Investigation</w:t>
      </w:r>
    </w:p>
    <w:p w14:paraId="11C50034" w14:textId="77777777" w:rsidR="00AB0BE8" w:rsidRDefault="00000000">
      <w:pPr>
        <w:spacing w:after="110"/>
        <w:jc w:val="center"/>
      </w:pPr>
      <w:r>
        <w:t>Tablero de evidencia. Equipo 9 - Expediente D</w:t>
      </w:r>
    </w:p>
    <w:p w14:paraId="4DA57560" w14:textId="4908B637" w:rsidR="00AB0BE8" w:rsidRDefault="00000000">
      <w:pPr>
        <w:spacing w:after="50"/>
        <w:jc w:val="both"/>
      </w:pPr>
      <w:r>
        <w:rPr>
          <w:sz w:val="20"/>
        </w:rPr>
        <w:t xml:space="preserve">Primer avance: Boyacá, 50.000 contratos, firmas del 01/01/2024 al 31/12/2025. E1 y E2 analizan registros localizados; E3 corresponde a días adicionados, como ruta complementaria del blog. No se equiparan estas medidas con adiciones presupuestales. Elaboración: </w:t>
      </w:r>
      <w:r w:rsidR="00441549">
        <w:rPr>
          <w:sz w:val="20"/>
        </w:rPr>
        <w:t>19</w:t>
      </w:r>
      <w:r>
        <w:rPr>
          <w:sz w:val="20"/>
        </w:rPr>
        <w:t>/09/2026.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3100"/>
        <w:gridCol w:w="1350"/>
        <w:gridCol w:w="1150"/>
        <w:gridCol w:w="1250"/>
        <w:gridCol w:w="1840"/>
      </w:tblGrid>
      <w:tr w:rsidR="00AB0BE8" w14:paraId="58297E58" w14:textId="77777777">
        <w:trPr>
          <w:cantSplit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94BD56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7"/>
              </w:rPr>
              <w:t>Equipo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3087CC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68B1B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7"/>
              </w:rPr>
              <w:t>Expediente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A35729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D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539D42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7"/>
              </w:rPr>
              <w:t>Recorte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C4ACE5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Boyacá</w:t>
            </w:r>
          </w:p>
        </w:tc>
      </w:tr>
    </w:tbl>
    <w:p w14:paraId="4AE0D5CD" w14:textId="77777777" w:rsidR="00AB0BE8" w:rsidRDefault="00AB0BE8">
      <w:pPr>
        <w:spacing w:after="110"/>
      </w:pP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2635A0A8" w14:textId="77777777">
        <w:trPr>
          <w:cantSplit/>
        </w:trPr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  <w:vAlign w:val="center"/>
          </w:tcPr>
          <w:p w14:paraId="2E76FF87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FFFFFF"/>
                <w:szCs w:val="20"/>
              </w:rPr>
              <w:t>Tarjeta de evidencia 1 de 3</w:t>
            </w:r>
          </w:p>
        </w:tc>
      </w:tr>
      <w:tr w:rsidR="00AB0BE8" w14:paraId="35BF443C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26112DD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D8D37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La descarga auxiliar tiene una cobertura insuficiente para estimar la frecuencia real de adiciones.</w:t>
            </w:r>
          </w:p>
        </w:tc>
      </w:tr>
      <w:tr w:rsidR="00AB0BE8" w14:paraId="250F3DA4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A96FB1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E8E20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74 de 50.000 contratos tienen registro localizado (0,148%); se emparejan 76 eventos. Todos los contratos localizados fueron firmados en 2024. La descarga de modificaciones termina el 09/09/2024.</w:t>
            </w:r>
          </w:p>
        </w:tc>
      </w:tr>
      <w:tr w:rsidR="00AB0BE8" w14:paraId="6CA872CD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BC7227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41723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E1 - SECOP_Equipo9_Avance1.ipynb. Tabla y gráfica identificadas con el mismo código.</w:t>
            </w:r>
          </w:p>
        </w:tc>
      </w:tr>
      <w:tr w:rsidR="00AB0BE8" w14:paraId="54CD4B58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49218E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8FA76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El tope de 50.000 filas y la cobertura temporal del archivo nacional pueden explicar la baja coincidencia; no se conoce el mecanismo completo de selección.</w:t>
            </w:r>
          </w:p>
        </w:tc>
      </w:tr>
      <w:tr w:rsidR="00AB0BE8" w14:paraId="08202F92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2D05DF0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09A66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Obtener eventos completos de los IDs asignados y verificar fechas. Sin coincidencia no equivale a sin adición; hay eventos anteriores a la firma.</w:t>
            </w:r>
          </w:p>
        </w:tc>
      </w:tr>
    </w:tbl>
    <w:p w14:paraId="55CDB8E6" w14:textId="77777777" w:rsidR="00AB0BE8" w:rsidRDefault="00000000">
      <w:r>
        <w:br w:type="page"/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08457E27" w14:textId="77777777">
        <w:trPr>
          <w:cantSplit/>
        </w:trPr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  <w:vAlign w:val="center"/>
          </w:tcPr>
          <w:p w14:paraId="503B269F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FFFFFF"/>
                <w:szCs w:val="20"/>
              </w:rPr>
              <w:lastRenderedPageBreak/>
              <w:t>Tarjeta de evidencia 2 de 3</w:t>
            </w:r>
          </w:p>
        </w:tc>
      </w:tr>
      <w:tr w:rsidR="00AB0BE8" w14:paraId="50299C94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055038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35B11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Los contratos con registro localizado tienen mayor valor mediano registrado, pero la comparación no prueba riesgo presupuestal.</w:t>
            </w:r>
          </w:p>
        </w:tc>
      </w:tr>
      <w:tr w:rsidR="00AB0BE8" w14:paraId="285F79A2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68A7EA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EA728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Mediana COP 23.820.000 con registro (n=74) frente a COP 18.000.000 sin registro localizado (n=49.926). Diferencia relativa: 32,33%.</w:t>
            </w:r>
          </w:p>
        </w:tc>
      </w:tr>
      <w:tr w:rsidR="00AB0BE8" w14:paraId="4D394A2C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C9F5FE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F0FAD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E2 - SECOP_Equipo9_Avance1.ipynb. Tabla y gráfica identificadas con el mismo código.</w:t>
            </w:r>
          </w:p>
        </w:tc>
      </w:tr>
      <w:tr w:rsidR="00AB0BE8" w14:paraId="1D48328A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DF4A3C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FA7E0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La composición por modalidad, tipo, entidad y vigencia, y la selección de la descarga, puede explicar parte de la diferencia.</w:t>
            </w:r>
          </w:p>
        </w:tc>
      </w:tr>
      <w:tr w:rsidR="00AB0BE8" w14:paraId="6A3A7935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5C79CD7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8D39A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Repetir con cobertura completa, contratos comparables, fechas consistentes y valores iniciales validados. El valor al corte no demuestra el valor de firma.</w:t>
            </w:r>
          </w:p>
        </w:tc>
      </w:tr>
    </w:tbl>
    <w:p w14:paraId="6048E448" w14:textId="77777777" w:rsidR="00AB0BE8" w:rsidRDefault="00000000">
      <w:r>
        <w:br w:type="page"/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7D86E0E8" w14:textId="77777777">
        <w:trPr>
          <w:cantSplit/>
        </w:trPr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  <w:vAlign w:val="center"/>
          </w:tcPr>
          <w:p w14:paraId="676A8BED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FFFFFF"/>
                <w:szCs w:val="20"/>
              </w:rPr>
              <w:lastRenderedPageBreak/>
              <w:t>Tarjeta de evidencia 3 de 3</w:t>
            </w:r>
          </w:p>
        </w:tc>
      </w:tr>
      <w:tr w:rsidR="00AB0BE8" w14:paraId="2F0A86E8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6F0E01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92197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La señal temporal registra ampliaciones en parte del recorte y se asocia con un mayor valor mediano.</w:t>
            </w:r>
          </w:p>
        </w:tc>
      </w:tr>
      <w:tr w:rsidR="00AB0BE8" w14:paraId="0C1E3B3E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E63F15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EE970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4.743/50.000 contratos registran días adicionados (9,486%). Mediana de ampliación: 57 días. Valor mediano COP 39.742.818 frente a COP 16.800.000 con cero días registrados.</w:t>
            </w:r>
          </w:p>
        </w:tc>
      </w:tr>
      <w:tr w:rsidR="00AB0BE8" w14:paraId="6607B80E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D36CEC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68ACE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E3 - SECOP_Equipo9_Avance1.ipynb. Tabla y gráfica identificadas con el mismo código.</w:t>
            </w:r>
          </w:p>
        </w:tc>
      </w:tr>
      <w:tr w:rsidR="00AB0BE8" w14:paraId="5C09EB4D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2CEC44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0DE38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Diferencias de complejidad, modalidad o entidad, y posibles actualizaciones del valor, pueden estar relacionadas con ambas variables.</w:t>
            </w:r>
          </w:p>
        </w:tc>
      </w:tr>
      <w:tr w:rsidR="00AB0BE8" w14:paraId="5CB22BC8" w14:textId="77777777">
        <w:trPr>
          <w:cantSplit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94C477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1B463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Controlar modalidad, tipo y vigencia y verificar condiciones iniciales. Es una ruta temporal complementaria del blog; no reemplaza la razón presupuestal del brief.</w:t>
            </w:r>
          </w:p>
        </w:tc>
      </w:tr>
    </w:tbl>
    <w:p w14:paraId="3A466E33" w14:textId="77777777" w:rsidR="00AB0BE8" w:rsidRDefault="00000000">
      <w:r>
        <w:br w:type="page"/>
      </w:r>
    </w:p>
    <w:p w14:paraId="3AFE6C80" w14:textId="77777777" w:rsidR="00AB0BE8" w:rsidRDefault="00000000">
      <w:pPr>
        <w:spacing w:after="60"/>
      </w:pPr>
      <w:r>
        <w:rPr>
          <w:b/>
          <w:bCs/>
          <w:color w:val="1F4E79"/>
          <w:sz w:val="20"/>
          <w:szCs w:val="20"/>
        </w:rPr>
        <w:lastRenderedPageBreak/>
        <w:t>Declaración de uso de herramientas de inteligencia artificial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40"/>
      </w:tblGrid>
      <w:tr w:rsidR="00AB0BE8" w14:paraId="3F3C0C25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4D953966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Herramienta empleada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7E228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ChatGPT.</w:t>
            </w:r>
          </w:p>
        </w:tc>
      </w:tr>
      <w:tr w:rsidR="00AB0BE8" w14:paraId="7CD25F3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7DAACBC4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Actividad en la que se empleó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826BA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Revisión de materiales, propuesta de código, auditoría de llaves y cobertura, cálculos, gráficas, redacción del tablero y preparación para sustentar.</w:t>
            </w:r>
          </w:p>
        </w:tc>
      </w:tr>
      <w:tr w:rsidR="00AB0BE8" w14:paraId="5FDCBBB5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2D9CDE23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Resultado que fue verificado y forma de verificación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2AE11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Verificación técnica del desarrollo: ejecución completa del notebook con los CSV originales y huellas SHA-256; conservación de 50.000 contratos; conciliación del cruce con la intersección de IDs; comprobación de los 74 contratos, 76 eventos y 4.743 contratos con días adicionados. Se comprobaron medianas y cronología. No se verificaron documentalmente los montos contractuales. Verificación humana: el equipo debe registrar qué volvió a ejecutar, qué contrastó y quién lo revisó.</w:t>
            </w:r>
          </w:p>
        </w:tc>
      </w:tr>
      <w:tr w:rsidR="00AB0BE8" w14:paraId="2650C13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321A0092" w14:textId="77777777" w:rsidR="00AB0BE8" w:rsidRDefault="00000000">
            <w:pPr>
              <w:spacing w:before="60" w:after="80" w:line="264" w:lineRule="auto"/>
            </w:pPr>
            <w:r>
              <w:rPr>
                <w:rFonts w:ascii="Calibri" w:hAnsi="Calibri"/>
                <w:b/>
                <w:bCs/>
                <w:color w:val="1A1A1A"/>
                <w:szCs w:val="18"/>
              </w:rPr>
              <w:t>Decisión del equipo que no se delegó a la herramienta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94B782" w14:textId="77777777" w:rsidR="00F918C7" w:rsidRDefault="00000000">
            <w:pPr>
              <w:spacing w:before="60" w:after="80" w:line="264" w:lineRule="auto"/>
            </w:pPr>
            <w:r>
              <w:rPr>
                <w:rFonts w:ascii="Calibri" w:hAnsi="Calibri"/>
              </w:rPr>
              <w:t>Pendiente de diligenciar por el equipo con una decisión realmente tomada sin delegarla a la herramienta. Las decisiones técnicas propuestas en el desarrollo asistido no deben declararse retrospectivamente como autónomas.</w:t>
            </w:r>
          </w:p>
        </w:tc>
      </w:tr>
    </w:tbl>
    <w:p w14:paraId="0311C775" w14:textId="77777777" w:rsidR="00AB0BE8" w:rsidRDefault="00AB0BE8">
      <w:pPr>
        <w:spacing w:after="160"/>
      </w:pPr>
    </w:p>
    <w:tbl>
      <w:tblPr>
        <w:tblW w:w="9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0"/>
        <w:gridCol w:w="1000"/>
        <w:gridCol w:w="4470"/>
      </w:tblGrid>
      <w:tr w:rsidR="00AB0BE8" w:rsidRPr="009B3089" w14:paraId="6FE1C990" w14:textId="77777777">
        <w:trPr>
          <w:cantSplit/>
        </w:trPr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AB2ECA" w14:textId="19A38368" w:rsidR="00DF3511" w:rsidRDefault="00000000">
            <w:pPr>
              <w:spacing w:after="1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Elaborado por</w:t>
            </w:r>
            <w:r w:rsidR="00DF3511">
              <w:rPr>
                <w:rFonts w:ascii="Calibri" w:hAnsi="Calibri"/>
              </w:rPr>
              <w:t>:</w:t>
            </w:r>
          </w:p>
          <w:p w14:paraId="74B9F259" w14:textId="1C933D81" w:rsidR="00F918C7" w:rsidRDefault="00DF3511">
            <w:pPr>
              <w:spacing w:after="1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Sara Guauque</w:t>
            </w:r>
          </w:p>
          <w:p w14:paraId="41A76378" w14:textId="1065ACC4" w:rsidR="00DF3511" w:rsidRDefault="00DF3511">
            <w:pPr>
              <w:spacing w:after="1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Shady Garay</w:t>
            </w:r>
          </w:p>
          <w:p w14:paraId="7C3ED721" w14:textId="2A47CCF5" w:rsidR="00DF3511" w:rsidRDefault="00DF3511">
            <w:pPr>
              <w:spacing w:after="10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Sergio Vargas</w:t>
            </w:r>
          </w:p>
          <w:p w14:paraId="5C1D90DE" w14:textId="0132E1A8" w:rsidR="00DF3511" w:rsidRDefault="00DF3511">
            <w:pPr>
              <w:spacing w:after="100"/>
            </w:pP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4B8BC9" w14:textId="77777777" w:rsidR="00F918C7" w:rsidRDefault="00F918C7">
            <w:pPr>
              <w:spacing w:after="100"/>
            </w:pP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3E8784" w14:textId="1F8E8F40" w:rsidR="00F918C7" w:rsidRDefault="00F918C7">
            <w:pPr>
              <w:spacing w:before="60" w:after="100" w:line="264" w:lineRule="auto"/>
            </w:pPr>
          </w:p>
        </w:tc>
      </w:tr>
    </w:tbl>
    <w:p w14:paraId="43FE87D5" w14:textId="77777777" w:rsidR="00833892" w:rsidRPr="009B3089" w:rsidRDefault="00833892">
      <w:pPr>
        <w:rPr>
          <w:lang w:val="pt-BR"/>
        </w:rPr>
      </w:pPr>
    </w:p>
    <w:sectPr w:rsidR="00833892" w:rsidRPr="009B3089">
      <w:footerReference w:type="default" r:id="rId7"/>
      <w:pgSz w:w="12240" w:h="15840"/>
      <w:pgMar w:top="850" w:right="1150" w:bottom="9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FB99" w14:textId="77777777" w:rsidR="00210265" w:rsidRDefault="00210265">
      <w:r>
        <w:separator/>
      </w:r>
    </w:p>
  </w:endnote>
  <w:endnote w:type="continuationSeparator" w:id="0">
    <w:p w14:paraId="3A88865D" w14:textId="77777777" w:rsidR="00210265" w:rsidRDefault="0021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D574C" w14:textId="77777777" w:rsidR="00AB0BE8" w:rsidRDefault="00000000">
    <w:pPr>
      <w:pBdr>
        <w:top w:val="single" w:sz="4" w:space="0" w:color="BFBFBF"/>
      </w:pBdr>
      <w:tabs>
        <w:tab w:val="right" w:pos="9940"/>
      </w:tabs>
      <w:spacing w:before="70"/>
    </w:pPr>
    <w:r>
      <w:rPr>
        <w:color w:val="595959"/>
        <w:sz w:val="15"/>
        <w:szCs w:val="15"/>
      </w:rPr>
      <w:t>Tablero de evidencia. Data Analytics, 2026-2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3089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3089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666F" w14:textId="77777777" w:rsidR="00210265" w:rsidRDefault="00210265">
      <w:r>
        <w:separator/>
      </w:r>
    </w:p>
  </w:footnote>
  <w:footnote w:type="continuationSeparator" w:id="0">
    <w:p w14:paraId="7A96A958" w14:textId="77777777" w:rsidR="00210265" w:rsidRDefault="00210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DCA"/>
    <w:multiLevelType w:val="hybridMultilevel"/>
    <w:tmpl w:val="3CEC7DA0"/>
    <w:lvl w:ilvl="0" w:tplc="095C8746">
      <w:start w:val="1"/>
      <w:numFmt w:val="bullet"/>
      <w:lvlText w:val="–"/>
      <w:lvlJc w:val="left"/>
      <w:pPr>
        <w:ind w:left="400" w:hanging="400"/>
      </w:pPr>
    </w:lvl>
    <w:lvl w:ilvl="1" w:tplc="338E4414">
      <w:numFmt w:val="decimal"/>
      <w:lvlText w:val=""/>
      <w:lvlJc w:val="left"/>
    </w:lvl>
    <w:lvl w:ilvl="2" w:tplc="2CB807D2">
      <w:numFmt w:val="decimal"/>
      <w:lvlText w:val=""/>
      <w:lvlJc w:val="left"/>
    </w:lvl>
    <w:lvl w:ilvl="3" w:tplc="5A362E1A">
      <w:numFmt w:val="decimal"/>
      <w:lvlText w:val=""/>
      <w:lvlJc w:val="left"/>
    </w:lvl>
    <w:lvl w:ilvl="4" w:tplc="FAD2EFA2">
      <w:numFmt w:val="decimal"/>
      <w:lvlText w:val=""/>
      <w:lvlJc w:val="left"/>
    </w:lvl>
    <w:lvl w:ilvl="5" w:tplc="B3D6CEDE">
      <w:numFmt w:val="decimal"/>
      <w:lvlText w:val=""/>
      <w:lvlJc w:val="left"/>
    </w:lvl>
    <w:lvl w:ilvl="6" w:tplc="A7AACFA4">
      <w:numFmt w:val="decimal"/>
      <w:lvlText w:val=""/>
      <w:lvlJc w:val="left"/>
    </w:lvl>
    <w:lvl w:ilvl="7" w:tplc="7C3EDE56">
      <w:numFmt w:val="decimal"/>
      <w:lvlText w:val=""/>
      <w:lvlJc w:val="left"/>
    </w:lvl>
    <w:lvl w:ilvl="8" w:tplc="4D202032">
      <w:numFmt w:val="decimal"/>
      <w:lvlText w:val=""/>
      <w:lvlJc w:val="left"/>
    </w:lvl>
  </w:abstractNum>
  <w:abstractNum w:abstractNumId="1" w15:restartNumberingAfterBreak="0">
    <w:nsid w:val="6F377344"/>
    <w:multiLevelType w:val="hybridMultilevel"/>
    <w:tmpl w:val="69AE9EDE"/>
    <w:lvl w:ilvl="0" w:tplc="378E937A">
      <w:start w:val="1"/>
      <w:numFmt w:val="bullet"/>
      <w:lvlText w:val="●"/>
      <w:lvlJc w:val="left"/>
      <w:pPr>
        <w:ind w:left="720" w:hanging="360"/>
      </w:pPr>
    </w:lvl>
    <w:lvl w:ilvl="1" w:tplc="26BAF374">
      <w:start w:val="1"/>
      <w:numFmt w:val="bullet"/>
      <w:lvlText w:val="○"/>
      <w:lvlJc w:val="left"/>
      <w:pPr>
        <w:ind w:left="1440" w:hanging="360"/>
      </w:pPr>
    </w:lvl>
    <w:lvl w:ilvl="2" w:tplc="6866A858">
      <w:start w:val="1"/>
      <w:numFmt w:val="bullet"/>
      <w:lvlText w:val="■"/>
      <w:lvlJc w:val="left"/>
      <w:pPr>
        <w:ind w:left="2160" w:hanging="360"/>
      </w:pPr>
    </w:lvl>
    <w:lvl w:ilvl="3" w:tplc="A5E6E976">
      <w:start w:val="1"/>
      <w:numFmt w:val="bullet"/>
      <w:lvlText w:val="●"/>
      <w:lvlJc w:val="left"/>
      <w:pPr>
        <w:ind w:left="2880" w:hanging="360"/>
      </w:pPr>
    </w:lvl>
    <w:lvl w:ilvl="4" w:tplc="04241F3E">
      <w:start w:val="1"/>
      <w:numFmt w:val="bullet"/>
      <w:lvlText w:val="○"/>
      <w:lvlJc w:val="left"/>
      <w:pPr>
        <w:ind w:left="3600" w:hanging="360"/>
      </w:pPr>
    </w:lvl>
    <w:lvl w:ilvl="5" w:tplc="EAE042F4">
      <w:start w:val="1"/>
      <w:numFmt w:val="bullet"/>
      <w:lvlText w:val="■"/>
      <w:lvlJc w:val="left"/>
      <w:pPr>
        <w:ind w:left="4320" w:hanging="360"/>
      </w:pPr>
    </w:lvl>
    <w:lvl w:ilvl="6" w:tplc="F604B6BC">
      <w:start w:val="1"/>
      <w:numFmt w:val="bullet"/>
      <w:lvlText w:val="●"/>
      <w:lvlJc w:val="left"/>
      <w:pPr>
        <w:ind w:left="5040" w:hanging="360"/>
      </w:pPr>
    </w:lvl>
    <w:lvl w:ilvl="7" w:tplc="CA6AB9A2">
      <w:start w:val="1"/>
      <w:numFmt w:val="bullet"/>
      <w:lvlText w:val="●"/>
      <w:lvlJc w:val="left"/>
      <w:pPr>
        <w:ind w:left="5760" w:hanging="360"/>
      </w:pPr>
    </w:lvl>
    <w:lvl w:ilvl="8" w:tplc="2DE287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5B2EE2"/>
    <w:multiLevelType w:val="hybridMultilevel"/>
    <w:tmpl w:val="B94E8D76"/>
    <w:lvl w:ilvl="0" w:tplc="76866988">
      <w:start w:val="1"/>
      <w:numFmt w:val="lowerLetter"/>
      <w:lvlText w:val="%1)"/>
      <w:lvlJc w:val="left"/>
      <w:pPr>
        <w:ind w:left="400" w:hanging="400"/>
      </w:pPr>
    </w:lvl>
    <w:lvl w:ilvl="1" w:tplc="1C5AF478">
      <w:numFmt w:val="decimal"/>
      <w:lvlText w:val=""/>
      <w:lvlJc w:val="left"/>
    </w:lvl>
    <w:lvl w:ilvl="2" w:tplc="5192AD94">
      <w:numFmt w:val="decimal"/>
      <w:lvlText w:val=""/>
      <w:lvlJc w:val="left"/>
    </w:lvl>
    <w:lvl w:ilvl="3" w:tplc="8D5A5522">
      <w:numFmt w:val="decimal"/>
      <w:lvlText w:val=""/>
      <w:lvlJc w:val="left"/>
    </w:lvl>
    <w:lvl w:ilvl="4" w:tplc="759A3982">
      <w:numFmt w:val="decimal"/>
      <w:lvlText w:val=""/>
      <w:lvlJc w:val="left"/>
    </w:lvl>
    <w:lvl w:ilvl="5" w:tplc="B630BCA8">
      <w:numFmt w:val="decimal"/>
      <w:lvlText w:val=""/>
      <w:lvlJc w:val="left"/>
    </w:lvl>
    <w:lvl w:ilvl="6" w:tplc="2BB4EE38">
      <w:numFmt w:val="decimal"/>
      <w:lvlText w:val=""/>
      <w:lvlJc w:val="left"/>
    </w:lvl>
    <w:lvl w:ilvl="7" w:tplc="5F5E0E32">
      <w:numFmt w:val="decimal"/>
      <w:lvlText w:val=""/>
      <w:lvlJc w:val="left"/>
    </w:lvl>
    <w:lvl w:ilvl="8" w:tplc="CF6AA40A">
      <w:numFmt w:val="decimal"/>
      <w:lvlText w:val=""/>
      <w:lvlJc w:val="left"/>
    </w:lvl>
  </w:abstractNum>
  <w:num w:numId="1" w16cid:durableId="903300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8"/>
    <w:rsid w:val="00210265"/>
    <w:rsid w:val="00441549"/>
    <w:rsid w:val="00816444"/>
    <w:rsid w:val="00833892"/>
    <w:rsid w:val="009B3089"/>
    <w:rsid w:val="00AB0BE8"/>
    <w:rsid w:val="00AF1B3A"/>
    <w:rsid w:val="00DF3511"/>
    <w:rsid w:val="00F9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642B"/>
  <w15:docId w15:val="{38A15D83-30F2-4D4C-A57D-C6AADD5C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601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Tablero de evidencia - Equipo 9 - Expediente D</dc:title>
  <dc:creator>Equipo 9 (integrantes por completar)</dc:creator>
  <cp:lastModifiedBy>SARA VALENTINA GUAUQUE</cp:lastModifiedBy>
  <cp:revision>3</cp:revision>
  <dcterms:created xsi:type="dcterms:W3CDTF">2026-09-21T14:01:00Z</dcterms:created>
  <dcterms:modified xsi:type="dcterms:W3CDTF">2026-09-21T14:06:00Z</dcterms:modified>
</cp:coreProperties>
</file>