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Doing business with other companies might increase the risks to data since it presents other avenues for the information to be compromised. The risk of theft is important, but might not be a priority because the bank is in an area with low crime rates. This information helps contextualize the risk assessment by considering external factors.</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Likelihood:</w:t>
      </w:r>
    </w:p>
    <w:p w:rsidR="00000000" w:rsidDel="00000000" w:rsidP="00000000" w:rsidRDefault="00000000" w:rsidRPr="00000000" w14:paraId="00000032">
      <w:pPr>
        <w:rPr/>
      </w:pPr>
      <w:r w:rsidDel="00000000" w:rsidR="00000000" w:rsidRPr="00000000">
        <w:rPr>
          <w:rtl w:val="0"/>
        </w:rPr>
        <w:t xml:space="preserve">Likelihood scores were estimated based on factors that could lead to a security incident. A range of 1, 2, or 3 on a risk matrix indicates rarity, likelihood, or certainty. For instance, the supply chain disruption, resulting from natural disasters, was rated as 1 due to the unpredictability of such events. In contrast, compromised data events were scored a 2 because they are more likely to occur given the possible causes.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Severity:</w:t>
      </w:r>
    </w:p>
    <w:p w:rsidR="00000000" w:rsidDel="00000000" w:rsidP="00000000" w:rsidRDefault="00000000" w:rsidRPr="00000000" w14:paraId="00000035">
      <w:pPr>
        <w:rPr/>
      </w:pPr>
      <w:r w:rsidDel="00000000" w:rsidR="00000000" w:rsidRPr="00000000">
        <w:rPr>
          <w:rtl w:val="0"/>
        </w:rPr>
        <w:t xml:space="preserve">No risk received a severity score less than 2 because data breaches, like business email compromise, can have significant consequences. Customers trust the bank to safeguard their money and personal information, and regulatory non-compliance could lead to severe repercussions. Hence, risks were rated with a severity of 2 or higher.</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Priority:</w:t>
      </w:r>
    </w:p>
    <w:p w:rsidR="00000000" w:rsidDel="00000000" w:rsidP="00000000" w:rsidRDefault="00000000" w:rsidRPr="00000000" w14:paraId="00000038">
      <w:pPr>
        <w:rPr/>
      </w:pPr>
      <w:r w:rsidDel="00000000" w:rsidR="00000000" w:rsidRPr="00000000">
        <w:rPr>
          <w:rtl w:val="0"/>
        </w:rPr>
        <w:t xml:space="preserve">The financial records leak received the highest overall risk score of 9, signaling that this risk is almost certain to happen and would significantly impact the bank's ability to operate. This high overall score highlights the need for immediate attention, helping the security team prioritize remediation efforts for this risk before addressing those with lower scores.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i w:val="1"/>
        </w:rPr>
      </w:pP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D">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E">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F">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40">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42">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C">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