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8DBCC" w14:textId="77777777" w:rsidR="00AF15D2" w:rsidRDefault="00762B44">
      <w:r>
        <w:t>10042</w:t>
      </w:r>
    </w:p>
    <w:p w14:paraId="7ED5159F" w14:textId="77777777" w:rsidR="00762B44" w:rsidRDefault="00762B44">
      <w:r w:rsidRPr="00762B44">
        <w:t>Gestión integral del acceso vascular por los nefrólogos. Resultados de tres años de trabajo</w:t>
      </w:r>
      <w:r w:rsidRPr="00762B44">
        <w:tab/>
        <w:t xml:space="preserve">El retraso en la creación de las </w:t>
      </w:r>
      <w:r w:rsidRPr="00762B44">
        <w:rPr>
          <w:highlight w:val="cyan"/>
        </w:rPr>
        <w:t>Fístulas</w:t>
      </w:r>
      <w:r w:rsidRPr="00762B44">
        <w:t xml:space="preserve"> </w:t>
      </w:r>
      <w:r w:rsidRPr="00762B44">
        <w:rPr>
          <w:highlight w:val="cyan"/>
        </w:rPr>
        <w:t>arteriovenosas</w:t>
      </w:r>
      <w:r w:rsidRPr="00762B44">
        <w:t xml:space="preserve"> (</w:t>
      </w:r>
      <w:r w:rsidRPr="00762B44">
        <w:rPr>
          <w:highlight w:val="yellow"/>
        </w:rPr>
        <w:t>FAVI</w:t>
      </w:r>
      <w:r w:rsidRPr="00762B44">
        <w:t xml:space="preserve">) constituye el principal        problema en las unidades de </w:t>
      </w:r>
      <w:r w:rsidRPr="00762B44">
        <w:rPr>
          <w:highlight w:val="cyan"/>
        </w:rPr>
        <w:t>Hemodiálisis</w:t>
      </w:r>
      <w:r w:rsidRPr="00762B44">
        <w:t xml:space="preserve"> (</w:t>
      </w:r>
      <w:r w:rsidRPr="00762B44">
        <w:rPr>
          <w:highlight w:val="yellow"/>
        </w:rPr>
        <w:t>HD</w:t>
      </w:r>
      <w:r w:rsidRPr="00762B44">
        <w:t xml:space="preserve">) del país. Dos de los nefrólogos        de la Unidad de Nefrología del Hospital do </w:t>
      </w:r>
      <w:proofErr w:type="spellStart"/>
      <w:r w:rsidRPr="00762B44">
        <w:t>Meixoeiro</w:t>
      </w:r>
      <w:proofErr w:type="spellEnd"/>
      <w:r w:rsidRPr="00762B44">
        <w:t>, tratando de encontrar soluciones        a este problema en su hospital, asumieron la realización de las Fístulas Arteriovenosas        a partir de diciembre de 2001. Se comparan sus resultados (132 FAVI        entre diciembre de 2001 y diciembre de 2004) con los del Servicio de Cirugía        General (268 FAVI entre noviembre de 1990 y noviembre de 2001) que las venía        realizando hasta esa fecha. Se demuestra una clara reducción en el tiempo de        espera de la cirugía (21,5 vs 103 días) y en el porcentaje de pacientes que inician        HD sin FAVI (19 % vs 63%) en el grupo de pacientes tratados por los nefrólogos, no        detectándose diferencias entre ambos grupos en los fallos primarios (21,3% vs        24,6%) ni en la supervivencia de las FAVI a los 36 meses (75% en ambos grupos).        Se atribuye estas diferencias a la gestión integral de las FAVI por los nefrólogos,  basada en la obtención de un espacio quirúrgico propio, en la gestión de la lista de        espera según las necesidades del paciente determinadas en una consulta previa y en        la mayor fluidez de la cirugía al ser realizada por los propios nefrólogos. Se concluye        que en aquellos Hospitales que compartan una situación similar a la presentada en        la comunicación, la gestión integral de las FAVI a través del establecimiento de un        coordinador/unidad de acceso vascular puede ser muy efectiva en la resolución del        problema"</w:t>
      </w:r>
    </w:p>
    <w:p w14:paraId="4FAB76E9" w14:textId="77777777" w:rsidR="00AF4827" w:rsidRDefault="00AF4827" w:rsidP="00AF4827">
      <w:r>
        <w:t>100083</w:t>
      </w:r>
      <w:r>
        <w:tab/>
        <w:t>es</w:t>
      </w:r>
      <w:r>
        <w:tab/>
        <w:t>Novedades en cirugía de columna vertebral en 2015</w:t>
      </w:r>
      <w:r>
        <w:tab/>
        <w:t xml:space="preserve">En este artículo de revisión, queremos destacar las principales novedades y curiosidades alrededor de la cirugía de columna que se han publicado el año 2015. Aunque, el año pasado no han sido publicadas grandes novedades en nuestra área de estudio, nosotros queremos hacer hincapié en los aspectos que nos han parecido más relevantes sobre cirugía de columna. Dado que la cirugía de columna representa una importante carga asistencial sanitaria y social. Los estudios aquí reflejados intentan dar respuestas a las múltiples demandas pendientes. Así es como abordaremos temas como la artrodesis cervical vs prótesis cervicales, uso local de vancomicina en polvo, </w:t>
      </w:r>
      <w:r w:rsidRPr="005901D1">
        <w:rPr>
          <w:highlight w:val="red"/>
        </w:rPr>
        <w:t xml:space="preserve">vitamina </w:t>
      </w:r>
      <w:commentRangeStart w:id="0"/>
      <w:r w:rsidRPr="005901D1">
        <w:rPr>
          <w:highlight w:val="red"/>
        </w:rPr>
        <w:t>D</w:t>
      </w:r>
      <w:commentRangeEnd w:id="0"/>
      <w:r w:rsidR="005901D1">
        <w:rPr>
          <w:rStyle w:val="Refdecomentario"/>
        </w:rPr>
        <w:commentReference w:id="0"/>
      </w:r>
      <w:r>
        <w:t>, mejoras en las técnicas de cementación vertebral, uso de agentes biológicos, escoliosis idiopática del adolescente y factores de riesgo para la cirugía de columna (AU)"</w:t>
      </w:r>
    </w:p>
    <w:p w14:paraId="7FFDB61C" w14:textId="6FF1A03C" w:rsidR="00AF4827" w:rsidRDefault="00AF4827" w:rsidP="00AF4827">
      <w:r>
        <w:t>100419</w:t>
      </w:r>
      <w:r>
        <w:tab/>
        <w:t>es</w:t>
      </w:r>
      <w:r>
        <w:tab/>
        <w:t>Biomecánica del síndrome de latigazo cervical y su analogía osteopática</w:t>
      </w:r>
      <w:r>
        <w:tab/>
        <w:t xml:space="preserve">El tratamiento mediante manipulaciones es una terapia antigua; sin embargo, investigaciones científicas datan desde finales de la década de los </w:t>
      </w:r>
      <w:proofErr w:type="gramStart"/>
      <w:r>
        <w:t>70.Las</w:t>
      </w:r>
      <w:proofErr w:type="gramEnd"/>
      <w:r>
        <w:t xml:space="preserve"> condiciones en las cuales la manipulación es aplicada, tienden al tratamiento de síntomas tales como lumbalgias agudas y crónicas, dolor radicular, cervicalgias, algunas formas de cefalea, etc. Las diferentes técnicas osteopáticas tienen como objeto liberar adherencias, suprimir fibrosis, restablecer la función articular y producir (mediante un efecto </w:t>
      </w:r>
      <w:proofErr w:type="spellStart"/>
      <w:r>
        <w:t>reflexógeno</w:t>
      </w:r>
      <w:proofErr w:type="spellEnd"/>
      <w:r>
        <w:t xml:space="preserve">) un estímulo aferente con objeto de facilitar la inhibición de la hiperactividad gamma, responsable del acortamiento crónico de la musculatura profunda que fija la disfunción vertebral. El empleo de las técnicas de manipulación y movilización a nivel cervical han sido empleadas en pacientes con síndrome de latigazo cervical; sin embargo, en el aspecto clínico desarrollado por nuestro equipo de investigación, consideramos necesario la movilización y manipulación de otras zonas afectadas. El objetivo de este artículo es analizar de forma exhaustiva la biomecánica que acontece durante un impacto trasero en el interior de un vehículo (causa más frecuente de desarrollo de síndrome de latigazo cervical) y su analogía con la </w:t>
      </w:r>
      <w:proofErr w:type="spellStart"/>
      <w:r>
        <w:t>patomecánica</w:t>
      </w:r>
      <w:proofErr w:type="spellEnd"/>
      <w:r>
        <w:t xml:space="preserve"> osteopática (</w:t>
      </w:r>
      <w:proofErr w:type="spellStart"/>
      <w:r>
        <w:t>whiplash</w:t>
      </w:r>
      <w:proofErr w:type="spellEnd"/>
      <w:r>
        <w:t xml:space="preserve"> </w:t>
      </w:r>
      <w:proofErr w:type="spellStart"/>
      <w:r>
        <w:t>craneosacro</w:t>
      </w:r>
      <w:proofErr w:type="spellEnd"/>
      <w:r>
        <w:t>).A través del análisis realizado en este artículo se puede observar una analogía entre las lesiones articulares demostradas en diversos estudios y las lesiones articulares definidas desde el punto de vista osteopático (AU)"</w:t>
      </w:r>
    </w:p>
    <w:p w14:paraId="239D0BF2" w14:textId="54A0095B" w:rsidR="002412F8" w:rsidRDefault="002412F8" w:rsidP="00AF4827">
      <w:r>
        <w:t xml:space="preserve">//Erro </w:t>
      </w:r>
      <w:proofErr w:type="gramStart"/>
      <w:r>
        <w:t>con :</w:t>
      </w:r>
      <w:bookmarkStart w:id="1" w:name="_GoBack"/>
      <w:bookmarkEnd w:id="1"/>
      <w:proofErr w:type="gramEnd"/>
    </w:p>
    <w:p w14:paraId="1F05321A" w14:textId="0E3DB266" w:rsidR="002412F8" w:rsidRDefault="002412F8" w:rsidP="00AF4827">
      <w:r w:rsidRPr="002412F8">
        <w:t>100472</w:t>
      </w:r>
      <w:r w:rsidRPr="002412F8">
        <w:tab/>
        <w:t>es</w:t>
      </w:r>
      <w:r w:rsidRPr="002412F8">
        <w:tab/>
        <w:t>Expectativas y experiencias de uso de las mujeres gitanas mayores ante los servicios sanitarios de atención primaria</w:t>
      </w:r>
      <w:r w:rsidRPr="002412F8">
        <w:tab/>
        <w:t xml:space="preserve">Objetivo: Conocer las expectativas y las experiencias de uso de las mujeres gitanas mayores ante los servicios sanitarios de atención primaria (AP). Diseño: Estudio cualitativo fenomenológico. Uso de grupos focales (4-9 mujeres/grupo) y entrevistas semiestructuradas. Registradas en audio. Realizadas entre marzo y noviembre de 2011. Emplazamiento: Estudio realizado en Úbeda y Linares (España). Participantes y contexto: Mujeres gitanas de más de 50 años. Muestreo intencional con criterio de segmentación de edad y zona de residencia. Captación a través de líderes comunitarias. Método: Proceso de análisis cualitativo de contenido: codificación, triangulación, obtención y verificación de resultados. Apoyado con el software </w:t>
      </w:r>
      <w:proofErr w:type="spellStart"/>
      <w:r w:rsidRPr="002412F8">
        <w:t>Nvivo</w:t>
      </w:r>
      <w:proofErr w:type="spellEnd"/>
      <w:r w:rsidRPr="002412F8">
        <w:t xml:space="preserve"> 8. Resultados: Se </w:t>
      </w:r>
      <w:r w:rsidRPr="002412F8">
        <w:lastRenderedPageBreak/>
        <w:t>realizaron 3 grupos focales y 4 entrevistas, incluyéndose 23 mujeres. Las expectativas ante la AP se dirigen exclusivamente a su médico, siendo invisibles otros profesionales. Quieren una relación con su médico basada en la confianza. En sus experiencias de uso de la AP conviven 3 tipos de uso: acuden a sus citas, demandan atención solo ante patología aguda y no acuden a citas y revisiones. Existen elementos socioculturales relacionados con la accesibilidad. Conclusiones: Las mujeres gitanas mayores plantean sus expectativas y experiencias en los servicios de AP alrededor del binomio enfermedad/médico. Esperan una atención basada en la confianza y con una alta instrumentalización. Se observa un discurso con signos de cambio dirigidos hacia una participación más activa y reivindicativa en los servicios de AP (AU)"</w:t>
      </w:r>
    </w:p>
    <w:sectPr w:rsidR="002412F8" w:rsidSect="00762B4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 Lucas H." w:date="2019-12-09T19:48:00Z" w:initials="SLH">
    <w:p w14:paraId="20E2449C" w14:textId="77777777" w:rsidR="005901D1" w:rsidRDefault="005901D1">
      <w:pPr>
        <w:pStyle w:val="Textocomentario"/>
      </w:pPr>
      <w:r>
        <w:rPr>
          <w:rStyle w:val="Refdecomentario"/>
        </w:rPr>
        <w:annotationRef/>
      </w:r>
      <w:r>
        <w:t xml:space="preserve">Detecta la </w:t>
      </w:r>
      <w:proofErr w:type="gramStart"/>
      <w:r>
        <w:t>D</w:t>
      </w:r>
      <w:proofErr w:type="gramEnd"/>
      <w:r>
        <w:t xml:space="preserve"> pero se puede añadir al analizador que sean </w:t>
      </w:r>
      <w:proofErr w:type="spellStart"/>
      <w:r>
        <w:t>acronimos</w:t>
      </w:r>
      <w:proofErr w:type="spellEnd"/>
      <w:r>
        <w:t xml:space="preserve"> de </w:t>
      </w:r>
      <w:proofErr w:type="spellStart"/>
      <w:r>
        <w:t>mas</w:t>
      </w:r>
      <w:proofErr w:type="spellEnd"/>
      <w:r>
        <w:t xml:space="preserve"> de un carácter. Luego este tipo serian erróneos.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E244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E2449C" w16cid:durableId="219923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ucas H.">
    <w15:presenceInfo w15:providerId="Windows Live" w15:userId="dd256e83de552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44"/>
    <w:rsid w:val="002412F8"/>
    <w:rsid w:val="004E5320"/>
    <w:rsid w:val="005901D1"/>
    <w:rsid w:val="005E2046"/>
    <w:rsid w:val="00623ECE"/>
    <w:rsid w:val="006B628D"/>
    <w:rsid w:val="00762B44"/>
    <w:rsid w:val="008968F3"/>
    <w:rsid w:val="00AF15D2"/>
    <w:rsid w:val="00AF4827"/>
    <w:rsid w:val="00E11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C397"/>
  <w15:chartTrackingRefBased/>
  <w15:docId w15:val="{83181EC2-EE55-4953-A1A1-1CD172AC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5901D1"/>
    <w:rPr>
      <w:sz w:val="16"/>
      <w:szCs w:val="16"/>
    </w:rPr>
  </w:style>
  <w:style w:type="paragraph" w:styleId="Textocomentario">
    <w:name w:val="annotation text"/>
    <w:basedOn w:val="Normal"/>
    <w:link w:val="TextocomentarioCar"/>
    <w:uiPriority w:val="99"/>
    <w:semiHidden/>
    <w:unhideWhenUsed/>
    <w:rsid w:val="005901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01D1"/>
    <w:rPr>
      <w:sz w:val="20"/>
      <w:szCs w:val="20"/>
    </w:rPr>
  </w:style>
  <w:style w:type="paragraph" w:styleId="Asuntodelcomentario">
    <w:name w:val="annotation subject"/>
    <w:basedOn w:val="Textocomentario"/>
    <w:next w:val="Textocomentario"/>
    <w:link w:val="AsuntodelcomentarioCar"/>
    <w:uiPriority w:val="99"/>
    <w:semiHidden/>
    <w:unhideWhenUsed/>
    <w:rsid w:val="005901D1"/>
    <w:rPr>
      <w:b/>
      <w:bCs/>
    </w:rPr>
  </w:style>
  <w:style w:type="character" w:customStyle="1" w:styleId="AsuntodelcomentarioCar">
    <w:name w:val="Asunto del comentario Car"/>
    <w:basedOn w:val="TextocomentarioCar"/>
    <w:link w:val="Asuntodelcomentario"/>
    <w:uiPriority w:val="99"/>
    <w:semiHidden/>
    <w:rsid w:val="005901D1"/>
    <w:rPr>
      <w:b/>
      <w:bCs/>
      <w:sz w:val="20"/>
      <w:szCs w:val="20"/>
    </w:rPr>
  </w:style>
  <w:style w:type="paragraph" w:styleId="Textodeglobo">
    <w:name w:val="Balloon Text"/>
    <w:basedOn w:val="Normal"/>
    <w:link w:val="TextodegloboCar"/>
    <w:uiPriority w:val="99"/>
    <w:semiHidden/>
    <w:unhideWhenUsed/>
    <w:rsid w:val="005901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1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Lucas H.</dc:creator>
  <cp:keywords/>
  <dc:description/>
  <cp:lastModifiedBy>Sara Lucas H.</cp:lastModifiedBy>
  <cp:revision>3</cp:revision>
  <dcterms:created xsi:type="dcterms:W3CDTF">2019-11-17T19:02:00Z</dcterms:created>
  <dcterms:modified xsi:type="dcterms:W3CDTF">2019-12-09T20:37:00Z</dcterms:modified>
</cp:coreProperties>
</file>