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41A3E" w:rsidRDefault="00641A3E" w:rsidP="0006007B">
      <w:pPr>
        <w:rPr>
          <w:rFonts w:asciiTheme="majorBidi" w:hAnsiTheme="majorBidi" w:cstheme="majorBidi"/>
          <w:sz w:val="24"/>
          <w:szCs w:val="24"/>
        </w:rPr>
      </w:pPr>
      <w:r w:rsidRPr="009224BF">
        <w:rPr>
          <w:rFonts w:asciiTheme="majorBidi" w:hAnsiTheme="majorBidi" w:cstheme="majorBidi"/>
          <w:sz w:val="24"/>
          <w:szCs w:val="24"/>
        </w:rPr>
        <w:t>Introduction</w:t>
      </w:r>
    </w:p>
    <w:p w:rsidR="00486F95" w:rsidRDefault="00AC5D23" w:rsidP="0006007B">
      <w:pPr>
        <w:rPr>
          <w:rFonts w:asciiTheme="majorBidi" w:hAnsiTheme="majorBidi" w:cstheme="majorBidi"/>
          <w:sz w:val="24"/>
          <w:szCs w:val="24"/>
        </w:rPr>
      </w:pPr>
      <w:r w:rsidRPr="00AC5D23">
        <w:rPr>
          <w:color w:val="222222"/>
          <w:sz w:val="27"/>
          <w:szCs w:val="27"/>
          <w:highlight w:val="yellow"/>
          <w:shd w:val="clear" w:color="auto" w:fill="FFFFFF"/>
        </w:rPr>
        <w:t>Quantitative structure–activity relationship (QSAR) modelling, an approach that was introduced 60 years ago, is widely used in computer-aided drug design. In recent years, progress in artificial intelligence techniques, such as deep learning, the rapid growth of databases of molecules for virtual screening and dramatic improvements in computational power have supported the emergence of a new field of QSAR applications that we term ‘deep QSAR’.</w:t>
      </w:r>
      <w:r>
        <w:rPr>
          <w:color w:val="222222"/>
          <w:sz w:val="27"/>
          <w:szCs w:val="27"/>
          <w:shd w:val="clear" w:color="auto" w:fill="FFFFFF"/>
        </w:rPr>
        <w:t xml:space="preserve">  </w:t>
      </w:r>
      <w:r w:rsidRPr="00486F95">
        <w:rPr>
          <w:rFonts w:ascii="Times New Roman" w:eastAsia="Times New Roman" w:hAnsi="Times New Roman" w:cs="Times New Roman"/>
          <w:kern w:val="0"/>
          <w:sz w:val="24"/>
          <w:szCs w:val="24"/>
          <w14:ligatures w14:val="none"/>
        </w:rPr>
        <w:t>(</w:t>
      </w:r>
      <w:proofErr w:type="spellStart"/>
      <w:r w:rsidRPr="00486F95">
        <w:rPr>
          <w:rFonts w:ascii="Times New Roman" w:eastAsia="Times New Roman" w:hAnsi="Times New Roman" w:cs="Times New Roman"/>
          <w:kern w:val="0"/>
          <w:sz w:val="24"/>
          <w:szCs w:val="24"/>
          <w14:ligatures w14:val="none"/>
        </w:rPr>
        <w:t>Tropsha</w:t>
      </w:r>
      <w:proofErr w:type="spellEnd"/>
      <w:r w:rsidRPr="00486F95">
        <w:rPr>
          <w:rFonts w:ascii="Times New Roman" w:eastAsia="Times New Roman" w:hAnsi="Times New Roman" w:cs="Times New Roman"/>
          <w:kern w:val="0"/>
          <w:sz w:val="24"/>
          <w:szCs w:val="24"/>
          <w14:ligatures w14:val="none"/>
        </w:rPr>
        <w:t xml:space="preserve"> et al., 2023)</w:t>
      </w:r>
    </w:p>
    <w:p w:rsidR="00486F95" w:rsidRDefault="00486F95" w:rsidP="0006007B">
      <w:pPr>
        <w:rPr>
          <w:rFonts w:asciiTheme="majorBidi" w:hAnsiTheme="majorBidi" w:cstheme="majorBidi"/>
          <w:sz w:val="24"/>
          <w:szCs w:val="24"/>
        </w:rPr>
      </w:pPr>
    </w:p>
    <w:p w:rsidR="00AC5D23" w:rsidRPr="00AC5D23" w:rsidRDefault="00486F95" w:rsidP="00AC5D23">
      <w:pPr>
        <w:rPr>
          <w:rFonts w:ascii="Times New Roman" w:eastAsia="Times New Roman" w:hAnsi="Times New Roman" w:cs="Times New Roman"/>
          <w:kern w:val="0"/>
          <w:sz w:val="24"/>
          <w:szCs w:val="24"/>
          <w14:ligatures w14:val="none"/>
        </w:rPr>
      </w:pPr>
      <w:r w:rsidRPr="00486F95">
        <w:rPr>
          <w:rFonts w:ascii="Merriweather" w:hAnsi="Merriweather"/>
          <w:color w:val="222222"/>
          <w:sz w:val="27"/>
          <w:szCs w:val="27"/>
          <w:highlight w:val="yellow"/>
          <w:shd w:val="clear" w:color="auto" w:fill="FFFFFF"/>
        </w:rPr>
        <w:t>The PPARs (peroxisome proliferator-activated receptors) have emerged as promising therapeutic targets among all nuclear receptors for developing novel pharmacotherapeutic candidates against insulin resistance, cancers, obesity, dyslipidemia, and cardiovascular disorders.</w:t>
      </w:r>
      <w:r>
        <w:rPr>
          <w:rFonts w:ascii="Merriweather" w:hAnsi="Merriweather"/>
          <w:color w:val="222222"/>
          <w:sz w:val="27"/>
          <w:szCs w:val="27"/>
          <w:shd w:val="clear" w:color="auto" w:fill="FFFFFF"/>
        </w:rPr>
        <w:t xml:space="preserve"> </w:t>
      </w:r>
      <w:r w:rsidRPr="00486F95">
        <w:rPr>
          <w:rFonts w:ascii="Merriweather" w:hAnsi="Merriweather"/>
          <w:color w:val="222222"/>
          <w:sz w:val="27"/>
          <w:szCs w:val="27"/>
          <w:highlight w:val="yellow"/>
          <w:shd w:val="clear" w:color="auto" w:fill="FFFFFF"/>
        </w:rPr>
        <w:t xml:space="preserve">The medicinal repertoire of </w:t>
      </w:r>
      <w:proofErr w:type="spellStart"/>
      <w:r w:rsidRPr="00486F95">
        <w:rPr>
          <w:rFonts w:ascii="Merriweather" w:hAnsi="Merriweather"/>
          <w:color w:val="222222"/>
          <w:sz w:val="27"/>
          <w:szCs w:val="27"/>
          <w:highlight w:val="yellow"/>
          <w:shd w:val="clear" w:color="auto" w:fill="FFFFFF"/>
        </w:rPr>
        <w:t>PPAR</w:t>
      </w:r>
      <w:r w:rsidRPr="00486F95">
        <w:rPr>
          <w:rFonts w:ascii="Cambria" w:hAnsi="Cambria" w:cs="Cambria"/>
          <w:i/>
          <w:iCs/>
          <w:color w:val="222222"/>
          <w:sz w:val="27"/>
          <w:szCs w:val="27"/>
          <w:highlight w:val="yellow"/>
          <w:shd w:val="clear" w:color="auto" w:fill="FFFFFF"/>
        </w:rPr>
        <w:t>γ</w:t>
      </w:r>
      <w:proofErr w:type="spellEnd"/>
      <w:r w:rsidRPr="00486F95">
        <w:rPr>
          <w:rFonts w:ascii="Merriweather" w:hAnsi="Merriweather"/>
          <w:color w:val="222222"/>
          <w:sz w:val="27"/>
          <w:szCs w:val="27"/>
          <w:highlight w:val="yellow"/>
          <w:shd w:val="clear" w:color="auto" w:fill="FFFFFF"/>
        </w:rPr>
        <w:t> </w:t>
      </w:r>
      <w:proofErr w:type="gramStart"/>
      <w:r w:rsidRPr="00486F95">
        <w:rPr>
          <w:rFonts w:ascii="Merriweather" w:hAnsi="Merriweather"/>
          <w:color w:val="222222"/>
          <w:sz w:val="27"/>
          <w:szCs w:val="27"/>
          <w:highlight w:val="yellow"/>
          <w:shd w:val="clear" w:color="auto" w:fill="FFFFFF"/>
        </w:rPr>
        <w:t>antagonists</w:t>
      </w:r>
      <w:proofErr w:type="gramEnd"/>
      <w:r w:rsidRPr="00486F95">
        <w:rPr>
          <w:rFonts w:ascii="Merriweather" w:hAnsi="Merriweather"/>
          <w:color w:val="222222"/>
          <w:sz w:val="27"/>
          <w:szCs w:val="27"/>
          <w:highlight w:val="yellow"/>
          <w:shd w:val="clear" w:color="auto" w:fill="FFFFFF"/>
        </w:rPr>
        <w:t xml:space="preserve"> spreads more wider than diabetic therapy in promoting osteoblast formation and depressing differentiation of adipose tissue. As a result, </w:t>
      </w:r>
      <w:proofErr w:type="spellStart"/>
      <w:r w:rsidRPr="00486F95">
        <w:rPr>
          <w:rFonts w:ascii="Merriweather" w:hAnsi="Merriweather"/>
          <w:color w:val="222222"/>
          <w:sz w:val="27"/>
          <w:szCs w:val="27"/>
          <w:highlight w:val="yellow"/>
          <w:shd w:val="clear" w:color="auto" w:fill="FFFFFF"/>
        </w:rPr>
        <w:t>PPAR</w:t>
      </w:r>
      <w:r w:rsidRPr="00486F95">
        <w:rPr>
          <w:rFonts w:ascii="Cambria" w:hAnsi="Cambria" w:cs="Cambria"/>
          <w:i/>
          <w:iCs/>
          <w:color w:val="222222"/>
          <w:sz w:val="27"/>
          <w:szCs w:val="27"/>
          <w:highlight w:val="yellow"/>
          <w:shd w:val="clear" w:color="auto" w:fill="FFFFFF"/>
        </w:rPr>
        <w:t>γ</w:t>
      </w:r>
      <w:proofErr w:type="spellEnd"/>
      <w:r w:rsidRPr="00486F95">
        <w:rPr>
          <w:rFonts w:ascii="Merriweather" w:hAnsi="Merriweather"/>
          <w:color w:val="222222"/>
          <w:sz w:val="27"/>
          <w:szCs w:val="27"/>
          <w:highlight w:val="yellow"/>
          <w:shd w:val="clear" w:color="auto" w:fill="FFFFFF"/>
        </w:rPr>
        <w:t xml:space="preserve"> inhibitors can be well thought out to be potential aspirants for osteoporosis and obesity therapy. Additionally, </w:t>
      </w:r>
      <w:proofErr w:type="spellStart"/>
      <w:r w:rsidRPr="00486F95">
        <w:rPr>
          <w:rFonts w:ascii="Merriweather" w:hAnsi="Merriweather"/>
          <w:color w:val="222222"/>
          <w:sz w:val="27"/>
          <w:szCs w:val="27"/>
          <w:highlight w:val="yellow"/>
          <w:shd w:val="clear" w:color="auto" w:fill="FFFFFF"/>
        </w:rPr>
        <w:t>PPAR</w:t>
      </w:r>
      <w:r w:rsidRPr="00486F95">
        <w:rPr>
          <w:rFonts w:ascii="Cambria" w:hAnsi="Cambria" w:cs="Cambria"/>
          <w:i/>
          <w:iCs/>
          <w:color w:val="222222"/>
          <w:sz w:val="27"/>
          <w:szCs w:val="27"/>
          <w:highlight w:val="yellow"/>
          <w:shd w:val="clear" w:color="auto" w:fill="FFFFFF"/>
        </w:rPr>
        <w:t>γ</w:t>
      </w:r>
      <w:proofErr w:type="spellEnd"/>
      <w:r w:rsidRPr="00486F95">
        <w:rPr>
          <w:rFonts w:ascii="Merriweather" w:hAnsi="Merriweather"/>
          <w:color w:val="222222"/>
          <w:sz w:val="27"/>
          <w:szCs w:val="27"/>
          <w:highlight w:val="yellow"/>
          <w:shd w:val="clear" w:color="auto" w:fill="FFFFFF"/>
        </w:rPr>
        <w:t xml:space="preserve"> inhibitors embody broad anticancer activity as well. For that reason, exploring </w:t>
      </w:r>
      <w:proofErr w:type="spellStart"/>
      <w:r w:rsidRPr="00486F95">
        <w:rPr>
          <w:rFonts w:ascii="Merriweather" w:hAnsi="Merriweather"/>
          <w:color w:val="222222"/>
          <w:sz w:val="27"/>
          <w:szCs w:val="27"/>
          <w:highlight w:val="yellow"/>
          <w:shd w:val="clear" w:color="auto" w:fill="FFFFFF"/>
        </w:rPr>
        <w:t>PPAR</w:t>
      </w:r>
      <w:r w:rsidRPr="00486F95">
        <w:rPr>
          <w:rFonts w:ascii="Cambria" w:hAnsi="Cambria" w:cs="Cambria"/>
          <w:i/>
          <w:iCs/>
          <w:color w:val="222222"/>
          <w:sz w:val="27"/>
          <w:szCs w:val="27"/>
          <w:highlight w:val="yellow"/>
          <w:shd w:val="clear" w:color="auto" w:fill="FFFFFF"/>
        </w:rPr>
        <w:t>γ</w:t>
      </w:r>
      <w:proofErr w:type="spellEnd"/>
      <w:r w:rsidRPr="00486F95">
        <w:rPr>
          <w:rFonts w:ascii="Merriweather" w:hAnsi="Merriweather"/>
          <w:color w:val="222222"/>
          <w:sz w:val="27"/>
          <w:szCs w:val="27"/>
          <w:highlight w:val="yellow"/>
          <w:shd w:val="clear" w:color="auto" w:fill="FFFFFF"/>
        </w:rPr>
        <w:t xml:space="preserve"> inhibitors is of prodigious importance in the quest for novel drug candidates for pharmacotherapy of </w:t>
      </w:r>
      <w:proofErr w:type="spellStart"/>
      <w:r w:rsidRPr="00486F95">
        <w:rPr>
          <w:rFonts w:ascii="Merriweather" w:hAnsi="Merriweather"/>
          <w:color w:val="222222"/>
          <w:sz w:val="27"/>
          <w:szCs w:val="27"/>
          <w:highlight w:val="yellow"/>
          <w:shd w:val="clear" w:color="auto" w:fill="FFFFFF"/>
        </w:rPr>
        <w:t>PPAR</w:t>
      </w:r>
      <w:r w:rsidRPr="00486F95">
        <w:rPr>
          <w:rFonts w:ascii="Cambria" w:hAnsi="Cambria" w:cs="Cambria"/>
          <w:i/>
          <w:iCs/>
          <w:color w:val="222222"/>
          <w:sz w:val="27"/>
          <w:szCs w:val="27"/>
          <w:highlight w:val="yellow"/>
          <w:shd w:val="clear" w:color="auto" w:fill="FFFFFF"/>
        </w:rPr>
        <w:t>γ</w:t>
      </w:r>
      <w:proofErr w:type="spellEnd"/>
      <w:r w:rsidRPr="00486F95">
        <w:rPr>
          <w:rFonts w:ascii="Merriweather" w:hAnsi="Merriweather"/>
          <w:color w:val="222222"/>
          <w:sz w:val="27"/>
          <w:szCs w:val="27"/>
          <w:highlight w:val="yellow"/>
          <w:shd w:val="clear" w:color="auto" w:fill="FFFFFF"/>
        </w:rPr>
        <w:t>-associated metabolic disorders.</w:t>
      </w:r>
      <w:r>
        <w:rPr>
          <w:rFonts w:ascii="Merriweather" w:hAnsi="Merriweather"/>
          <w:color w:val="222222"/>
          <w:sz w:val="27"/>
          <w:szCs w:val="27"/>
          <w:shd w:val="clear" w:color="auto" w:fill="FFFFFF"/>
        </w:rPr>
        <w:t xml:space="preserve"> </w:t>
      </w:r>
      <w:r w:rsidR="00AC5D23" w:rsidRPr="00AC5D23">
        <w:rPr>
          <w:rFonts w:ascii="Times New Roman" w:eastAsia="Times New Roman" w:hAnsi="Times New Roman" w:cs="Times New Roman"/>
          <w:kern w:val="0"/>
          <w:sz w:val="24"/>
          <w:szCs w:val="24"/>
          <w14:ligatures w14:val="none"/>
        </w:rPr>
        <w:t xml:space="preserve">(Ipsa </w:t>
      </w:r>
      <w:proofErr w:type="spellStart"/>
      <w:r w:rsidR="00AC5D23" w:rsidRPr="00AC5D23">
        <w:rPr>
          <w:rFonts w:ascii="Times New Roman" w:eastAsia="Times New Roman" w:hAnsi="Times New Roman" w:cs="Times New Roman"/>
          <w:kern w:val="0"/>
          <w:sz w:val="24"/>
          <w:szCs w:val="24"/>
          <w14:ligatures w14:val="none"/>
        </w:rPr>
        <w:t>Padhy</w:t>
      </w:r>
      <w:proofErr w:type="spellEnd"/>
      <w:r w:rsidR="00AC5D23" w:rsidRPr="00AC5D23">
        <w:rPr>
          <w:rFonts w:ascii="Times New Roman" w:eastAsia="Times New Roman" w:hAnsi="Times New Roman" w:cs="Times New Roman"/>
          <w:kern w:val="0"/>
          <w:sz w:val="24"/>
          <w:szCs w:val="24"/>
          <w14:ligatures w14:val="none"/>
        </w:rPr>
        <w:t xml:space="preserve"> et al., 2024)</w:t>
      </w:r>
    </w:p>
    <w:p w:rsidR="00486F95" w:rsidRPr="00486F95" w:rsidRDefault="00AC5D23" w:rsidP="00486F95">
      <w:pPr>
        <w:rPr>
          <w:rFonts w:ascii="Times New Roman" w:eastAsia="Times New Roman" w:hAnsi="Times New Roman" w:cs="Times New Roman"/>
          <w:kern w:val="0"/>
          <w:sz w:val="24"/>
          <w:szCs w:val="24"/>
          <w14:ligatures w14:val="none"/>
        </w:rPr>
      </w:pPr>
      <w:r>
        <w:rPr>
          <w:rFonts w:ascii="Merriweather" w:hAnsi="Merriweather"/>
          <w:color w:val="222222"/>
          <w:sz w:val="27"/>
          <w:szCs w:val="27"/>
          <w:shd w:val="clear" w:color="auto" w:fill="FFFFFF"/>
        </w:rPr>
        <w:t xml:space="preserve">   </w:t>
      </w:r>
    </w:p>
    <w:p w:rsidR="00AC5D23" w:rsidRDefault="00AC5D23" w:rsidP="00AC5D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introduction could benefit from the following additions:</w:t>
      </w:r>
    </w:p>
    <w:p w:rsidR="00AC5D23" w:rsidRDefault="00AC5D23" w:rsidP="00AC5D2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Explanation of Deep QSAR</w:t>
      </w:r>
      <w:r>
        <w:rPr>
          <w:rFonts w:ascii="Segoe UI" w:hAnsi="Segoe UI" w:cs="Segoe UI"/>
          <w:color w:val="0D0D0D"/>
        </w:rPr>
        <w:t xml:space="preserve">: Expand on the concept of "deep QSAR" introduced by </w:t>
      </w:r>
      <w:proofErr w:type="spellStart"/>
      <w:r>
        <w:rPr>
          <w:rFonts w:ascii="Segoe UI" w:hAnsi="Segoe UI" w:cs="Segoe UI"/>
          <w:color w:val="0D0D0D"/>
        </w:rPr>
        <w:t>Tropsha</w:t>
      </w:r>
      <w:proofErr w:type="spellEnd"/>
      <w:r>
        <w:rPr>
          <w:rFonts w:ascii="Segoe UI" w:hAnsi="Segoe UI" w:cs="Segoe UI"/>
          <w:color w:val="0D0D0D"/>
        </w:rPr>
        <w:t xml:space="preserve"> et al. (2023) and its significance in modern drug discovery. Provide a brief overview of how deep learning techniques have revolutionized QSAR modeling and its potential applications in virtual screening and drug design.</w:t>
      </w:r>
    </w:p>
    <w:p w:rsidR="00AC5D23" w:rsidRDefault="00AC5D23" w:rsidP="00AC5D2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Significance of PPARs as Therapeutic Targets</w:t>
      </w:r>
      <w:r>
        <w:rPr>
          <w:rFonts w:ascii="Segoe UI" w:hAnsi="Segoe UI" w:cs="Segoe UI"/>
          <w:color w:val="0D0D0D"/>
        </w:rPr>
        <w:t xml:space="preserve">: Provide additional context on the significance of PPARs as therapeutic targets, emphasizing their role in various metabolic disorders and their potential for drug development. Highlight the breadth of therapeutic applications for </w:t>
      </w:r>
      <w:proofErr w:type="spellStart"/>
      <w:r>
        <w:rPr>
          <w:rFonts w:ascii="Segoe UI" w:hAnsi="Segoe UI" w:cs="Segoe UI"/>
          <w:color w:val="0D0D0D"/>
        </w:rPr>
        <w:t>PPARγ</w:t>
      </w:r>
      <w:proofErr w:type="spellEnd"/>
      <w:r>
        <w:rPr>
          <w:rFonts w:ascii="Segoe UI" w:hAnsi="Segoe UI" w:cs="Segoe UI"/>
          <w:color w:val="0D0D0D"/>
        </w:rPr>
        <w:t xml:space="preserve"> antagonists, including insulin resistance, obesity, osteoporosis, and cancer, as discussed by Ipsa </w:t>
      </w:r>
      <w:proofErr w:type="spellStart"/>
      <w:r>
        <w:rPr>
          <w:rFonts w:ascii="Segoe UI" w:hAnsi="Segoe UI" w:cs="Segoe UI"/>
          <w:color w:val="0D0D0D"/>
        </w:rPr>
        <w:t>Padhy</w:t>
      </w:r>
      <w:proofErr w:type="spellEnd"/>
      <w:r>
        <w:rPr>
          <w:rFonts w:ascii="Segoe UI" w:hAnsi="Segoe UI" w:cs="Segoe UI"/>
          <w:color w:val="0D0D0D"/>
        </w:rPr>
        <w:t xml:space="preserve"> et al. (2024).</w:t>
      </w:r>
    </w:p>
    <w:p w:rsidR="00AC5D23" w:rsidRDefault="00AC5D23" w:rsidP="00AC5D2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lastRenderedPageBreak/>
        <w:t xml:space="preserve">Rationale for Studying </w:t>
      </w:r>
      <w:proofErr w:type="spellStart"/>
      <w:r>
        <w:rPr>
          <w:rStyle w:val="Strong"/>
          <w:rFonts w:ascii="Segoe UI" w:hAnsi="Segoe UI" w:cs="Segoe UI"/>
          <w:color w:val="0D0D0D"/>
          <w:bdr w:val="single" w:sz="2" w:space="0" w:color="E3E3E3" w:frame="1"/>
        </w:rPr>
        <w:t>PPARγ</w:t>
      </w:r>
      <w:proofErr w:type="spellEnd"/>
      <w:r>
        <w:rPr>
          <w:rStyle w:val="Strong"/>
          <w:rFonts w:ascii="Segoe UI" w:hAnsi="Segoe UI" w:cs="Segoe UI"/>
          <w:color w:val="0D0D0D"/>
          <w:bdr w:val="single" w:sz="2" w:space="0" w:color="E3E3E3" w:frame="1"/>
        </w:rPr>
        <w:t xml:space="preserve"> Inhibitors</w:t>
      </w:r>
      <w:r>
        <w:rPr>
          <w:rFonts w:ascii="Segoe UI" w:hAnsi="Segoe UI" w:cs="Segoe UI"/>
          <w:color w:val="0D0D0D"/>
        </w:rPr>
        <w:t xml:space="preserve">: Discuss the rationale behind focusing on </w:t>
      </w:r>
      <w:proofErr w:type="spellStart"/>
      <w:r>
        <w:rPr>
          <w:rFonts w:ascii="Segoe UI" w:hAnsi="Segoe UI" w:cs="Segoe UI"/>
          <w:color w:val="0D0D0D"/>
        </w:rPr>
        <w:t>PPARγ</w:t>
      </w:r>
      <w:proofErr w:type="spellEnd"/>
      <w:r>
        <w:rPr>
          <w:rFonts w:ascii="Segoe UI" w:hAnsi="Segoe UI" w:cs="Segoe UI"/>
          <w:color w:val="0D0D0D"/>
        </w:rPr>
        <w:t xml:space="preserve"> inhibitors for drug development, considering their broad therapeutic potential and their importance in addressing </w:t>
      </w:r>
      <w:proofErr w:type="spellStart"/>
      <w:r>
        <w:rPr>
          <w:rFonts w:ascii="Segoe UI" w:hAnsi="Segoe UI" w:cs="Segoe UI"/>
          <w:color w:val="0D0D0D"/>
        </w:rPr>
        <w:t>PPARγ</w:t>
      </w:r>
      <w:proofErr w:type="spellEnd"/>
      <w:r>
        <w:rPr>
          <w:rFonts w:ascii="Segoe UI" w:hAnsi="Segoe UI" w:cs="Segoe UI"/>
          <w:color w:val="0D0D0D"/>
        </w:rPr>
        <w:t>-associated metabolic disorders. Emphasize the need for novel drug candidates in pharmacotherapy, particularly in light of the growing prevalence of metabolic disorders worldwide.</w:t>
      </w:r>
    </w:p>
    <w:p w:rsidR="00486F95" w:rsidRPr="009224BF" w:rsidRDefault="00486F95" w:rsidP="0006007B">
      <w:pPr>
        <w:rPr>
          <w:rFonts w:asciiTheme="majorBidi" w:hAnsiTheme="majorBidi" w:cstheme="majorBidi"/>
          <w:sz w:val="24"/>
          <w:szCs w:val="24"/>
        </w:rPr>
      </w:pPr>
    </w:p>
    <w:p w:rsidR="00641A3E" w:rsidRPr="00641A3E" w:rsidRDefault="00641A3E" w:rsidP="00641A3E">
      <w:pPr>
        <w:numPr>
          <w:ilvl w:val="0"/>
          <w:numId w:val="1"/>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641A3E">
        <w:rPr>
          <w:rFonts w:asciiTheme="majorBidi" w:eastAsia="Times New Roman" w:hAnsiTheme="majorBidi" w:cstheme="majorBidi"/>
          <w:kern w:val="0"/>
          <w:sz w:val="24"/>
          <w:szCs w:val="24"/>
          <w14:ligatures w14:val="none"/>
        </w:rPr>
        <w:t>PPAR gamma is a nuclear receptor involved in regulating fat and carbohydrate metabolism.</w:t>
      </w:r>
    </w:p>
    <w:p w:rsidR="00641A3E" w:rsidRPr="00641A3E" w:rsidRDefault="00641A3E" w:rsidP="00641A3E">
      <w:pPr>
        <w:numPr>
          <w:ilvl w:val="0"/>
          <w:numId w:val="1"/>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641A3E">
        <w:rPr>
          <w:rFonts w:asciiTheme="majorBidi" w:eastAsia="Times New Roman" w:hAnsiTheme="majorBidi" w:cstheme="majorBidi"/>
          <w:kern w:val="0"/>
          <w:sz w:val="24"/>
          <w:szCs w:val="24"/>
          <w14:ligatures w14:val="none"/>
        </w:rPr>
        <w:t>Researchers are interested in finding compounds that can activate (agonize) PPAR gamma, potentially for applications in treating diabetes and other metabolic disorders.</w:t>
      </w:r>
    </w:p>
    <w:p w:rsidR="00641A3E" w:rsidRPr="009224BF" w:rsidRDefault="00641A3E" w:rsidP="0006007B">
      <w:pPr>
        <w:rPr>
          <w:rFonts w:asciiTheme="majorBidi" w:hAnsiTheme="majorBidi" w:cstheme="majorBidi"/>
          <w:sz w:val="24"/>
          <w:szCs w:val="24"/>
        </w:rPr>
      </w:pPr>
    </w:p>
    <w:p w:rsidR="0006007B" w:rsidRPr="009224BF" w:rsidRDefault="0006007B" w:rsidP="0006007B">
      <w:pPr>
        <w:rPr>
          <w:rFonts w:asciiTheme="majorBidi" w:hAnsiTheme="majorBidi" w:cstheme="majorBidi"/>
          <w:sz w:val="24"/>
          <w:szCs w:val="24"/>
        </w:rPr>
      </w:pPr>
      <w:r w:rsidRPr="009224BF">
        <w:rPr>
          <w:rFonts w:asciiTheme="majorBidi" w:hAnsiTheme="majorBidi" w:cstheme="majorBidi"/>
          <w:sz w:val="24"/>
          <w:szCs w:val="24"/>
        </w:rPr>
        <w:t>Methodology</w:t>
      </w:r>
    </w:p>
    <w:p w:rsidR="0006007B" w:rsidRPr="009224BF" w:rsidRDefault="0006007B" w:rsidP="0006007B">
      <w:pPr>
        <w:rPr>
          <w:rFonts w:asciiTheme="majorBidi" w:hAnsiTheme="majorBidi" w:cstheme="majorBidi"/>
          <w:sz w:val="24"/>
          <w:szCs w:val="24"/>
        </w:rPr>
      </w:pPr>
      <w:r w:rsidRPr="009224BF">
        <w:rPr>
          <w:rFonts w:asciiTheme="majorBidi" w:hAnsiTheme="majorBidi" w:cstheme="majorBidi"/>
          <w:sz w:val="24"/>
          <w:szCs w:val="24"/>
        </w:rPr>
        <w:t>Quantitative Structure-Activity Relationship (QSAR) modeling is outlined. Initially, data collection and preprocessing are performed by selecting the target protein Peroxisome proliferated activated receptor gamma (</w:t>
      </w:r>
      <w:proofErr w:type="spellStart"/>
      <w:r w:rsidRPr="009224BF">
        <w:rPr>
          <w:rFonts w:asciiTheme="majorBidi" w:hAnsiTheme="majorBidi" w:cstheme="majorBidi"/>
          <w:sz w:val="24"/>
          <w:szCs w:val="24"/>
        </w:rPr>
        <w:t>PPARγ</w:t>
      </w:r>
      <w:proofErr w:type="spellEnd"/>
      <w:r w:rsidRPr="009224BF">
        <w:rPr>
          <w:rFonts w:asciiTheme="majorBidi" w:hAnsiTheme="majorBidi" w:cstheme="majorBidi"/>
          <w:sz w:val="24"/>
          <w:szCs w:val="24"/>
        </w:rPr>
        <w:t xml:space="preserve">) associated with diabetes from the </w:t>
      </w:r>
      <w:proofErr w:type="spellStart"/>
      <w:r w:rsidRPr="009224BF">
        <w:rPr>
          <w:rFonts w:asciiTheme="majorBidi" w:hAnsiTheme="majorBidi" w:cstheme="majorBidi"/>
          <w:sz w:val="24"/>
          <w:szCs w:val="24"/>
        </w:rPr>
        <w:t>ChEMBL</w:t>
      </w:r>
      <w:proofErr w:type="spellEnd"/>
      <w:r w:rsidRPr="009224BF">
        <w:rPr>
          <w:rFonts w:asciiTheme="majorBidi" w:hAnsiTheme="majorBidi" w:cstheme="majorBidi"/>
          <w:sz w:val="24"/>
          <w:szCs w:val="24"/>
        </w:rPr>
        <w:t xml:space="preserve"> database and retrieving bioactivity data reported as IC50 values in </w:t>
      </w:r>
      <w:proofErr w:type="spellStart"/>
      <w:r w:rsidRPr="009224BF">
        <w:rPr>
          <w:rFonts w:asciiTheme="majorBidi" w:hAnsiTheme="majorBidi" w:cstheme="majorBidi"/>
          <w:sz w:val="24"/>
          <w:szCs w:val="24"/>
        </w:rPr>
        <w:t>nM</w:t>
      </w:r>
      <w:proofErr w:type="spellEnd"/>
      <w:r w:rsidRPr="009224BF">
        <w:rPr>
          <w:rFonts w:asciiTheme="majorBidi" w:hAnsiTheme="majorBidi" w:cstheme="majorBidi"/>
          <w:sz w:val="24"/>
          <w:szCs w:val="24"/>
        </w:rPr>
        <w:t xml:space="preserve"> units. Missing data is handled by removing compounds with incomplete information.</w:t>
      </w:r>
    </w:p>
    <w:p w:rsidR="0006007B" w:rsidRPr="009224BF" w:rsidRDefault="0006007B" w:rsidP="0006007B">
      <w:pPr>
        <w:rPr>
          <w:rFonts w:asciiTheme="majorBidi" w:hAnsiTheme="majorBidi" w:cstheme="majorBidi"/>
          <w:sz w:val="24"/>
          <w:szCs w:val="24"/>
        </w:rPr>
      </w:pPr>
    </w:p>
    <w:p w:rsidR="0006007B" w:rsidRPr="009224BF" w:rsidRDefault="0006007B" w:rsidP="0006007B">
      <w:pPr>
        <w:rPr>
          <w:rFonts w:asciiTheme="majorBidi" w:hAnsiTheme="majorBidi" w:cstheme="majorBidi"/>
          <w:sz w:val="24"/>
          <w:szCs w:val="24"/>
        </w:rPr>
      </w:pPr>
      <w:r w:rsidRPr="009224BF">
        <w:rPr>
          <w:rFonts w:asciiTheme="majorBidi" w:hAnsiTheme="majorBidi" w:cstheme="majorBidi"/>
          <w:sz w:val="24"/>
          <w:szCs w:val="24"/>
        </w:rPr>
        <w:t xml:space="preserve">Following data exploration, feature engineering involves calculating molecular descriptors and selecting relevant features for model development. Bioactivity data was classified into "active," "inactive," or "intermediate" categories based on IC50 values, facilitating subsequent analysis. Relevant features, including molecule identifiers, canonical SMILES representing chemical structures, and bioactivity values, are selected and combined with corresponding bioactivity classes. Lipinski descriptors, pivotal for evaluating drug-likeness according to Lipinski's Rule of Five, are then computed from canonical SMILES. These descriptors encompass molecular weight, </w:t>
      </w:r>
      <w:proofErr w:type="spellStart"/>
      <w:r w:rsidRPr="009224BF">
        <w:rPr>
          <w:rFonts w:asciiTheme="majorBidi" w:hAnsiTheme="majorBidi" w:cstheme="majorBidi"/>
          <w:sz w:val="24"/>
          <w:szCs w:val="24"/>
        </w:rPr>
        <w:t>LogP</w:t>
      </w:r>
      <w:proofErr w:type="spellEnd"/>
      <w:r w:rsidRPr="009224BF">
        <w:rPr>
          <w:rFonts w:asciiTheme="majorBidi" w:hAnsiTheme="majorBidi" w:cstheme="majorBidi"/>
          <w:sz w:val="24"/>
          <w:szCs w:val="24"/>
        </w:rPr>
        <w:t>, and counts of hydrogen bond donors and acceptors. Finally, the calculated descriptors are merged with the original dataset, forming a comprehensive DataFrame for further exploration and QSAR modeling.</w:t>
      </w:r>
    </w:p>
    <w:p w:rsidR="0006007B" w:rsidRPr="009224BF" w:rsidRDefault="0006007B" w:rsidP="0006007B">
      <w:pPr>
        <w:rPr>
          <w:rFonts w:asciiTheme="majorBidi" w:hAnsiTheme="majorBidi" w:cstheme="majorBidi"/>
          <w:sz w:val="24"/>
          <w:szCs w:val="24"/>
        </w:rPr>
      </w:pPr>
    </w:p>
    <w:p w:rsidR="0006007B" w:rsidRPr="009224BF" w:rsidRDefault="0006007B" w:rsidP="0006007B">
      <w:pPr>
        <w:rPr>
          <w:rFonts w:asciiTheme="majorBidi" w:hAnsiTheme="majorBidi" w:cstheme="majorBidi"/>
          <w:sz w:val="24"/>
          <w:szCs w:val="24"/>
        </w:rPr>
      </w:pPr>
      <w:r w:rsidRPr="009224BF">
        <w:rPr>
          <w:rFonts w:asciiTheme="majorBidi" w:hAnsiTheme="majorBidi" w:cstheme="majorBidi"/>
          <w:sz w:val="24"/>
          <w:szCs w:val="24"/>
        </w:rPr>
        <w:t xml:space="preserve">IC50 values are converted to a negative logarithmic scale, termed as pIC50, ensuring uniformity in bioactivity data across different scales. This is achieved through a custom function, pIC50(), which transforms IC50 values from nanomolar to molar units, applies the negative logarithmic transformation, and integrates the results into a new DataFrame column while removing the original </w:t>
      </w:r>
      <w:proofErr w:type="spellStart"/>
      <w:r w:rsidRPr="009224BF">
        <w:rPr>
          <w:rFonts w:asciiTheme="majorBidi" w:hAnsiTheme="majorBidi" w:cstheme="majorBidi"/>
          <w:sz w:val="24"/>
          <w:szCs w:val="24"/>
        </w:rPr>
        <w:t>standard_value_norm</w:t>
      </w:r>
      <w:proofErr w:type="spellEnd"/>
      <w:r w:rsidRPr="009224BF">
        <w:rPr>
          <w:rFonts w:asciiTheme="majorBidi" w:hAnsiTheme="majorBidi" w:cstheme="majorBidi"/>
          <w:sz w:val="24"/>
          <w:szCs w:val="24"/>
        </w:rPr>
        <w:t xml:space="preserve"> column. Subsequently, the normalization of standard values is carried out to cap values exceeding 100,000,000 </w:t>
      </w:r>
      <w:proofErr w:type="spellStart"/>
      <w:r w:rsidRPr="009224BF">
        <w:rPr>
          <w:rFonts w:asciiTheme="majorBidi" w:hAnsiTheme="majorBidi" w:cstheme="majorBidi"/>
          <w:sz w:val="24"/>
          <w:szCs w:val="24"/>
        </w:rPr>
        <w:t>nM</w:t>
      </w:r>
      <w:proofErr w:type="spellEnd"/>
      <w:r w:rsidRPr="009224BF">
        <w:rPr>
          <w:rFonts w:asciiTheme="majorBidi" w:hAnsiTheme="majorBidi" w:cstheme="majorBidi"/>
          <w:sz w:val="24"/>
          <w:szCs w:val="24"/>
        </w:rPr>
        <w:t xml:space="preserve"> and prevent negative logarithmic values. Relevant columns are retained for further analysis, and compounds labeled as 'intermediate' in the bioactivity class are excluded.</w:t>
      </w:r>
    </w:p>
    <w:p w:rsidR="0006007B" w:rsidRPr="009224BF" w:rsidRDefault="0006007B" w:rsidP="0006007B">
      <w:pPr>
        <w:rPr>
          <w:rFonts w:asciiTheme="majorBidi" w:hAnsiTheme="majorBidi" w:cstheme="majorBidi"/>
          <w:sz w:val="24"/>
          <w:szCs w:val="24"/>
        </w:rPr>
      </w:pPr>
    </w:p>
    <w:p w:rsidR="0006007B" w:rsidRPr="009224BF" w:rsidRDefault="0006007B" w:rsidP="0006007B">
      <w:pPr>
        <w:rPr>
          <w:rFonts w:asciiTheme="majorBidi" w:hAnsiTheme="majorBidi" w:cstheme="majorBidi"/>
          <w:sz w:val="24"/>
          <w:szCs w:val="24"/>
        </w:rPr>
      </w:pPr>
      <w:r w:rsidRPr="009224BF">
        <w:rPr>
          <w:rFonts w:asciiTheme="majorBidi" w:hAnsiTheme="majorBidi" w:cstheme="majorBidi"/>
          <w:sz w:val="24"/>
          <w:szCs w:val="24"/>
        </w:rPr>
        <w:t>Exploratory Data Analysis (EDA) follows, employing Lipinski descriptors to explore the chemical space occupied by 'active' and 'inactive' compounds. Visualizations such as scatter plots and box plots are generated to visualize the distribution of bioactivity classes and assess the significance of differences in molecular descriptors between classes. Statistical tests, including the Mann-Whitney U test, are conducted to evaluate these differences. Results are interpreted to discern meaningful relationships and identify descriptors crucial for distinguishing between bioactivity classes. Finally, processed data and visualizations are exported for further analysis and documentation.</w:t>
      </w:r>
    </w:p>
    <w:p w:rsidR="0006007B" w:rsidRPr="009224BF" w:rsidRDefault="0006007B" w:rsidP="0006007B">
      <w:pPr>
        <w:rPr>
          <w:rFonts w:asciiTheme="majorBidi" w:hAnsiTheme="majorBidi" w:cstheme="majorBidi"/>
          <w:sz w:val="24"/>
          <w:szCs w:val="24"/>
        </w:rPr>
      </w:pPr>
    </w:p>
    <w:p w:rsidR="007A737E" w:rsidRPr="009224BF" w:rsidRDefault="0006007B" w:rsidP="007A737E">
      <w:pPr>
        <w:rPr>
          <w:rFonts w:asciiTheme="majorBidi" w:hAnsiTheme="majorBidi" w:cstheme="majorBidi"/>
          <w:sz w:val="24"/>
          <w:szCs w:val="24"/>
        </w:rPr>
      </w:pPr>
      <w:r w:rsidRPr="009224BF">
        <w:rPr>
          <w:rFonts w:asciiTheme="majorBidi" w:hAnsiTheme="majorBidi" w:cstheme="majorBidi"/>
          <w:sz w:val="24"/>
          <w:szCs w:val="24"/>
        </w:rPr>
        <w:t xml:space="preserve">Dataset was prepared for building a regression model of inhibitors using the random forest algorithm. Initially, molecular descriptors are calculated using the </w:t>
      </w:r>
      <w:proofErr w:type="spellStart"/>
      <w:r w:rsidRPr="009224BF">
        <w:rPr>
          <w:rFonts w:asciiTheme="majorBidi" w:hAnsiTheme="majorBidi" w:cstheme="majorBidi"/>
          <w:sz w:val="24"/>
          <w:szCs w:val="24"/>
        </w:rPr>
        <w:t>PaDEL</w:t>
      </w:r>
      <w:proofErr w:type="spellEnd"/>
      <w:r w:rsidRPr="009224BF">
        <w:rPr>
          <w:rFonts w:asciiTheme="majorBidi" w:hAnsiTheme="majorBidi" w:cstheme="majorBidi"/>
          <w:sz w:val="24"/>
          <w:szCs w:val="24"/>
        </w:rPr>
        <w:t xml:space="preserve">-Descriptor tool, enabling the quantitative description of compounds in the dataset. The bioactivity data, containing pIC50 values, is loaded from a previously pre-processed </w:t>
      </w:r>
      <w:proofErr w:type="spellStart"/>
      <w:r w:rsidRPr="009224BF">
        <w:rPr>
          <w:rFonts w:asciiTheme="majorBidi" w:hAnsiTheme="majorBidi" w:cstheme="majorBidi"/>
          <w:sz w:val="24"/>
          <w:szCs w:val="24"/>
        </w:rPr>
        <w:t>ChEMBL</w:t>
      </w:r>
      <w:proofErr w:type="spellEnd"/>
      <w:r w:rsidRPr="009224BF">
        <w:rPr>
          <w:rFonts w:asciiTheme="majorBidi" w:hAnsiTheme="majorBidi" w:cstheme="majorBidi"/>
          <w:sz w:val="24"/>
          <w:szCs w:val="24"/>
        </w:rPr>
        <w:t xml:space="preserve"> dataset. The dataset is then divided into input features (X) and the target variable (Y), followed by the removal of low variance features. Subsequently, the data is split into training and testing sets in an 80/20 ratio. A regression model is built using the Random Forest algorithm, with 100 estimators. Model performance is evaluated using R-squared values and Root Mean Squared Error (RMSE), and a scatter plot of experimental versus predicted pIC50 values is generated. Additionally, the code showcases the use of the </w:t>
      </w:r>
      <w:proofErr w:type="spellStart"/>
      <w:r w:rsidRPr="009224BF">
        <w:rPr>
          <w:rFonts w:asciiTheme="majorBidi" w:hAnsiTheme="majorBidi" w:cstheme="majorBidi"/>
          <w:sz w:val="24"/>
          <w:szCs w:val="24"/>
        </w:rPr>
        <w:t>LazyPredict</w:t>
      </w:r>
      <w:proofErr w:type="spellEnd"/>
      <w:r w:rsidRPr="009224BF">
        <w:rPr>
          <w:rFonts w:asciiTheme="majorBidi" w:hAnsiTheme="majorBidi" w:cstheme="majorBidi"/>
          <w:sz w:val="24"/>
          <w:szCs w:val="24"/>
        </w:rPr>
        <w:t xml:space="preserve"> library to compare multiple machine learning algorithms for regression modeling. The top-performing model, which was Random Forest is selected based on adjusted R-squared, R-squared, RMSE, and computation time metrics. Finally, the selected model is trained and saved for deployment, with label encoding applied to resolve potential issues with the '</w:t>
      </w:r>
      <w:proofErr w:type="spellStart"/>
      <w:r w:rsidRPr="009224BF">
        <w:rPr>
          <w:rFonts w:asciiTheme="majorBidi" w:hAnsiTheme="majorBidi" w:cstheme="majorBidi"/>
          <w:sz w:val="24"/>
          <w:szCs w:val="24"/>
        </w:rPr>
        <w:t>molecule_chembl_id</w:t>
      </w:r>
      <w:proofErr w:type="spellEnd"/>
      <w:r w:rsidRPr="009224BF">
        <w:rPr>
          <w:rFonts w:asciiTheme="majorBidi" w:hAnsiTheme="majorBidi" w:cstheme="majorBidi"/>
          <w:sz w:val="24"/>
          <w:szCs w:val="24"/>
        </w:rPr>
        <w:t>'</w:t>
      </w:r>
      <w:r w:rsidR="007A737E" w:rsidRPr="009224BF">
        <w:rPr>
          <w:rFonts w:asciiTheme="majorBidi" w:hAnsiTheme="majorBidi" w:cstheme="majorBidi"/>
          <w:sz w:val="24"/>
          <w:szCs w:val="24"/>
        </w:rPr>
        <w:t>, ‘</w:t>
      </w:r>
      <w:proofErr w:type="spellStart"/>
      <w:r w:rsidR="007A737E" w:rsidRPr="009224BF">
        <w:rPr>
          <w:rFonts w:asciiTheme="majorBidi" w:hAnsiTheme="majorBidi" w:cstheme="majorBidi"/>
          <w:sz w:val="24"/>
          <w:szCs w:val="24"/>
        </w:rPr>
        <w:t>canonical_smiles</w:t>
      </w:r>
      <w:proofErr w:type="spellEnd"/>
      <w:r w:rsidR="007A737E" w:rsidRPr="009224BF">
        <w:rPr>
          <w:rFonts w:asciiTheme="majorBidi" w:hAnsiTheme="majorBidi" w:cstheme="majorBidi"/>
          <w:sz w:val="24"/>
          <w:szCs w:val="24"/>
        </w:rPr>
        <w:t>’ and ‘</w:t>
      </w:r>
      <w:proofErr w:type="spellStart"/>
      <w:r w:rsidR="007A737E" w:rsidRPr="009224BF">
        <w:rPr>
          <w:rFonts w:asciiTheme="majorBidi" w:hAnsiTheme="majorBidi" w:cstheme="majorBidi"/>
          <w:sz w:val="24"/>
          <w:szCs w:val="24"/>
        </w:rPr>
        <w:t>bioactivity_class</w:t>
      </w:r>
      <w:proofErr w:type="spellEnd"/>
      <w:r w:rsidR="007A737E" w:rsidRPr="009224BF">
        <w:rPr>
          <w:rFonts w:asciiTheme="majorBidi" w:hAnsiTheme="majorBidi" w:cstheme="majorBidi"/>
          <w:sz w:val="24"/>
          <w:szCs w:val="24"/>
        </w:rPr>
        <w:t>’</w:t>
      </w:r>
      <w:r w:rsidRPr="009224BF">
        <w:rPr>
          <w:rFonts w:asciiTheme="majorBidi" w:hAnsiTheme="majorBidi" w:cstheme="majorBidi"/>
          <w:sz w:val="24"/>
          <w:szCs w:val="24"/>
        </w:rPr>
        <w:t xml:space="preserve"> column</w:t>
      </w:r>
      <w:r w:rsidR="007A737E" w:rsidRPr="009224BF">
        <w:rPr>
          <w:rFonts w:asciiTheme="majorBidi" w:hAnsiTheme="majorBidi" w:cstheme="majorBidi"/>
          <w:sz w:val="24"/>
          <w:szCs w:val="24"/>
        </w:rPr>
        <w:t>s</w:t>
      </w:r>
      <w:r w:rsidRPr="009224BF">
        <w:rPr>
          <w:rFonts w:asciiTheme="majorBidi" w:hAnsiTheme="majorBidi" w:cstheme="majorBidi"/>
          <w:sz w:val="24"/>
          <w:szCs w:val="24"/>
        </w:rPr>
        <w:t xml:space="preserve">. The process concludes with hyperparameter tuning using </w:t>
      </w:r>
      <w:proofErr w:type="spellStart"/>
      <w:r w:rsidRPr="009224BF">
        <w:rPr>
          <w:rFonts w:asciiTheme="majorBidi" w:hAnsiTheme="majorBidi" w:cstheme="majorBidi"/>
          <w:sz w:val="24"/>
          <w:szCs w:val="24"/>
        </w:rPr>
        <w:t>GridSearchCV</w:t>
      </w:r>
      <w:proofErr w:type="spellEnd"/>
      <w:r w:rsidRPr="009224BF">
        <w:rPr>
          <w:rFonts w:asciiTheme="majorBidi" w:hAnsiTheme="majorBidi" w:cstheme="majorBidi"/>
          <w:sz w:val="24"/>
          <w:szCs w:val="24"/>
        </w:rPr>
        <w:t xml:space="preserve"> and saving the trained model using both </w:t>
      </w:r>
      <w:proofErr w:type="spellStart"/>
      <w:r w:rsidRPr="009224BF">
        <w:rPr>
          <w:rFonts w:asciiTheme="majorBidi" w:hAnsiTheme="majorBidi" w:cstheme="majorBidi"/>
          <w:sz w:val="24"/>
          <w:szCs w:val="24"/>
        </w:rPr>
        <w:t>joblib</w:t>
      </w:r>
      <w:proofErr w:type="spellEnd"/>
      <w:r w:rsidRPr="009224BF">
        <w:rPr>
          <w:rFonts w:asciiTheme="majorBidi" w:hAnsiTheme="majorBidi" w:cstheme="majorBidi"/>
          <w:sz w:val="24"/>
          <w:szCs w:val="24"/>
        </w:rPr>
        <w:t xml:space="preserve"> and pickle libraries. The saved model was used for deployment using </w:t>
      </w:r>
      <w:proofErr w:type="spellStart"/>
      <w:r w:rsidRPr="009224BF">
        <w:rPr>
          <w:rFonts w:asciiTheme="majorBidi" w:hAnsiTheme="majorBidi" w:cstheme="majorBidi"/>
          <w:sz w:val="24"/>
          <w:szCs w:val="24"/>
        </w:rPr>
        <w:t>streamlit</w:t>
      </w:r>
      <w:proofErr w:type="spellEnd"/>
      <w:r w:rsidRPr="009224BF">
        <w:rPr>
          <w:rFonts w:asciiTheme="majorBidi" w:hAnsiTheme="majorBidi" w:cstheme="majorBidi"/>
          <w:sz w:val="24"/>
          <w:szCs w:val="24"/>
        </w:rPr>
        <w:t>.</w:t>
      </w:r>
    </w:p>
    <w:p w:rsidR="0006007B" w:rsidRPr="009224BF" w:rsidRDefault="0006007B" w:rsidP="0006007B">
      <w:pPr>
        <w:rPr>
          <w:rFonts w:asciiTheme="majorBidi" w:hAnsiTheme="majorBidi" w:cstheme="majorBidi"/>
          <w:sz w:val="24"/>
          <w:szCs w:val="24"/>
        </w:rPr>
      </w:pPr>
    </w:p>
    <w:p w:rsidR="0006007B" w:rsidRPr="009224BF" w:rsidRDefault="0006007B" w:rsidP="0006007B">
      <w:pPr>
        <w:rPr>
          <w:rFonts w:asciiTheme="majorBidi" w:hAnsiTheme="majorBidi" w:cstheme="majorBidi"/>
          <w:sz w:val="24"/>
          <w:szCs w:val="24"/>
        </w:rPr>
      </w:pPr>
      <w:r w:rsidRPr="009224BF">
        <w:rPr>
          <w:rFonts w:asciiTheme="majorBidi" w:hAnsiTheme="majorBidi" w:cstheme="majorBidi"/>
          <w:sz w:val="24"/>
          <w:szCs w:val="24"/>
        </w:rPr>
        <w:t xml:space="preserve">Results </w:t>
      </w:r>
    </w:p>
    <w:p w:rsidR="00D231B3" w:rsidRDefault="007A737E" w:rsidP="0006007B">
      <w:pPr>
        <w:rPr>
          <w:rFonts w:asciiTheme="majorBidi" w:hAnsiTheme="majorBidi" w:cstheme="majorBidi"/>
          <w:sz w:val="24"/>
          <w:szCs w:val="24"/>
        </w:rPr>
      </w:pPr>
      <w:r w:rsidRPr="009224BF">
        <w:rPr>
          <w:rFonts w:asciiTheme="majorBidi" w:hAnsiTheme="majorBidi" w:cstheme="majorBidi"/>
          <w:noProof/>
          <w:sz w:val="24"/>
          <w:szCs w:val="24"/>
        </w:rPr>
        <w:lastRenderedPageBreak/>
        <w:drawing>
          <wp:inline distT="0" distB="0" distL="0" distR="0" wp14:anchorId="430B5B96" wp14:editId="08DA1366">
            <wp:extent cx="2978727" cy="2783101"/>
            <wp:effectExtent l="0" t="0" r="0" b="0"/>
            <wp:docPr id="37091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18927" name=""/>
                    <pic:cNvPicPr/>
                  </pic:nvPicPr>
                  <pic:blipFill rotWithShape="1">
                    <a:blip r:embed="rId5"/>
                    <a:srcRect l="6596" t="30131" r="57235" b="9790"/>
                    <a:stretch/>
                  </pic:blipFill>
                  <pic:spPr bwMode="auto">
                    <a:xfrm>
                      <a:off x="0" y="0"/>
                      <a:ext cx="2985900" cy="2789803"/>
                    </a:xfrm>
                    <a:prstGeom prst="rect">
                      <a:avLst/>
                    </a:prstGeom>
                    <a:ln>
                      <a:noFill/>
                    </a:ln>
                    <a:extLst>
                      <a:ext uri="{53640926-AAD7-44D8-BBD7-CCE9431645EC}">
                        <a14:shadowObscured xmlns:a14="http://schemas.microsoft.com/office/drawing/2010/main"/>
                      </a:ext>
                    </a:extLst>
                  </pic:spPr>
                </pic:pic>
              </a:graphicData>
            </a:graphic>
          </wp:inline>
        </w:drawing>
      </w:r>
    </w:p>
    <w:p w:rsidR="009224BF" w:rsidRPr="00EE3B9F" w:rsidRDefault="009224BF" w:rsidP="0006007B">
      <w:pPr>
        <w:rPr>
          <w:rFonts w:asciiTheme="majorBidi" w:hAnsiTheme="majorBidi" w:cstheme="majorBidi"/>
          <w:sz w:val="24"/>
          <w:szCs w:val="24"/>
        </w:rPr>
      </w:pPr>
      <w:r w:rsidRPr="00EE3B9F">
        <w:rPr>
          <w:rFonts w:asciiTheme="majorBidi" w:hAnsiTheme="majorBidi" w:cstheme="majorBidi"/>
          <w:color w:val="0D0D0D"/>
          <w:sz w:val="24"/>
          <w:szCs w:val="24"/>
          <w:shd w:val="clear" w:color="auto" w:fill="FFFFFF"/>
        </w:rPr>
        <w:t>The bar chart illustrates the distribution of compounds across different bioactivity classes. The x-axis of the chart represents the bioactivity class, with two categories: "active" and "inactive." Meanwhile, the y-axis denotes the frequency, ranging from 0 to 1200, indicating the number of compounds classified into each category. This observation underscores a notable prevalence of compounds classified as "active" within the dataset, suggesting a higher frequency of bioactive compounds compared to inactive ones.</w:t>
      </w:r>
    </w:p>
    <w:p w:rsidR="009224BF" w:rsidRPr="009224BF" w:rsidRDefault="009224BF" w:rsidP="0006007B">
      <w:pPr>
        <w:rPr>
          <w:rFonts w:asciiTheme="majorBidi" w:hAnsiTheme="majorBidi" w:cstheme="majorBidi"/>
          <w:sz w:val="24"/>
          <w:szCs w:val="24"/>
        </w:rPr>
      </w:pPr>
    </w:p>
    <w:p w:rsidR="00EA538E" w:rsidRPr="009224BF" w:rsidRDefault="009A77C9" w:rsidP="0006007B">
      <w:pPr>
        <w:rPr>
          <w:rFonts w:asciiTheme="majorBidi" w:hAnsiTheme="majorBidi" w:cstheme="majorBidi"/>
          <w:sz w:val="24"/>
          <w:szCs w:val="24"/>
        </w:rPr>
      </w:pPr>
      <w:r w:rsidRPr="009224BF">
        <w:rPr>
          <w:rFonts w:asciiTheme="majorBidi" w:hAnsiTheme="majorBidi" w:cstheme="majorBidi"/>
          <w:noProof/>
          <w:sz w:val="24"/>
          <w:szCs w:val="24"/>
        </w:rPr>
        <w:drawing>
          <wp:inline distT="0" distB="0" distL="0" distR="0" wp14:anchorId="4EB1ECDF" wp14:editId="0C203383">
            <wp:extent cx="3636818" cy="2645546"/>
            <wp:effectExtent l="0" t="0" r="1905" b="2540"/>
            <wp:docPr id="65146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60977" name=""/>
                    <pic:cNvPicPr/>
                  </pic:nvPicPr>
                  <pic:blipFill rotWithShape="1">
                    <a:blip r:embed="rId6"/>
                    <a:srcRect l="7236" t="29141" r="47435" b="12239"/>
                    <a:stretch/>
                  </pic:blipFill>
                  <pic:spPr bwMode="auto">
                    <a:xfrm>
                      <a:off x="0" y="0"/>
                      <a:ext cx="3646032" cy="2652248"/>
                    </a:xfrm>
                    <a:prstGeom prst="rect">
                      <a:avLst/>
                    </a:prstGeom>
                    <a:ln>
                      <a:noFill/>
                    </a:ln>
                    <a:extLst>
                      <a:ext uri="{53640926-AAD7-44D8-BBD7-CCE9431645EC}">
                        <a14:shadowObscured xmlns:a14="http://schemas.microsoft.com/office/drawing/2010/main"/>
                      </a:ext>
                    </a:extLst>
                  </pic:spPr>
                </pic:pic>
              </a:graphicData>
            </a:graphic>
          </wp:inline>
        </w:drawing>
      </w:r>
    </w:p>
    <w:p w:rsidR="00641A3E" w:rsidRPr="009224BF" w:rsidRDefault="00641A3E" w:rsidP="0006007B">
      <w:pPr>
        <w:rPr>
          <w:rFonts w:asciiTheme="majorBidi" w:hAnsiTheme="majorBidi" w:cstheme="majorBidi"/>
          <w:sz w:val="24"/>
          <w:szCs w:val="24"/>
        </w:rPr>
      </w:pPr>
      <w:r w:rsidRPr="009224BF">
        <w:rPr>
          <w:rFonts w:asciiTheme="majorBidi" w:hAnsiTheme="majorBidi" w:cstheme="majorBidi"/>
          <w:color w:val="0D0D0D"/>
          <w:sz w:val="24"/>
          <w:szCs w:val="24"/>
          <w:shd w:val="clear" w:color="auto" w:fill="FFFFFF"/>
        </w:rPr>
        <w:t xml:space="preserve">The analysis of molecular weight (MW) and </w:t>
      </w:r>
      <w:proofErr w:type="spellStart"/>
      <w:r w:rsidRPr="009224BF">
        <w:rPr>
          <w:rFonts w:asciiTheme="majorBidi" w:hAnsiTheme="majorBidi" w:cstheme="majorBidi"/>
          <w:color w:val="0D0D0D"/>
          <w:sz w:val="24"/>
          <w:szCs w:val="24"/>
          <w:shd w:val="clear" w:color="auto" w:fill="FFFFFF"/>
        </w:rPr>
        <w:t>LogP</w:t>
      </w:r>
      <w:proofErr w:type="spellEnd"/>
      <w:r w:rsidRPr="009224BF">
        <w:rPr>
          <w:rFonts w:asciiTheme="majorBidi" w:hAnsiTheme="majorBidi" w:cstheme="majorBidi"/>
          <w:color w:val="0D0D0D"/>
          <w:sz w:val="24"/>
          <w:szCs w:val="24"/>
          <w:shd w:val="clear" w:color="auto" w:fill="FFFFFF"/>
        </w:rPr>
        <w:t xml:space="preserve"> (the logarithm of the octanol-water partition coefficient) reveals valuable insights into the molecular characteristics influencing the activation of PPAR gamma. A lower molecular weight suggests a smaller molecule size, and the observed trend implies that smaller molecules might exhibit greater effectiveness in activating PPAR gamma. Conversely, </w:t>
      </w:r>
      <w:proofErr w:type="spellStart"/>
      <w:r w:rsidRPr="009224BF">
        <w:rPr>
          <w:rFonts w:asciiTheme="majorBidi" w:hAnsiTheme="majorBidi" w:cstheme="majorBidi"/>
          <w:color w:val="0D0D0D"/>
          <w:sz w:val="24"/>
          <w:szCs w:val="24"/>
          <w:shd w:val="clear" w:color="auto" w:fill="FFFFFF"/>
        </w:rPr>
        <w:t>LogP</w:t>
      </w:r>
      <w:proofErr w:type="spellEnd"/>
      <w:r w:rsidRPr="009224BF">
        <w:rPr>
          <w:rFonts w:asciiTheme="majorBidi" w:hAnsiTheme="majorBidi" w:cstheme="majorBidi"/>
          <w:color w:val="0D0D0D"/>
          <w:sz w:val="24"/>
          <w:szCs w:val="24"/>
          <w:shd w:val="clear" w:color="auto" w:fill="FFFFFF"/>
        </w:rPr>
        <w:t xml:space="preserve"> indicates the hydrophobicity of a molecule, with lower </w:t>
      </w:r>
      <w:proofErr w:type="spellStart"/>
      <w:r w:rsidRPr="009224BF">
        <w:rPr>
          <w:rFonts w:asciiTheme="majorBidi" w:hAnsiTheme="majorBidi" w:cstheme="majorBidi"/>
          <w:color w:val="0D0D0D"/>
          <w:sz w:val="24"/>
          <w:szCs w:val="24"/>
          <w:shd w:val="clear" w:color="auto" w:fill="FFFFFF"/>
        </w:rPr>
        <w:t>LogP</w:t>
      </w:r>
      <w:proofErr w:type="spellEnd"/>
      <w:r w:rsidRPr="009224BF">
        <w:rPr>
          <w:rFonts w:asciiTheme="majorBidi" w:hAnsiTheme="majorBidi" w:cstheme="majorBidi"/>
          <w:color w:val="0D0D0D"/>
          <w:sz w:val="24"/>
          <w:szCs w:val="24"/>
          <w:shd w:val="clear" w:color="auto" w:fill="FFFFFF"/>
        </w:rPr>
        <w:t xml:space="preserve"> values </w:t>
      </w:r>
      <w:r w:rsidRPr="009224BF">
        <w:rPr>
          <w:rFonts w:asciiTheme="majorBidi" w:hAnsiTheme="majorBidi" w:cstheme="majorBidi"/>
          <w:color w:val="0D0D0D"/>
          <w:sz w:val="24"/>
          <w:szCs w:val="24"/>
          <w:shd w:val="clear" w:color="auto" w:fill="FFFFFF"/>
        </w:rPr>
        <w:lastRenderedPageBreak/>
        <w:t xml:space="preserve">indicating higher hydrophilicity. The analysis suggests a trend where more hydrophilic molecules, characterized by lower </w:t>
      </w:r>
      <w:proofErr w:type="spellStart"/>
      <w:r w:rsidRPr="009224BF">
        <w:rPr>
          <w:rFonts w:asciiTheme="majorBidi" w:hAnsiTheme="majorBidi" w:cstheme="majorBidi"/>
          <w:color w:val="0D0D0D"/>
          <w:sz w:val="24"/>
          <w:szCs w:val="24"/>
          <w:shd w:val="clear" w:color="auto" w:fill="FFFFFF"/>
        </w:rPr>
        <w:t>LogP</w:t>
      </w:r>
      <w:proofErr w:type="spellEnd"/>
      <w:r w:rsidRPr="009224BF">
        <w:rPr>
          <w:rFonts w:asciiTheme="majorBidi" w:hAnsiTheme="majorBidi" w:cstheme="majorBidi"/>
          <w:color w:val="0D0D0D"/>
          <w:sz w:val="24"/>
          <w:szCs w:val="24"/>
          <w:shd w:val="clear" w:color="auto" w:fill="FFFFFF"/>
        </w:rPr>
        <w:t xml:space="preserve"> values, may possess greater potential for activating PPAR gamma. These findings provide valuable guidance for further exploration of structure-activity relationships and the rational design of compounds with enhanced PPAR gamma activation properties.</w:t>
      </w:r>
    </w:p>
    <w:p w:rsidR="00EA538E" w:rsidRPr="009224BF" w:rsidRDefault="00EA538E" w:rsidP="0006007B">
      <w:pPr>
        <w:rPr>
          <w:rFonts w:asciiTheme="majorBidi" w:hAnsiTheme="majorBidi" w:cstheme="majorBidi"/>
          <w:sz w:val="24"/>
          <w:szCs w:val="24"/>
        </w:rPr>
      </w:pPr>
      <w:r w:rsidRPr="009224BF">
        <w:rPr>
          <w:rFonts w:asciiTheme="majorBidi" w:hAnsiTheme="majorBidi" w:cstheme="majorBidi"/>
          <w:color w:val="0D0D0D"/>
          <w:sz w:val="24"/>
          <w:szCs w:val="24"/>
          <w:shd w:val="clear" w:color="auto" w:fill="FFFFFF"/>
        </w:rPr>
        <w:t>The Mann-Whitney U test results</w:t>
      </w:r>
      <w:r w:rsidR="00641A3E" w:rsidRPr="009224BF">
        <w:rPr>
          <w:rFonts w:asciiTheme="majorBidi" w:hAnsiTheme="majorBidi" w:cstheme="majorBidi"/>
          <w:color w:val="0D0D0D"/>
          <w:sz w:val="24"/>
          <w:szCs w:val="24"/>
          <w:shd w:val="clear" w:color="auto" w:fill="FFFFFF"/>
        </w:rPr>
        <w:t xml:space="preserve"> using Lipinski descriptors</w:t>
      </w:r>
    </w:p>
    <w:p w:rsidR="00F356A5" w:rsidRPr="009224BF" w:rsidRDefault="00F356A5" w:rsidP="00641A3E">
      <w:pPr>
        <w:rPr>
          <w:rFonts w:asciiTheme="majorBidi" w:hAnsiTheme="majorBidi" w:cstheme="majorBidi"/>
          <w:sz w:val="24"/>
          <w:szCs w:val="24"/>
        </w:rPr>
      </w:pPr>
      <w:r w:rsidRPr="009224BF">
        <w:rPr>
          <w:rFonts w:asciiTheme="majorBidi" w:hAnsiTheme="majorBidi" w:cstheme="majorBidi"/>
          <w:noProof/>
          <w:sz w:val="24"/>
          <w:szCs w:val="24"/>
        </w:rPr>
        <w:drawing>
          <wp:inline distT="0" distB="0" distL="0" distR="0" wp14:anchorId="2AA01597" wp14:editId="079181BB">
            <wp:extent cx="3200400" cy="3127456"/>
            <wp:effectExtent l="0" t="0" r="0" b="0"/>
            <wp:docPr id="33514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48674" name=""/>
                    <pic:cNvPicPr/>
                  </pic:nvPicPr>
                  <pic:blipFill rotWithShape="1">
                    <a:blip r:embed="rId7"/>
                    <a:srcRect l="31960" t="18397" r="35894" b="25758"/>
                    <a:stretch/>
                  </pic:blipFill>
                  <pic:spPr bwMode="auto">
                    <a:xfrm>
                      <a:off x="0" y="0"/>
                      <a:ext cx="3214954" cy="314167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700" w:type="dxa"/>
        <w:tblLook w:val="04A0" w:firstRow="1" w:lastRow="0" w:firstColumn="1" w:lastColumn="0" w:noHBand="0" w:noVBand="1"/>
      </w:tblPr>
      <w:tblGrid>
        <w:gridCol w:w="1378"/>
        <w:gridCol w:w="1196"/>
        <w:gridCol w:w="1750"/>
        <w:gridCol w:w="831"/>
        <w:gridCol w:w="3545"/>
      </w:tblGrid>
      <w:tr w:rsidR="00641A3E" w:rsidRPr="009224BF" w:rsidTr="00641A3E">
        <w:trPr>
          <w:trHeight w:val="298"/>
        </w:trPr>
        <w:tc>
          <w:tcPr>
            <w:tcW w:w="0" w:type="auto"/>
            <w:hideMark/>
          </w:tcPr>
          <w:p w:rsidR="00641A3E" w:rsidRPr="00641A3E" w:rsidRDefault="00641A3E" w:rsidP="00641A3E">
            <w:pPr>
              <w:jc w:val="center"/>
              <w:rPr>
                <w:rFonts w:asciiTheme="majorBidi" w:eastAsia="Times New Roman" w:hAnsiTheme="majorBidi" w:cstheme="majorBidi"/>
                <w:b/>
                <w:bCs/>
                <w:color w:val="0D0D0D"/>
                <w:kern w:val="0"/>
                <w:sz w:val="24"/>
                <w:szCs w:val="24"/>
                <w14:ligatures w14:val="none"/>
              </w:rPr>
            </w:pPr>
            <w:r w:rsidRPr="00641A3E">
              <w:rPr>
                <w:rFonts w:asciiTheme="majorBidi" w:eastAsia="Times New Roman" w:hAnsiTheme="majorBidi" w:cstheme="majorBidi"/>
                <w:b/>
                <w:bCs/>
                <w:color w:val="0D0D0D"/>
                <w:kern w:val="0"/>
                <w:sz w:val="24"/>
                <w:szCs w:val="24"/>
                <w14:ligatures w14:val="none"/>
              </w:rPr>
              <w:t>Descriptor</w:t>
            </w:r>
          </w:p>
        </w:tc>
        <w:tc>
          <w:tcPr>
            <w:tcW w:w="0" w:type="auto"/>
            <w:hideMark/>
          </w:tcPr>
          <w:p w:rsidR="00641A3E" w:rsidRPr="00641A3E" w:rsidRDefault="00641A3E" w:rsidP="00641A3E">
            <w:pPr>
              <w:jc w:val="center"/>
              <w:rPr>
                <w:rFonts w:asciiTheme="majorBidi" w:eastAsia="Times New Roman" w:hAnsiTheme="majorBidi" w:cstheme="majorBidi"/>
                <w:b/>
                <w:bCs/>
                <w:color w:val="0D0D0D"/>
                <w:kern w:val="0"/>
                <w:sz w:val="24"/>
                <w:szCs w:val="24"/>
                <w14:ligatures w14:val="none"/>
              </w:rPr>
            </w:pPr>
            <w:r w:rsidRPr="00641A3E">
              <w:rPr>
                <w:rFonts w:asciiTheme="majorBidi" w:eastAsia="Times New Roman" w:hAnsiTheme="majorBidi" w:cstheme="majorBidi"/>
                <w:b/>
                <w:bCs/>
                <w:color w:val="0D0D0D"/>
                <w:kern w:val="0"/>
                <w:sz w:val="24"/>
                <w:szCs w:val="24"/>
                <w14:ligatures w14:val="none"/>
              </w:rPr>
              <w:t>Statistics</w:t>
            </w:r>
          </w:p>
        </w:tc>
        <w:tc>
          <w:tcPr>
            <w:tcW w:w="0" w:type="auto"/>
            <w:hideMark/>
          </w:tcPr>
          <w:p w:rsidR="00641A3E" w:rsidRPr="00641A3E" w:rsidRDefault="00641A3E" w:rsidP="00641A3E">
            <w:pPr>
              <w:jc w:val="center"/>
              <w:rPr>
                <w:rFonts w:asciiTheme="majorBidi" w:eastAsia="Times New Roman" w:hAnsiTheme="majorBidi" w:cstheme="majorBidi"/>
                <w:b/>
                <w:bCs/>
                <w:color w:val="0D0D0D"/>
                <w:kern w:val="0"/>
                <w:sz w:val="24"/>
                <w:szCs w:val="24"/>
                <w14:ligatures w14:val="none"/>
              </w:rPr>
            </w:pPr>
            <w:r w:rsidRPr="00641A3E">
              <w:rPr>
                <w:rFonts w:asciiTheme="majorBidi" w:eastAsia="Times New Roman" w:hAnsiTheme="majorBidi" w:cstheme="majorBidi"/>
                <w:b/>
                <w:bCs/>
                <w:color w:val="0D0D0D"/>
                <w:kern w:val="0"/>
                <w:sz w:val="24"/>
                <w:szCs w:val="24"/>
                <w14:ligatures w14:val="none"/>
              </w:rPr>
              <w:t>p</w:t>
            </w:r>
          </w:p>
        </w:tc>
        <w:tc>
          <w:tcPr>
            <w:tcW w:w="0" w:type="auto"/>
            <w:hideMark/>
          </w:tcPr>
          <w:p w:rsidR="00641A3E" w:rsidRPr="00641A3E" w:rsidRDefault="00641A3E" w:rsidP="00641A3E">
            <w:pPr>
              <w:jc w:val="center"/>
              <w:rPr>
                <w:rFonts w:asciiTheme="majorBidi" w:eastAsia="Times New Roman" w:hAnsiTheme="majorBidi" w:cstheme="majorBidi"/>
                <w:b/>
                <w:bCs/>
                <w:color w:val="0D0D0D"/>
                <w:kern w:val="0"/>
                <w:sz w:val="24"/>
                <w:szCs w:val="24"/>
                <w14:ligatures w14:val="none"/>
              </w:rPr>
            </w:pPr>
            <w:r w:rsidRPr="00641A3E">
              <w:rPr>
                <w:rFonts w:asciiTheme="majorBidi" w:eastAsia="Times New Roman" w:hAnsiTheme="majorBidi" w:cstheme="majorBidi"/>
                <w:b/>
                <w:bCs/>
                <w:color w:val="0D0D0D"/>
                <w:kern w:val="0"/>
                <w:sz w:val="24"/>
                <w:szCs w:val="24"/>
                <w14:ligatures w14:val="none"/>
              </w:rPr>
              <w:t>alpha</w:t>
            </w:r>
          </w:p>
        </w:tc>
        <w:tc>
          <w:tcPr>
            <w:tcW w:w="0" w:type="auto"/>
            <w:hideMark/>
          </w:tcPr>
          <w:p w:rsidR="00641A3E" w:rsidRPr="00641A3E" w:rsidRDefault="00641A3E" w:rsidP="00641A3E">
            <w:pPr>
              <w:jc w:val="center"/>
              <w:rPr>
                <w:rFonts w:asciiTheme="majorBidi" w:eastAsia="Times New Roman" w:hAnsiTheme="majorBidi" w:cstheme="majorBidi"/>
                <w:b/>
                <w:bCs/>
                <w:color w:val="0D0D0D"/>
                <w:kern w:val="0"/>
                <w:sz w:val="24"/>
                <w:szCs w:val="24"/>
                <w14:ligatures w14:val="none"/>
              </w:rPr>
            </w:pPr>
            <w:r w:rsidRPr="00641A3E">
              <w:rPr>
                <w:rFonts w:asciiTheme="majorBidi" w:eastAsia="Times New Roman" w:hAnsiTheme="majorBidi" w:cstheme="majorBidi"/>
                <w:b/>
                <w:bCs/>
                <w:color w:val="0D0D0D"/>
                <w:kern w:val="0"/>
                <w:sz w:val="24"/>
                <w:szCs w:val="24"/>
                <w14:ligatures w14:val="none"/>
              </w:rPr>
              <w:t>Interpretation</w:t>
            </w:r>
          </w:p>
        </w:tc>
      </w:tr>
      <w:tr w:rsidR="00641A3E" w:rsidRPr="009224BF" w:rsidTr="00641A3E">
        <w:trPr>
          <w:trHeight w:val="298"/>
        </w:trPr>
        <w:tc>
          <w:tcPr>
            <w:tcW w:w="0" w:type="auto"/>
            <w:hideMark/>
          </w:tcPr>
          <w:p w:rsidR="00641A3E" w:rsidRPr="00641A3E" w:rsidRDefault="00641A3E" w:rsidP="00641A3E">
            <w:pPr>
              <w:rPr>
                <w:rFonts w:asciiTheme="majorBidi" w:eastAsia="Times New Roman" w:hAnsiTheme="majorBidi" w:cstheme="majorBidi"/>
                <w:color w:val="0D0D0D"/>
                <w:kern w:val="0"/>
                <w:sz w:val="24"/>
                <w:szCs w:val="24"/>
                <w14:ligatures w14:val="none"/>
              </w:rPr>
            </w:pPr>
            <w:r w:rsidRPr="00641A3E">
              <w:rPr>
                <w:rFonts w:asciiTheme="majorBidi" w:eastAsia="Times New Roman" w:hAnsiTheme="majorBidi" w:cstheme="majorBidi"/>
                <w:color w:val="0D0D0D"/>
                <w:kern w:val="0"/>
                <w:sz w:val="24"/>
                <w:szCs w:val="24"/>
                <w14:ligatures w14:val="none"/>
              </w:rPr>
              <w:t>pIC50</w:t>
            </w:r>
          </w:p>
        </w:tc>
        <w:tc>
          <w:tcPr>
            <w:tcW w:w="0" w:type="auto"/>
            <w:hideMark/>
          </w:tcPr>
          <w:p w:rsidR="00641A3E" w:rsidRPr="00641A3E" w:rsidRDefault="00641A3E" w:rsidP="00641A3E">
            <w:pPr>
              <w:rPr>
                <w:rFonts w:asciiTheme="majorBidi" w:eastAsia="Times New Roman" w:hAnsiTheme="majorBidi" w:cstheme="majorBidi"/>
                <w:color w:val="0D0D0D"/>
                <w:kern w:val="0"/>
                <w:sz w:val="24"/>
                <w:szCs w:val="24"/>
                <w14:ligatures w14:val="none"/>
              </w:rPr>
            </w:pPr>
            <w:r w:rsidRPr="00641A3E">
              <w:rPr>
                <w:rFonts w:asciiTheme="majorBidi" w:eastAsia="Times New Roman" w:hAnsiTheme="majorBidi" w:cstheme="majorBidi"/>
                <w:color w:val="0D0D0D"/>
                <w:kern w:val="0"/>
                <w:sz w:val="24"/>
                <w:szCs w:val="24"/>
                <w14:ligatures w14:val="none"/>
              </w:rPr>
              <w:t>404860.0</w:t>
            </w:r>
          </w:p>
        </w:tc>
        <w:tc>
          <w:tcPr>
            <w:tcW w:w="0" w:type="auto"/>
            <w:hideMark/>
          </w:tcPr>
          <w:p w:rsidR="00641A3E" w:rsidRPr="00641A3E" w:rsidRDefault="00641A3E" w:rsidP="00641A3E">
            <w:pPr>
              <w:rPr>
                <w:rFonts w:asciiTheme="majorBidi" w:eastAsia="Times New Roman" w:hAnsiTheme="majorBidi" w:cstheme="majorBidi"/>
                <w:color w:val="0D0D0D"/>
                <w:kern w:val="0"/>
                <w:sz w:val="24"/>
                <w:szCs w:val="24"/>
                <w14:ligatures w14:val="none"/>
              </w:rPr>
            </w:pPr>
            <w:r w:rsidRPr="00641A3E">
              <w:rPr>
                <w:rFonts w:asciiTheme="majorBidi" w:eastAsia="Times New Roman" w:hAnsiTheme="majorBidi" w:cstheme="majorBidi"/>
                <w:color w:val="0D0D0D"/>
                <w:kern w:val="0"/>
                <w:sz w:val="24"/>
                <w:szCs w:val="24"/>
                <w14:ligatures w14:val="none"/>
              </w:rPr>
              <w:t>2.154229e-165</w:t>
            </w:r>
          </w:p>
        </w:tc>
        <w:tc>
          <w:tcPr>
            <w:tcW w:w="0" w:type="auto"/>
            <w:hideMark/>
          </w:tcPr>
          <w:p w:rsidR="00641A3E" w:rsidRPr="00641A3E" w:rsidRDefault="00641A3E" w:rsidP="00641A3E">
            <w:pPr>
              <w:rPr>
                <w:rFonts w:asciiTheme="majorBidi" w:eastAsia="Times New Roman" w:hAnsiTheme="majorBidi" w:cstheme="majorBidi"/>
                <w:color w:val="0D0D0D"/>
                <w:kern w:val="0"/>
                <w:sz w:val="24"/>
                <w:szCs w:val="24"/>
                <w14:ligatures w14:val="none"/>
              </w:rPr>
            </w:pPr>
            <w:r w:rsidRPr="00641A3E">
              <w:rPr>
                <w:rFonts w:asciiTheme="majorBidi" w:eastAsia="Times New Roman" w:hAnsiTheme="majorBidi" w:cstheme="majorBidi"/>
                <w:color w:val="0D0D0D"/>
                <w:kern w:val="0"/>
                <w:sz w:val="24"/>
                <w:szCs w:val="24"/>
                <w14:ligatures w14:val="none"/>
              </w:rPr>
              <w:t>0.05</w:t>
            </w:r>
          </w:p>
        </w:tc>
        <w:tc>
          <w:tcPr>
            <w:tcW w:w="0" w:type="auto"/>
            <w:hideMark/>
          </w:tcPr>
          <w:p w:rsidR="00641A3E" w:rsidRPr="00641A3E" w:rsidRDefault="00641A3E" w:rsidP="00641A3E">
            <w:pPr>
              <w:rPr>
                <w:rFonts w:asciiTheme="majorBidi" w:eastAsia="Times New Roman" w:hAnsiTheme="majorBidi" w:cstheme="majorBidi"/>
                <w:color w:val="0D0D0D"/>
                <w:kern w:val="0"/>
                <w:sz w:val="24"/>
                <w:szCs w:val="24"/>
                <w14:ligatures w14:val="none"/>
              </w:rPr>
            </w:pPr>
            <w:r w:rsidRPr="00641A3E">
              <w:rPr>
                <w:rFonts w:asciiTheme="majorBidi" w:eastAsia="Times New Roman" w:hAnsiTheme="majorBidi" w:cstheme="majorBidi"/>
                <w:color w:val="0D0D0D"/>
                <w:kern w:val="0"/>
                <w:sz w:val="24"/>
                <w:szCs w:val="24"/>
                <w14:ligatures w14:val="none"/>
              </w:rPr>
              <w:t>Different distribution (reject H0)</w:t>
            </w:r>
          </w:p>
        </w:tc>
      </w:tr>
    </w:tbl>
    <w:p w:rsidR="00641A3E" w:rsidRPr="009224BF" w:rsidRDefault="00641A3E" w:rsidP="00641A3E">
      <w:pPr>
        <w:rPr>
          <w:rFonts w:asciiTheme="majorBidi" w:hAnsiTheme="majorBidi" w:cstheme="majorBidi"/>
          <w:sz w:val="24"/>
          <w:szCs w:val="24"/>
        </w:rPr>
      </w:pPr>
    </w:p>
    <w:p w:rsidR="00EA538E" w:rsidRPr="009224BF" w:rsidRDefault="00EA538E" w:rsidP="00EA538E">
      <w:pPr>
        <w:rPr>
          <w:rFonts w:asciiTheme="majorBidi" w:hAnsiTheme="majorBidi" w:cstheme="majorBidi"/>
          <w:sz w:val="24"/>
          <w:szCs w:val="24"/>
        </w:rPr>
      </w:pPr>
      <w:r w:rsidRPr="009224BF">
        <w:rPr>
          <w:rFonts w:asciiTheme="majorBidi" w:hAnsiTheme="majorBidi" w:cstheme="majorBidi"/>
          <w:color w:val="0D0D0D"/>
          <w:sz w:val="24"/>
          <w:szCs w:val="24"/>
          <w:shd w:val="clear" w:color="auto" w:fill="FFFFFF"/>
        </w:rPr>
        <w:t>The Mann-Whitney U test was conducted to compare the distribution of pIC50 values between active and inactive compounds. The test yielded a statistic of 404860.0 and a p-value of 2.154229e-165. With a significance level (alpha) set at 0.05, the obtained p-value was significantly lower, indicating a statistically significant difference in the distribution of pIC50 values between active and inactive compounds. Consequently, we reject the null hypothesis (H0) and conclude that there is a different distribution of pIC50 values between active and inactive compounds. This finding provides valuable insight into the molecular characteristics associated with biological activity and guides further exploration of structure-activity relationships, ultimately informing drug discovery efforts.</w:t>
      </w:r>
    </w:p>
    <w:p w:rsidR="00EA538E" w:rsidRPr="009224BF" w:rsidRDefault="00EA538E" w:rsidP="0006007B">
      <w:pPr>
        <w:rPr>
          <w:rFonts w:asciiTheme="majorBidi" w:hAnsiTheme="majorBidi" w:cstheme="majorBidi"/>
          <w:sz w:val="24"/>
          <w:szCs w:val="24"/>
        </w:rPr>
      </w:pPr>
    </w:p>
    <w:p w:rsidR="00F356A5" w:rsidRPr="009224BF" w:rsidRDefault="00F356A5" w:rsidP="0006007B">
      <w:pPr>
        <w:rPr>
          <w:rFonts w:asciiTheme="majorBidi" w:hAnsiTheme="majorBidi" w:cstheme="majorBidi"/>
          <w:sz w:val="24"/>
          <w:szCs w:val="24"/>
        </w:rPr>
      </w:pPr>
      <w:r w:rsidRPr="009224BF">
        <w:rPr>
          <w:rFonts w:asciiTheme="majorBidi" w:hAnsiTheme="majorBidi" w:cstheme="majorBidi"/>
          <w:noProof/>
          <w:sz w:val="24"/>
          <w:szCs w:val="24"/>
        </w:rPr>
        <w:lastRenderedPageBreak/>
        <w:drawing>
          <wp:inline distT="0" distB="0" distL="0" distR="0" wp14:anchorId="15A820BE" wp14:editId="22834BE9">
            <wp:extent cx="3261768" cy="3235036"/>
            <wp:effectExtent l="0" t="0" r="0" b="3810"/>
            <wp:docPr id="164450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4477" name=""/>
                    <pic:cNvPicPr/>
                  </pic:nvPicPr>
                  <pic:blipFill rotWithShape="1">
                    <a:blip r:embed="rId8"/>
                    <a:srcRect l="31868" t="16767" r="35353" b="25437"/>
                    <a:stretch/>
                  </pic:blipFill>
                  <pic:spPr bwMode="auto">
                    <a:xfrm>
                      <a:off x="0" y="0"/>
                      <a:ext cx="3276867" cy="325001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039" w:type="dxa"/>
        <w:tblLook w:val="04A0" w:firstRow="1" w:lastRow="0" w:firstColumn="1" w:lastColumn="0" w:noHBand="0" w:noVBand="1"/>
      </w:tblPr>
      <w:tblGrid>
        <w:gridCol w:w="1309"/>
        <w:gridCol w:w="1136"/>
        <w:gridCol w:w="1530"/>
        <w:gridCol w:w="790"/>
        <w:gridCol w:w="3274"/>
      </w:tblGrid>
      <w:tr w:rsidR="009224BF" w:rsidRPr="009224BF" w:rsidTr="009224BF">
        <w:trPr>
          <w:trHeight w:val="396"/>
        </w:trPr>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Descriptor</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Statistics</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p</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alpha</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Interpretation</w:t>
            </w:r>
          </w:p>
        </w:tc>
      </w:tr>
      <w:tr w:rsidR="009224BF" w:rsidRPr="009224BF" w:rsidTr="009224BF">
        <w:trPr>
          <w:trHeight w:val="380"/>
        </w:trPr>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proofErr w:type="spellStart"/>
            <w:r w:rsidRPr="009224BF">
              <w:rPr>
                <w:rFonts w:asciiTheme="majorBidi" w:eastAsia="Times New Roman" w:hAnsiTheme="majorBidi" w:cstheme="majorBidi"/>
                <w:color w:val="0D0D0D"/>
                <w:kern w:val="0"/>
                <w:sz w:val="24"/>
                <w:szCs w:val="24"/>
                <w14:ligatures w14:val="none"/>
              </w:rPr>
              <w:t>LogP</w:t>
            </w:r>
            <w:proofErr w:type="spellEnd"/>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307905.0</w:t>
            </w:r>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2.902892e-46</w:t>
            </w:r>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0.05</w:t>
            </w:r>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Different distribution (reject H0)</w:t>
            </w:r>
          </w:p>
        </w:tc>
      </w:tr>
    </w:tbl>
    <w:p w:rsidR="00641A3E" w:rsidRPr="009224BF" w:rsidRDefault="00641A3E" w:rsidP="0006007B">
      <w:pPr>
        <w:rPr>
          <w:rFonts w:asciiTheme="majorBidi" w:hAnsiTheme="majorBidi" w:cstheme="majorBidi"/>
          <w:sz w:val="24"/>
          <w:szCs w:val="24"/>
        </w:rPr>
      </w:pPr>
    </w:p>
    <w:p w:rsidR="00EA538E" w:rsidRPr="009224BF" w:rsidRDefault="00EA538E" w:rsidP="00EA538E">
      <w:pPr>
        <w:rPr>
          <w:rFonts w:asciiTheme="majorBidi" w:hAnsiTheme="majorBidi" w:cstheme="majorBidi"/>
          <w:sz w:val="24"/>
          <w:szCs w:val="24"/>
        </w:rPr>
      </w:pPr>
      <w:r w:rsidRPr="009224BF">
        <w:rPr>
          <w:rFonts w:asciiTheme="majorBidi" w:hAnsiTheme="majorBidi" w:cstheme="majorBidi"/>
          <w:color w:val="0D0D0D"/>
          <w:sz w:val="24"/>
          <w:szCs w:val="24"/>
          <w:shd w:val="clear" w:color="auto" w:fill="FFFFFF"/>
        </w:rPr>
        <w:t xml:space="preserve">The Mann-Whitney U test was conducted to compare the distribution of </w:t>
      </w:r>
      <w:proofErr w:type="spellStart"/>
      <w:r w:rsidRPr="009224BF">
        <w:rPr>
          <w:rFonts w:asciiTheme="majorBidi" w:hAnsiTheme="majorBidi" w:cstheme="majorBidi"/>
          <w:color w:val="0D0D0D"/>
          <w:sz w:val="24"/>
          <w:szCs w:val="24"/>
          <w:shd w:val="clear" w:color="auto" w:fill="FFFFFF"/>
        </w:rPr>
        <w:t>LogP</w:t>
      </w:r>
      <w:proofErr w:type="spellEnd"/>
      <w:r w:rsidRPr="009224BF">
        <w:rPr>
          <w:rFonts w:asciiTheme="majorBidi" w:hAnsiTheme="majorBidi" w:cstheme="majorBidi"/>
          <w:color w:val="0D0D0D"/>
          <w:sz w:val="24"/>
          <w:szCs w:val="24"/>
          <w:shd w:val="clear" w:color="auto" w:fill="FFFFFF"/>
        </w:rPr>
        <w:t xml:space="preserve"> values between compounds classified as active and inactive. The test yielded a statistic of 307905.0 and a p-value of 2.902892e-46. With a significance level (alpha) set at 0.05, the obtained p-value was significantly lower, indicating a statistically significant difference in the distribution of </w:t>
      </w:r>
      <w:proofErr w:type="spellStart"/>
      <w:r w:rsidRPr="009224BF">
        <w:rPr>
          <w:rFonts w:asciiTheme="majorBidi" w:hAnsiTheme="majorBidi" w:cstheme="majorBidi"/>
          <w:color w:val="0D0D0D"/>
          <w:sz w:val="24"/>
          <w:szCs w:val="24"/>
          <w:shd w:val="clear" w:color="auto" w:fill="FFFFFF"/>
        </w:rPr>
        <w:t>LogP</w:t>
      </w:r>
      <w:proofErr w:type="spellEnd"/>
      <w:r w:rsidRPr="009224BF">
        <w:rPr>
          <w:rFonts w:asciiTheme="majorBidi" w:hAnsiTheme="majorBidi" w:cstheme="majorBidi"/>
          <w:color w:val="0D0D0D"/>
          <w:sz w:val="24"/>
          <w:szCs w:val="24"/>
          <w:shd w:val="clear" w:color="auto" w:fill="FFFFFF"/>
        </w:rPr>
        <w:t xml:space="preserve"> values between active and inactive compounds. Therefore, we reject the null hypothesis (H0) and conclude that there is a different distribution of </w:t>
      </w:r>
      <w:proofErr w:type="spellStart"/>
      <w:r w:rsidRPr="009224BF">
        <w:rPr>
          <w:rFonts w:asciiTheme="majorBidi" w:hAnsiTheme="majorBidi" w:cstheme="majorBidi"/>
          <w:color w:val="0D0D0D"/>
          <w:sz w:val="24"/>
          <w:szCs w:val="24"/>
          <w:shd w:val="clear" w:color="auto" w:fill="FFFFFF"/>
        </w:rPr>
        <w:t>LogP</w:t>
      </w:r>
      <w:proofErr w:type="spellEnd"/>
      <w:r w:rsidRPr="009224BF">
        <w:rPr>
          <w:rFonts w:asciiTheme="majorBidi" w:hAnsiTheme="majorBidi" w:cstheme="majorBidi"/>
          <w:color w:val="0D0D0D"/>
          <w:sz w:val="24"/>
          <w:szCs w:val="24"/>
          <w:shd w:val="clear" w:color="auto" w:fill="FFFFFF"/>
        </w:rPr>
        <w:t xml:space="preserve"> values between active and inactive compounds. This finding suggests that </w:t>
      </w:r>
      <w:proofErr w:type="spellStart"/>
      <w:r w:rsidRPr="009224BF">
        <w:rPr>
          <w:rFonts w:asciiTheme="majorBidi" w:hAnsiTheme="majorBidi" w:cstheme="majorBidi"/>
          <w:color w:val="0D0D0D"/>
          <w:sz w:val="24"/>
          <w:szCs w:val="24"/>
          <w:shd w:val="clear" w:color="auto" w:fill="FFFFFF"/>
        </w:rPr>
        <w:t>LogP</w:t>
      </w:r>
      <w:proofErr w:type="spellEnd"/>
      <w:r w:rsidRPr="009224BF">
        <w:rPr>
          <w:rFonts w:asciiTheme="majorBidi" w:hAnsiTheme="majorBidi" w:cstheme="majorBidi"/>
          <w:color w:val="0D0D0D"/>
          <w:sz w:val="24"/>
          <w:szCs w:val="24"/>
          <w:shd w:val="clear" w:color="auto" w:fill="FFFFFF"/>
        </w:rPr>
        <w:t>, a measure of lipophilicity, is a distinguishing factor between active and inactive compounds, providing valuable insight into the molecular characteristics associated with biological activity.</w:t>
      </w:r>
    </w:p>
    <w:p w:rsidR="00EA538E" w:rsidRPr="009224BF" w:rsidRDefault="00EA538E" w:rsidP="0006007B">
      <w:pPr>
        <w:rPr>
          <w:rFonts w:asciiTheme="majorBidi" w:hAnsiTheme="majorBidi" w:cstheme="majorBidi"/>
          <w:sz w:val="24"/>
          <w:szCs w:val="24"/>
        </w:rPr>
      </w:pPr>
    </w:p>
    <w:p w:rsidR="00F356A5" w:rsidRPr="009224BF" w:rsidRDefault="00F356A5" w:rsidP="0006007B">
      <w:pPr>
        <w:rPr>
          <w:rFonts w:asciiTheme="majorBidi" w:hAnsiTheme="majorBidi" w:cstheme="majorBidi"/>
          <w:sz w:val="24"/>
          <w:szCs w:val="24"/>
        </w:rPr>
      </w:pPr>
      <w:r w:rsidRPr="009224BF">
        <w:rPr>
          <w:rFonts w:asciiTheme="majorBidi" w:hAnsiTheme="majorBidi" w:cstheme="majorBidi"/>
          <w:noProof/>
          <w:sz w:val="24"/>
          <w:szCs w:val="24"/>
        </w:rPr>
        <w:lastRenderedPageBreak/>
        <w:drawing>
          <wp:inline distT="0" distB="0" distL="0" distR="0" wp14:anchorId="1C7F2B4B" wp14:editId="27D425A5">
            <wp:extent cx="3449782" cy="3430506"/>
            <wp:effectExtent l="0" t="0" r="0" b="0"/>
            <wp:docPr id="616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073" name=""/>
                    <pic:cNvPicPr/>
                  </pic:nvPicPr>
                  <pic:blipFill rotWithShape="1">
                    <a:blip r:embed="rId9"/>
                    <a:srcRect l="31593" t="16768" r="35618" b="25267"/>
                    <a:stretch/>
                  </pic:blipFill>
                  <pic:spPr bwMode="auto">
                    <a:xfrm>
                      <a:off x="0" y="0"/>
                      <a:ext cx="3465322" cy="344595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438" w:type="dxa"/>
        <w:tblLook w:val="04A0" w:firstRow="1" w:lastRow="0" w:firstColumn="1" w:lastColumn="0" w:noHBand="0" w:noVBand="1"/>
      </w:tblPr>
      <w:tblGrid>
        <w:gridCol w:w="1356"/>
        <w:gridCol w:w="1177"/>
        <w:gridCol w:w="1598"/>
        <w:gridCol w:w="818"/>
        <w:gridCol w:w="3489"/>
      </w:tblGrid>
      <w:tr w:rsidR="009224BF" w:rsidRPr="009224BF" w:rsidTr="009224BF">
        <w:trPr>
          <w:trHeight w:val="439"/>
        </w:trPr>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Descriptor</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Statistics</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p</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alpha</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Interpretation</w:t>
            </w:r>
          </w:p>
        </w:tc>
      </w:tr>
      <w:tr w:rsidR="009224BF" w:rsidRPr="009224BF" w:rsidTr="009224BF">
        <w:trPr>
          <w:trHeight w:val="422"/>
        </w:trPr>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MW</w:t>
            </w:r>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291456.0</w:t>
            </w:r>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1.863988e-33</w:t>
            </w:r>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0.05</w:t>
            </w:r>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Different distribution (reject H0)</w:t>
            </w:r>
          </w:p>
        </w:tc>
      </w:tr>
    </w:tbl>
    <w:p w:rsidR="009224BF" w:rsidRPr="009224BF" w:rsidRDefault="009224BF" w:rsidP="0006007B">
      <w:pPr>
        <w:rPr>
          <w:rFonts w:asciiTheme="majorBidi" w:hAnsiTheme="majorBidi" w:cstheme="majorBidi"/>
          <w:sz w:val="24"/>
          <w:szCs w:val="24"/>
        </w:rPr>
      </w:pPr>
    </w:p>
    <w:p w:rsidR="00EA538E" w:rsidRPr="009224BF" w:rsidRDefault="00EA538E" w:rsidP="0006007B">
      <w:pPr>
        <w:rPr>
          <w:rFonts w:asciiTheme="majorBidi" w:hAnsiTheme="majorBidi" w:cstheme="majorBidi"/>
          <w:sz w:val="24"/>
          <w:szCs w:val="24"/>
        </w:rPr>
      </w:pPr>
      <w:r w:rsidRPr="009224BF">
        <w:rPr>
          <w:rFonts w:asciiTheme="majorBidi" w:hAnsiTheme="majorBidi" w:cstheme="majorBidi"/>
          <w:color w:val="0D0D0D"/>
          <w:sz w:val="24"/>
          <w:szCs w:val="24"/>
          <w:shd w:val="clear" w:color="auto" w:fill="FFFFFF"/>
        </w:rPr>
        <w:t>The Mann-Whitney U test was conducted to compare the distribution of molecular weight (MW) values between compounds classified as active and inactive. The test yielded a statistic of 291456.0 and a p-value of 1.863988e-33. With a significance level (alpha) set at 0.05, the obtained p-value was significantly lower, indicating a statistically significant difference in the distribution of MW values between active and inactive compounds. Therefore, we reject the null hypothesis (H0) and conclude that there is a different distribution of MW values between active and inactive compounds. This finding suggests that molecular weight is a distinguishing factor between active and inactive compounds, providing valuable insight into the molecular characteristics associated with biological activity.</w:t>
      </w:r>
    </w:p>
    <w:p w:rsidR="00F356A5" w:rsidRPr="009224BF" w:rsidRDefault="00F356A5" w:rsidP="0006007B">
      <w:pPr>
        <w:rPr>
          <w:rFonts w:asciiTheme="majorBidi" w:hAnsiTheme="majorBidi" w:cstheme="majorBidi"/>
          <w:sz w:val="24"/>
          <w:szCs w:val="24"/>
        </w:rPr>
      </w:pPr>
    </w:p>
    <w:p w:rsidR="0030337E" w:rsidRPr="009224BF" w:rsidRDefault="0030337E" w:rsidP="0006007B">
      <w:pPr>
        <w:rPr>
          <w:rFonts w:asciiTheme="majorBidi" w:hAnsiTheme="majorBidi" w:cstheme="majorBidi"/>
          <w:sz w:val="24"/>
          <w:szCs w:val="24"/>
        </w:rPr>
      </w:pPr>
      <w:r w:rsidRPr="009224BF">
        <w:rPr>
          <w:rFonts w:asciiTheme="majorBidi" w:hAnsiTheme="majorBidi" w:cstheme="majorBidi"/>
          <w:noProof/>
          <w:sz w:val="24"/>
          <w:szCs w:val="24"/>
        </w:rPr>
        <w:lastRenderedPageBreak/>
        <w:drawing>
          <wp:inline distT="0" distB="0" distL="0" distR="0" wp14:anchorId="43D35BBB" wp14:editId="2A0C5BE7">
            <wp:extent cx="2964873" cy="3067112"/>
            <wp:effectExtent l="0" t="0" r="6985" b="0"/>
            <wp:docPr id="105443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34676" name=""/>
                    <pic:cNvPicPr/>
                  </pic:nvPicPr>
                  <pic:blipFill rotWithShape="1">
                    <a:blip r:embed="rId10"/>
                    <a:srcRect l="31593" t="15793" r="36534" b="25592"/>
                    <a:stretch/>
                  </pic:blipFill>
                  <pic:spPr bwMode="auto">
                    <a:xfrm>
                      <a:off x="0" y="0"/>
                      <a:ext cx="2970737" cy="307317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375" w:type="dxa"/>
        <w:tblLook w:val="04A0" w:firstRow="1" w:lastRow="0" w:firstColumn="1" w:lastColumn="0" w:noHBand="0" w:noVBand="1"/>
      </w:tblPr>
      <w:tblGrid>
        <w:gridCol w:w="1870"/>
        <w:gridCol w:w="1153"/>
        <w:gridCol w:w="1132"/>
        <w:gridCol w:w="802"/>
        <w:gridCol w:w="3418"/>
      </w:tblGrid>
      <w:tr w:rsidR="009224BF" w:rsidRPr="009224BF" w:rsidTr="009224BF">
        <w:trPr>
          <w:trHeight w:val="267"/>
        </w:trPr>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Descriptor</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Statistics</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p</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alpha</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Interpretation</w:t>
            </w:r>
          </w:p>
        </w:tc>
      </w:tr>
      <w:tr w:rsidR="009224BF" w:rsidRPr="009224BF" w:rsidTr="009224BF">
        <w:trPr>
          <w:trHeight w:val="257"/>
        </w:trPr>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proofErr w:type="spellStart"/>
            <w:r w:rsidRPr="009224BF">
              <w:rPr>
                <w:rFonts w:asciiTheme="majorBidi" w:eastAsia="Times New Roman" w:hAnsiTheme="majorBidi" w:cstheme="majorBidi"/>
                <w:color w:val="0D0D0D"/>
                <w:kern w:val="0"/>
                <w:sz w:val="24"/>
                <w:szCs w:val="24"/>
                <w14:ligatures w14:val="none"/>
              </w:rPr>
              <w:t>NumHAcceptors</w:t>
            </w:r>
            <w:proofErr w:type="spellEnd"/>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176441.5</w:t>
            </w:r>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0.000321</w:t>
            </w:r>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0.05</w:t>
            </w:r>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Different distribution (reject H0)</w:t>
            </w:r>
          </w:p>
        </w:tc>
      </w:tr>
    </w:tbl>
    <w:p w:rsidR="009224BF" w:rsidRPr="009224BF" w:rsidRDefault="009224BF" w:rsidP="0006007B">
      <w:pPr>
        <w:rPr>
          <w:rFonts w:asciiTheme="majorBidi" w:hAnsiTheme="majorBidi" w:cstheme="majorBidi"/>
          <w:sz w:val="24"/>
          <w:szCs w:val="24"/>
        </w:rPr>
      </w:pPr>
    </w:p>
    <w:p w:rsidR="00EA538E" w:rsidRPr="009224BF" w:rsidRDefault="00EA538E" w:rsidP="0006007B">
      <w:pPr>
        <w:rPr>
          <w:rFonts w:asciiTheme="majorBidi" w:hAnsiTheme="majorBidi" w:cstheme="majorBidi"/>
          <w:sz w:val="24"/>
          <w:szCs w:val="24"/>
        </w:rPr>
      </w:pPr>
      <w:r w:rsidRPr="009224BF">
        <w:rPr>
          <w:rFonts w:asciiTheme="majorBidi" w:hAnsiTheme="majorBidi" w:cstheme="majorBidi"/>
          <w:color w:val="0D0D0D"/>
          <w:sz w:val="24"/>
          <w:szCs w:val="24"/>
          <w:shd w:val="clear" w:color="auto" w:fill="FFFFFF"/>
        </w:rPr>
        <w:t>The Mann-Whitney U test was conducted to compare the distribution of the number of hydrogen bond acceptors (</w:t>
      </w:r>
      <w:proofErr w:type="spellStart"/>
      <w:r w:rsidRPr="009224BF">
        <w:rPr>
          <w:rFonts w:asciiTheme="majorBidi" w:hAnsiTheme="majorBidi" w:cstheme="majorBidi"/>
          <w:color w:val="0D0D0D"/>
          <w:sz w:val="24"/>
          <w:szCs w:val="24"/>
          <w:shd w:val="clear" w:color="auto" w:fill="FFFFFF"/>
        </w:rPr>
        <w:t>NumHAcceptors</w:t>
      </w:r>
      <w:proofErr w:type="spellEnd"/>
      <w:r w:rsidRPr="009224BF">
        <w:rPr>
          <w:rFonts w:asciiTheme="majorBidi" w:hAnsiTheme="majorBidi" w:cstheme="majorBidi"/>
          <w:color w:val="0D0D0D"/>
          <w:sz w:val="24"/>
          <w:szCs w:val="24"/>
          <w:shd w:val="clear" w:color="auto" w:fill="FFFFFF"/>
        </w:rPr>
        <w:t xml:space="preserve">) between compounds classified as active and inactive. The test yielded a statistic of 176441.5 and a p-value of 0.000321. With a significance level (alpha) set at 0.05, the obtained p-value was significantly lower than the alpha level, indicating a statistically significant difference in the distribution of </w:t>
      </w:r>
      <w:proofErr w:type="spellStart"/>
      <w:r w:rsidRPr="009224BF">
        <w:rPr>
          <w:rFonts w:asciiTheme="majorBidi" w:hAnsiTheme="majorBidi" w:cstheme="majorBidi"/>
          <w:color w:val="0D0D0D"/>
          <w:sz w:val="24"/>
          <w:szCs w:val="24"/>
          <w:shd w:val="clear" w:color="auto" w:fill="FFFFFF"/>
        </w:rPr>
        <w:t>NumHAcceptors</w:t>
      </w:r>
      <w:proofErr w:type="spellEnd"/>
      <w:r w:rsidRPr="009224BF">
        <w:rPr>
          <w:rFonts w:asciiTheme="majorBidi" w:hAnsiTheme="majorBidi" w:cstheme="majorBidi"/>
          <w:color w:val="0D0D0D"/>
          <w:sz w:val="24"/>
          <w:szCs w:val="24"/>
          <w:shd w:val="clear" w:color="auto" w:fill="FFFFFF"/>
        </w:rPr>
        <w:t xml:space="preserve"> between active and inactive compounds. Therefore, we reject the null hypothesis (H0) and conclude that there is a different distribution of the number of hydrogen bond acceptors between active and inactive compounds. This finding suggests that the number of hydrogen bond acceptors is a distinguishing factor between active and inactive compounds, providing valuable insight into the molecular characteristics associated with biological activity.</w:t>
      </w:r>
    </w:p>
    <w:p w:rsidR="0030337E" w:rsidRPr="009224BF" w:rsidRDefault="0030337E" w:rsidP="0006007B">
      <w:pPr>
        <w:rPr>
          <w:rFonts w:asciiTheme="majorBidi" w:hAnsiTheme="majorBidi" w:cstheme="majorBidi"/>
          <w:sz w:val="24"/>
          <w:szCs w:val="24"/>
        </w:rPr>
      </w:pPr>
    </w:p>
    <w:p w:rsidR="0030337E" w:rsidRPr="009224BF" w:rsidRDefault="0030337E" w:rsidP="0006007B">
      <w:pPr>
        <w:rPr>
          <w:rFonts w:asciiTheme="majorBidi" w:hAnsiTheme="majorBidi" w:cstheme="majorBidi"/>
          <w:noProof/>
          <w:sz w:val="24"/>
          <w:szCs w:val="24"/>
        </w:rPr>
      </w:pPr>
    </w:p>
    <w:p w:rsidR="0030337E" w:rsidRPr="009224BF" w:rsidRDefault="0030337E" w:rsidP="0006007B">
      <w:pPr>
        <w:rPr>
          <w:rFonts w:asciiTheme="majorBidi" w:hAnsiTheme="majorBidi" w:cstheme="majorBidi"/>
          <w:sz w:val="24"/>
          <w:szCs w:val="24"/>
        </w:rPr>
      </w:pPr>
      <w:r w:rsidRPr="009224BF">
        <w:rPr>
          <w:rFonts w:asciiTheme="majorBidi" w:hAnsiTheme="majorBidi" w:cstheme="majorBidi"/>
          <w:noProof/>
          <w:sz w:val="24"/>
          <w:szCs w:val="24"/>
        </w:rPr>
        <w:lastRenderedPageBreak/>
        <w:drawing>
          <wp:inline distT="0" distB="0" distL="0" distR="0" wp14:anchorId="4E7F6469" wp14:editId="4B2249EE">
            <wp:extent cx="2854036" cy="2911942"/>
            <wp:effectExtent l="0" t="0" r="3810" b="3175"/>
            <wp:docPr id="201837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76925" name=""/>
                    <pic:cNvPicPr/>
                  </pic:nvPicPr>
                  <pic:blipFill rotWithShape="1">
                    <a:blip r:embed="rId11"/>
                    <a:srcRect l="32353" t="16953" r="35934" b="25525"/>
                    <a:stretch/>
                  </pic:blipFill>
                  <pic:spPr bwMode="auto">
                    <a:xfrm>
                      <a:off x="0" y="0"/>
                      <a:ext cx="2859807" cy="291783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976" w:type="dxa"/>
        <w:tblLook w:val="04A0" w:firstRow="1" w:lastRow="0" w:firstColumn="1" w:lastColumn="0" w:noHBand="0" w:noVBand="1"/>
      </w:tblPr>
      <w:tblGrid>
        <w:gridCol w:w="1771"/>
        <w:gridCol w:w="1277"/>
        <w:gridCol w:w="1254"/>
        <w:gridCol w:w="888"/>
        <w:gridCol w:w="3786"/>
      </w:tblGrid>
      <w:tr w:rsidR="009224BF" w:rsidRPr="009224BF" w:rsidTr="009224BF">
        <w:trPr>
          <w:trHeight w:val="321"/>
        </w:trPr>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Descriptor</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Statistics</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p</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alpha</w:t>
            </w:r>
          </w:p>
        </w:tc>
        <w:tc>
          <w:tcPr>
            <w:tcW w:w="0" w:type="auto"/>
            <w:hideMark/>
          </w:tcPr>
          <w:p w:rsidR="009224BF" w:rsidRPr="009224BF" w:rsidRDefault="009224BF" w:rsidP="009224BF">
            <w:pPr>
              <w:jc w:val="center"/>
              <w:rPr>
                <w:rFonts w:asciiTheme="majorBidi" w:eastAsia="Times New Roman" w:hAnsiTheme="majorBidi" w:cstheme="majorBidi"/>
                <w:b/>
                <w:bCs/>
                <w:color w:val="0D0D0D"/>
                <w:kern w:val="0"/>
                <w:sz w:val="24"/>
                <w:szCs w:val="24"/>
                <w14:ligatures w14:val="none"/>
              </w:rPr>
            </w:pPr>
            <w:r w:rsidRPr="009224BF">
              <w:rPr>
                <w:rFonts w:asciiTheme="majorBidi" w:eastAsia="Times New Roman" w:hAnsiTheme="majorBidi" w:cstheme="majorBidi"/>
                <w:b/>
                <w:bCs/>
                <w:color w:val="0D0D0D"/>
                <w:kern w:val="0"/>
                <w:sz w:val="24"/>
                <w:szCs w:val="24"/>
                <w14:ligatures w14:val="none"/>
              </w:rPr>
              <w:t>Interpretation</w:t>
            </w:r>
          </w:p>
        </w:tc>
      </w:tr>
      <w:tr w:rsidR="009224BF" w:rsidRPr="009224BF" w:rsidTr="009224BF">
        <w:trPr>
          <w:trHeight w:val="308"/>
        </w:trPr>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proofErr w:type="spellStart"/>
            <w:r w:rsidRPr="009224BF">
              <w:rPr>
                <w:rFonts w:asciiTheme="majorBidi" w:eastAsia="Times New Roman" w:hAnsiTheme="majorBidi" w:cstheme="majorBidi"/>
                <w:color w:val="0D0D0D"/>
                <w:kern w:val="0"/>
                <w:sz w:val="24"/>
                <w:szCs w:val="24"/>
                <w14:ligatures w14:val="none"/>
              </w:rPr>
              <w:t>NumHDonors</w:t>
            </w:r>
            <w:proofErr w:type="spellEnd"/>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220837.0</w:t>
            </w:r>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0.004085</w:t>
            </w:r>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0.05</w:t>
            </w:r>
          </w:p>
        </w:tc>
        <w:tc>
          <w:tcPr>
            <w:tcW w:w="0" w:type="auto"/>
            <w:hideMark/>
          </w:tcPr>
          <w:p w:rsidR="009224BF" w:rsidRPr="009224BF" w:rsidRDefault="009224BF" w:rsidP="009224BF">
            <w:pPr>
              <w:rPr>
                <w:rFonts w:asciiTheme="majorBidi" w:eastAsia="Times New Roman" w:hAnsiTheme="majorBidi" w:cstheme="majorBidi"/>
                <w:color w:val="0D0D0D"/>
                <w:kern w:val="0"/>
                <w:sz w:val="24"/>
                <w:szCs w:val="24"/>
                <w14:ligatures w14:val="none"/>
              </w:rPr>
            </w:pPr>
            <w:r w:rsidRPr="009224BF">
              <w:rPr>
                <w:rFonts w:asciiTheme="majorBidi" w:eastAsia="Times New Roman" w:hAnsiTheme="majorBidi" w:cstheme="majorBidi"/>
                <w:color w:val="0D0D0D"/>
                <w:kern w:val="0"/>
                <w:sz w:val="24"/>
                <w:szCs w:val="24"/>
                <w14:ligatures w14:val="none"/>
              </w:rPr>
              <w:t>Different distribution (reject H0)</w:t>
            </w:r>
          </w:p>
        </w:tc>
      </w:tr>
    </w:tbl>
    <w:p w:rsidR="009224BF" w:rsidRPr="009224BF" w:rsidRDefault="009224BF" w:rsidP="0006007B">
      <w:pPr>
        <w:rPr>
          <w:rFonts w:asciiTheme="majorBidi" w:hAnsiTheme="majorBidi" w:cstheme="majorBidi"/>
          <w:sz w:val="24"/>
          <w:szCs w:val="24"/>
        </w:rPr>
      </w:pPr>
    </w:p>
    <w:p w:rsidR="00EA538E" w:rsidRDefault="00EA538E" w:rsidP="0006007B">
      <w:pPr>
        <w:rPr>
          <w:rFonts w:asciiTheme="majorBidi" w:hAnsiTheme="majorBidi" w:cstheme="majorBidi"/>
          <w:color w:val="0D0D0D"/>
          <w:sz w:val="24"/>
          <w:szCs w:val="24"/>
          <w:shd w:val="clear" w:color="auto" w:fill="FFFFFF"/>
        </w:rPr>
      </w:pPr>
      <w:r w:rsidRPr="009224BF">
        <w:rPr>
          <w:rFonts w:asciiTheme="majorBidi" w:hAnsiTheme="majorBidi" w:cstheme="majorBidi"/>
          <w:color w:val="0D0D0D"/>
          <w:sz w:val="24"/>
          <w:szCs w:val="24"/>
          <w:shd w:val="clear" w:color="auto" w:fill="FFFFFF"/>
        </w:rPr>
        <w:t>The Mann-Whitney U test was conducted to compare the distribution of the number of hydrogen bond donors (</w:t>
      </w:r>
      <w:proofErr w:type="spellStart"/>
      <w:r w:rsidRPr="009224BF">
        <w:rPr>
          <w:rFonts w:asciiTheme="majorBidi" w:hAnsiTheme="majorBidi" w:cstheme="majorBidi"/>
          <w:color w:val="0D0D0D"/>
          <w:sz w:val="24"/>
          <w:szCs w:val="24"/>
          <w:shd w:val="clear" w:color="auto" w:fill="FFFFFF"/>
        </w:rPr>
        <w:t>NumHDonors</w:t>
      </w:r>
      <w:proofErr w:type="spellEnd"/>
      <w:r w:rsidRPr="009224BF">
        <w:rPr>
          <w:rFonts w:asciiTheme="majorBidi" w:hAnsiTheme="majorBidi" w:cstheme="majorBidi"/>
          <w:color w:val="0D0D0D"/>
          <w:sz w:val="24"/>
          <w:szCs w:val="24"/>
          <w:shd w:val="clear" w:color="auto" w:fill="FFFFFF"/>
        </w:rPr>
        <w:t xml:space="preserve">) between compounds classified as active and inactive. The test yielded a statistic of 220837.0 and a p-value of 0.004085. With a significance level (alpha) set at 0.05, the obtained p-value was lower than the alpha level, indicating a statistically significant difference in the distribution of </w:t>
      </w:r>
      <w:proofErr w:type="spellStart"/>
      <w:r w:rsidRPr="009224BF">
        <w:rPr>
          <w:rFonts w:asciiTheme="majorBidi" w:hAnsiTheme="majorBidi" w:cstheme="majorBidi"/>
          <w:color w:val="0D0D0D"/>
          <w:sz w:val="24"/>
          <w:szCs w:val="24"/>
          <w:shd w:val="clear" w:color="auto" w:fill="FFFFFF"/>
        </w:rPr>
        <w:t>NumHDonors</w:t>
      </w:r>
      <w:proofErr w:type="spellEnd"/>
      <w:r w:rsidRPr="009224BF">
        <w:rPr>
          <w:rFonts w:asciiTheme="majorBidi" w:hAnsiTheme="majorBidi" w:cstheme="majorBidi"/>
          <w:color w:val="0D0D0D"/>
          <w:sz w:val="24"/>
          <w:szCs w:val="24"/>
          <w:shd w:val="clear" w:color="auto" w:fill="FFFFFF"/>
        </w:rPr>
        <w:t xml:space="preserve"> between active and inactive compounds. Therefore, we reject the null hypothesis (H0) and conclude that there is a different distribution of the number of hydrogen bond donors between active and inactive compounds. This finding suggests that the number of hydrogen bond donors is a distinguishing factor between active and inactive compounds, providing valuable insight into the molecular characteristics associated with biological activity.</w:t>
      </w:r>
    </w:p>
    <w:p w:rsidR="00EE3B9F" w:rsidRDefault="00EE3B9F" w:rsidP="0006007B">
      <w:pPr>
        <w:rPr>
          <w:rFonts w:asciiTheme="majorBidi" w:hAnsiTheme="majorBidi" w:cstheme="majorBidi"/>
          <w:color w:val="0D0D0D"/>
          <w:sz w:val="24"/>
          <w:szCs w:val="24"/>
          <w:shd w:val="clear" w:color="auto" w:fill="FFFFFF"/>
        </w:rPr>
      </w:pPr>
    </w:p>
    <w:p w:rsidR="00EE3B9F" w:rsidRDefault="00EE3B9F" w:rsidP="0006007B">
      <w:pPr>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Discussion</w:t>
      </w:r>
    </w:p>
    <w:p w:rsidR="00EE3B9F" w:rsidRDefault="00EE3B9F" w:rsidP="0006007B">
      <w:pPr>
        <w:rPr>
          <w:rFonts w:asciiTheme="majorBidi" w:hAnsiTheme="majorBidi" w:cstheme="majorBidi"/>
          <w:color w:val="0D0D0D"/>
          <w:sz w:val="24"/>
          <w:szCs w:val="24"/>
          <w:shd w:val="clear" w:color="auto" w:fill="FFFFFF"/>
        </w:rPr>
      </w:pPr>
      <w:r w:rsidRPr="00EE3B9F">
        <w:rPr>
          <w:rFonts w:asciiTheme="majorBidi" w:hAnsiTheme="majorBidi" w:cstheme="majorBidi"/>
          <w:color w:val="0D0D0D"/>
          <w:sz w:val="24"/>
          <w:szCs w:val="24"/>
          <w:shd w:val="clear" w:color="auto" w:fill="FFFFFF"/>
        </w:rPr>
        <w:t xml:space="preserve">key findings </w:t>
      </w:r>
      <w:proofErr w:type="gramStart"/>
      <w:r>
        <w:rPr>
          <w:rFonts w:asciiTheme="majorBidi" w:hAnsiTheme="majorBidi" w:cstheme="majorBidi"/>
          <w:color w:val="0D0D0D"/>
          <w:sz w:val="24"/>
          <w:szCs w:val="24"/>
          <w:shd w:val="clear" w:color="auto" w:fill="FFFFFF"/>
        </w:rPr>
        <w:t>gives</w:t>
      </w:r>
      <w:proofErr w:type="gramEnd"/>
      <w:r>
        <w:rPr>
          <w:rFonts w:asciiTheme="majorBidi" w:hAnsiTheme="majorBidi" w:cstheme="majorBidi"/>
          <w:color w:val="0D0D0D"/>
          <w:sz w:val="24"/>
          <w:szCs w:val="24"/>
          <w:shd w:val="clear" w:color="auto" w:fill="FFFFFF"/>
        </w:rPr>
        <w:t xml:space="preserve"> insights about</w:t>
      </w:r>
      <w:r w:rsidRPr="00EE3B9F">
        <w:rPr>
          <w:rFonts w:asciiTheme="majorBidi" w:hAnsiTheme="majorBidi" w:cstheme="majorBidi"/>
          <w:color w:val="0D0D0D"/>
          <w:sz w:val="24"/>
          <w:szCs w:val="24"/>
          <w:shd w:val="clear" w:color="auto" w:fill="FFFFFF"/>
        </w:rPr>
        <w:t xml:space="preserve"> the distribution of compounds across different bioactivity classes and the molecular attributes influencing PPAR gamma activation. The analysis of bioactivity class distribution revealed a significant prevalence of "active" compounds compared to "inactive" ones, underscoring the dataset's composition and its relevance to drug discovery endeavors. Furthermore, our examination of molecular weight (MW) and </w:t>
      </w:r>
      <w:proofErr w:type="spellStart"/>
      <w:r w:rsidRPr="00EE3B9F">
        <w:rPr>
          <w:rFonts w:asciiTheme="majorBidi" w:hAnsiTheme="majorBidi" w:cstheme="majorBidi"/>
          <w:color w:val="0D0D0D"/>
          <w:sz w:val="24"/>
          <w:szCs w:val="24"/>
          <w:shd w:val="clear" w:color="auto" w:fill="FFFFFF"/>
        </w:rPr>
        <w:t>LogP</w:t>
      </w:r>
      <w:proofErr w:type="spellEnd"/>
      <w:r w:rsidRPr="00EE3B9F">
        <w:rPr>
          <w:rFonts w:asciiTheme="majorBidi" w:hAnsiTheme="majorBidi" w:cstheme="majorBidi"/>
          <w:color w:val="0D0D0D"/>
          <w:sz w:val="24"/>
          <w:szCs w:val="24"/>
          <w:shd w:val="clear" w:color="auto" w:fill="FFFFFF"/>
        </w:rPr>
        <w:t xml:space="preserve"> shed light on their roles in PPAR gamma activation, suggesting that smaller molecule sizes and higher hydrophilicity may enhance effectiveness in activating PPAR gamma. Additionally, the Mann-Whitney U test results for Lipinski descriptors unveiled significant differences between active and inactive compounds across various parameters such as pIC50 values, </w:t>
      </w:r>
      <w:proofErr w:type="spellStart"/>
      <w:r w:rsidRPr="00EE3B9F">
        <w:rPr>
          <w:rFonts w:asciiTheme="majorBidi" w:hAnsiTheme="majorBidi" w:cstheme="majorBidi"/>
          <w:color w:val="0D0D0D"/>
          <w:sz w:val="24"/>
          <w:szCs w:val="24"/>
          <w:shd w:val="clear" w:color="auto" w:fill="FFFFFF"/>
        </w:rPr>
        <w:t>LogP</w:t>
      </w:r>
      <w:proofErr w:type="spellEnd"/>
      <w:r w:rsidRPr="00EE3B9F">
        <w:rPr>
          <w:rFonts w:asciiTheme="majorBidi" w:hAnsiTheme="majorBidi" w:cstheme="majorBidi"/>
          <w:color w:val="0D0D0D"/>
          <w:sz w:val="24"/>
          <w:szCs w:val="24"/>
          <w:shd w:val="clear" w:color="auto" w:fill="FFFFFF"/>
        </w:rPr>
        <w:t xml:space="preserve">, MW, </w:t>
      </w:r>
      <w:proofErr w:type="spellStart"/>
      <w:r w:rsidRPr="00EE3B9F">
        <w:rPr>
          <w:rFonts w:asciiTheme="majorBidi" w:hAnsiTheme="majorBidi" w:cstheme="majorBidi"/>
          <w:color w:val="0D0D0D"/>
          <w:sz w:val="24"/>
          <w:szCs w:val="24"/>
          <w:shd w:val="clear" w:color="auto" w:fill="FFFFFF"/>
        </w:rPr>
        <w:t>NumHAcceptors</w:t>
      </w:r>
      <w:proofErr w:type="spellEnd"/>
      <w:r w:rsidRPr="00EE3B9F">
        <w:rPr>
          <w:rFonts w:asciiTheme="majorBidi" w:hAnsiTheme="majorBidi" w:cstheme="majorBidi"/>
          <w:color w:val="0D0D0D"/>
          <w:sz w:val="24"/>
          <w:szCs w:val="24"/>
          <w:shd w:val="clear" w:color="auto" w:fill="FFFFFF"/>
        </w:rPr>
        <w:t xml:space="preserve">, and </w:t>
      </w:r>
      <w:proofErr w:type="spellStart"/>
      <w:r w:rsidRPr="00EE3B9F">
        <w:rPr>
          <w:rFonts w:asciiTheme="majorBidi" w:hAnsiTheme="majorBidi" w:cstheme="majorBidi"/>
          <w:color w:val="0D0D0D"/>
          <w:sz w:val="24"/>
          <w:szCs w:val="24"/>
          <w:shd w:val="clear" w:color="auto" w:fill="FFFFFF"/>
        </w:rPr>
        <w:t>NumHDonors</w:t>
      </w:r>
      <w:proofErr w:type="spellEnd"/>
      <w:r w:rsidRPr="00EE3B9F">
        <w:rPr>
          <w:rFonts w:asciiTheme="majorBidi" w:hAnsiTheme="majorBidi" w:cstheme="majorBidi"/>
          <w:color w:val="0D0D0D"/>
          <w:sz w:val="24"/>
          <w:szCs w:val="24"/>
          <w:shd w:val="clear" w:color="auto" w:fill="FFFFFF"/>
        </w:rPr>
        <w:t>. These findings deepen our understanding of structure-</w:t>
      </w:r>
      <w:r w:rsidRPr="00EE3B9F">
        <w:rPr>
          <w:rFonts w:asciiTheme="majorBidi" w:hAnsiTheme="majorBidi" w:cstheme="majorBidi"/>
          <w:color w:val="0D0D0D"/>
          <w:sz w:val="24"/>
          <w:szCs w:val="24"/>
          <w:shd w:val="clear" w:color="auto" w:fill="FFFFFF"/>
        </w:rPr>
        <w:lastRenderedPageBreak/>
        <w:t>activity relationships and provide valuable insights into the molecular characteristics associated with biological activity, offering a roadmap for informed drug design strategies targeting PPAR gamma activation in diabetes treatment.</w:t>
      </w:r>
    </w:p>
    <w:p w:rsidR="00EC20BA" w:rsidRDefault="00EC20BA" w:rsidP="0006007B">
      <w:pPr>
        <w:rPr>
          <w:rFonts w:asciiTheme="majorBidi" w:hAnsiTheme="majorBidi" w:cstheme="majorBidi"/>
          <w:color w:val="0D0D0D"/>
          <w:sz w:val="24"/>
          <w:szCs w:val="24"/>
          <w:shd w:val="clear" w:color="auto" w:fill="FFFFFF"/>
        </w:rPr>
      </w:pPr>
    </w:p>
    <w:p w:rsidR="00EC20BA" w:rsidRDefault="00EC20BA" w:rsidP="00EC20BA">
      <w:pPr>
        <w:pStyle w:val="NormalWeb"/>
        <w:spacing w:before="0" w:beforeAutospacing="0" w:after="0" w:afterAutospacing="0" w:line="480" w:lineRule="auto"/>
        <w:ind w:left="720" w:hanging="720"/>
      </w:pPr>
      <w:r>
        <w:t xml:space="preserve">Ipsa </w:t>
      </w:r>
      <w:proofErr w:type="spellStart"/>
      <w:r>
        <w:t>Padhy</w:t>
      </w:r>
      <w:proofErr w:type="spellEnd"/>
      <w:r>
        <w:t xml:space="preserve">, Banerjee, B., Ganga, P., Gupta, P. P., &amp; Sharma, T. (2024). Design, synthesis, 2D-QSAR, molecular dynamic simulation, and biological evaluation of topiramate–phenolic acid conjugates as </w:t>
      </w:r>
      <w:proofErr w:type="spellStart"/>
      <w:r>
        <w:t>PPARγ</w:t>
      </w:r>
      <w:proofErr w:type="spellEnd"/>
      <w:r>
        <w:t xml:space="preserve"> inhibitors. </w:t>
      </w:r>
      <w:r>
        <w:rPr>
          <w:i/>
          <w:iCs/>
        </w:rPr>
        <w:t>Future Journal of Pharmaceutical Sciences</w:t>
      </w:r>
      <w:r>
        <w:t xml:space="preserve">, </w:t>
      </w:r>
      <w:r>
        <w:rPr>
          <w:i/>
          <w:iCs/>
        </w:rPr>
        <w:t>10</w:t>
      </w:r>
      <w:r>
        <w:t>(1). https://doi.org/10.1186/s43094-024-00617-1</w:t>
      </w:r>
    </w:p>
    <w:p w:rsidR="00EC20BA" w:rsidRDefault="00EC20BA" w:rsidP="00EC20BA">
      <w:pPr>
        <w:pStyle w:val="NormalWeb"/>
        <w:spacing w:before="0" w:beforeAutospacing="0" w:after="0" w:afterAutospacing="0" w:line="480" w:lineRule="auto"/>
        <w:ind w:left="720" w:hanging="720"/>
      </w:pPr>
      <w:proofErr w:type="spellStart"/>
      <w:r>
        <w:t>Tropsha</w:t>
      </w:r>
      <w:proofErr w:type="spellEnd"/>
      <w:r>
        <w:t xml:space="preserve">, A., Isayev, O., Varnek, A., Schneider, G., &amp; Cherkasov, A. (2023). Integrating QSAR modelling and deep learning in drug discovery: the emergence of deep QSAR. </w:t>
      </w:r>
      <w:r>
        <w:rPr>
          <w:i/>
          <w:iCs/>
        </w:rPr>
        <w:t>Nature Reviews Drug Discovery</w:t>
      </w:r>
      <w:r>
        <w:t>, 1–15. https://doi.org/10.1038/s41573-023-00832-0</w:t>
      </w:r>
    </w:p>
    <w:p w:rsidR="00EC20BA" w:rsidRPr="00EE3B9F" w:rsidRDefault="00EC20BA" w:rsidP="0006007B">
      <w:pPr>
        <w:rPr>
          <w:rFonts w:asciiTheme="majorBidi" w:hAnsiTheme="majorBidi" w:cstheme="majorBidi"/>
          <w:sz w:val="24"/>
          <w:szCs w:val="24"/>
        </w:rPr>
      </w:pPr>
    </w:p>
    <w:sectPr w:rsidR="00EC20BA" w:rsidRPr="00EE3B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rriweather">
    <w:altName w:val="Calibri"/>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F2647"/>
    <w:multiLevelType w:val="multilevel"/>
    <w:tmpl w:val="37726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8D5EEC"/>
    <w:multiLevelType w:val="multilevel"/>
    <w:tmpl w:val="A218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5154616">
    <w:abstractNumId w:val="1"/>
  </w:num>
  <w:num w:numId="2" w16cid:durableId="994145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166"/>
    <w:rsid w:val="0006007B"/>
    <w:rsid w:val="00176FEF"/>
    <w:rsid w:val="00261166"/>
    <w:rsid w:val="00263A8B"/>
    <w:rsid w:val="0030337E"/>
    <w:rsid w:val="00486F95"/>
    <w:rsid w:val="00641A3E"/>
    <w:rsid w:val="007A737E"/>
    <w:rsid w:val="009224BF"/>
    <w:rsid w:val="009A77C9"/>
    <w:rsid w:val="00AC5D23"/>
    <w:rsid w:val="00D231B3"/>
    <w:rsid w:val="00EA538E"/>
    <w:rsid w:val="00EC20BA"/>
    <w:rsid w:val="00EE3B9F"/>
    <w:rsid w:val="00F356A5"/>
    <w:rsid w:val="00F906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9EA2D"/>
  <w15:chartTrackingRefBased/>
  <w15:docId w15:val="{590BCF8F-884F-4E2D-B726-54C9D137E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1A3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41A3E"/>
    <w:rPr>
      <w:b/>
      <w:bCs/>
    </w:rPr>
  </w:style>
  <w:style w:type="table" w:styleId="TableGrid">
    <w:name w:val="Table Grid"/>
    <w:basedOn w:val="TableNormal"/>
    <w:uiPriority w:val="39"/>
    <w:rsid w:val="00641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41A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semiHidden/>
    <w:unhideWhenUsed/>
    <w:rsid w:val="00486F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964907">
      <w:bodyDiv w:val="1"/>
      <w:marLeft w:val="0"/>
      <w:marRight w:val="0"/>
      <w:marTop w:val="0"/>
      <w:marBottom w:val="0"/>
      <w:divBdr>
        <w:top w:val="none" w:sz="0" w:space="0" w:color="auto"/>
        <w:left w:val="none" w:sz="0" w:space="0" w:color="auto"/>
        <w:bottom w:val="none" w:sz="0" w:space="0" w:color="auto"/>
        <w:right w:val="none" w:sz="0" w:space="0" w:color="auto"/>
      </w:divBdr>
    </w:div>
    <w:div w:id="381943956">
      <w:bodyDiv w:val="1"/>
      <w:marLeft w:val="0"/>
      <w:marRight w:val="0"/>
      <w:marTop w:val="0"/>
      <w:marBottom w:val="0"/>
      <w:divBdr>
        <w:top w:val="none" w:sz="0" w:space="0" w:color="auto"/>
        <w:left w:val="none" w:sz="0" w:space="0" w:color="auto"/>
        <w:bottom w:val="none" w:sz="0" w:space="0" w:color="auto"/>
        <w:right w:val="none" w:sz="0" w:space="0" w:color="auto"/>
      </w:divBdr>
    </w:div>
    <w:div w:id="598946632">
      <w:bodyDiv w:val="1"/>
      <w:marLeft w:val="0"/>
      <w:marRight w:val="0"/>
      <w:marTop w:val="0"/>
      <w:marBottom w:val="0"/>
      <w:divBdr>
        <w:top w:val="none" w:sz="0" w:space="0" w:color="auto"/>
        <w:left w:val="none" w:sz="0" w:space="0" w:color="auto"/>
        <w:bottom w:val="none" w:sz="0" w:space="0" w:color="auto"/>
        <w:right w:val="none" w:sz="0" w:space="0" w:color="auto"/>
      </w:divBdr>
      <w:divsChild>
        <w:div w:id="419643988">
          <w:marLeft w:val="-720"/>
          <w:marRight w:val="0"/>
          <w:marTop w:val="0"/>
          <w:marBottom w:val="0"/>
          <w:divBdr>
            <w:top w:val="none" w:sz="0" w:space="0" w:color="auto"/>
            <w:left w:val="none" w:sz="0" w:space="0" w:color="auto"/>
            <w:bottom w:val="none" w:sz="0" w:space="0" w:color="auto"/>
            <w:right w:val="none" w:sz="0" w:space="0" w:color="auto"/>
          </w:divBdr>
        </w:div>
      </w:divsChild>
    </w:div>
    <w:div w:id="833764940">
      <w:bodyDiv w:val="1"/>
      <w:marLeft w:val="0"/>
      <w:marRight w:val="0"/>
      <w:marTop w:val="0"/>
      <w:marBottom w:val="0"/>
      <w:divBdr>
        <w:top w:val="none" w:sz="0" w:space="0" w:color="auto"/>
        <w:left w:val="none" w:sz="0" w:space="0" w:color="auto"/>
        <w:bottom w:val="none" w:sz="0" w:space="0" w:color="auto"/>
        <w:right w:val="none" w:sz="0" w:space="0" w:color="auto"/>
      </w:divBdr>
    </w:div>
    <w:div w:id="845873382">
      <w:bodyDiv w:val="1"/>
      <w:marLeft w:val="0"/>
      <w:marRight w:val="0"/>
      <w:marTop w:val="0"/>
      <w:marBottom w:val="0"/>
      <w:divBdr>
        <w:top w:val="none" w:sz="0" w:space="0" w:color="auto"/>
        <w:left w:val="none" w:sz="0" w:space="0" w:color="auto"/>
        <w:bottom w:val="none" w:sz="0" w:space="0" w:color="auto"/>
        <w:right w:val="none" w:sz="0" w:space="0" w:color="auto"/>
      </w:divBdr>
      <w:divsChild>
        <w:div w:id="1554274261">
          <w:marLeft w:val="-720"/>
          <w:marRight w:val="0"/>
          <w:marTop w:val="0"/>
          <w:marBottom w:val="0"/>
          <w:divBdr>
            <w:top w:val="none" w:sz="0" w:space="0" w:color="auto"/>
            <w:left w:val="none" w:sz="0" w:space="0" w:color="auto"/>
            <w:bottom w:val="none" w:sz="0" w:space="0" w:color="auto"/>
            <w:right w:val="none" w:sz="0" w:space="0" w:color="auto"/>
          </w:divBdr>
        </w:div>
      </w:divsChild>
    </w:div>
    <w:div w:id="1007900339">
      <w:bodyDiv w:val="1"/>
      <w:marLeft w:val="0"/>
      <w:marRight w:val="0"/>
      <w:marTop w:val="0"/>
      <w:marBottom w:val="0"/>
      <w:divBdr>
        <w:top w:val="none" w:sz="0" w:space="0" w:color="auto"/>
        <w:left w:val="none" w:sz="0" w:space="0" w:color="auto"/>
        <w:bottom w:val="none" w:sz="0" w:space="0" w:color="auto"/>
        <w:right w:val="none" w:sz="0" w:space="0" w:color="auto"/>
      </w:divBdr>
    </w:div>
    <w:div w:id="1215199147">
      <w:bodyDiv w:val="1"/>
      <w:marLeft w:val="0"/>
      <w:marRight w:val="0"/>
      <w:marTop w:val="0"/>
      <w:marBottom w:val="0"/>
      <w:divBdr>
        <w:top w:val="none" w:sz="0" w:space="0" w:color="auto"/>
        <w:left w:val="none" w:sz="0" w:space="0" w:color="auto"/>
        <w:bottom w:val="none" w:sz="0" w:space="0" w:color="auto"/>
        <w:right w:val="none" w:sz="0" w:space="0" w:color="auto"/>
      </w:divBdr>
    </w:div>
    <w:div w:id="1232539691">
      <w:bodyDiv w:val="1"/>
      <w:marLeft w:val="0"/>
      <w:marRight w:val="0"/>
      <w:marTop w:val="0"/>
      <w:marBottom w:val="0"/>
      <w:divBdr>
        <w:top w:val="none" w:sz="0" w:space="0" w:color="auto"/>
        <w:left w:val="none" w:sz="0" w:space="0" w:color="auto"/>
        <w:bottom w:val="none" w:sz="0" w:space="0" w:color="auto"/>
        <w:right w:val="none" w:sz="0" w:space="0" w:color="auto"/>
      </w:divBdr>
    </w:div>
    <w:div w:id="1546066998">
      <w:bodyDiv w:val="1"/>
      <w:marLeft w:val="0"/>
      <w:marRight w:val="0"/>
      <w:marTop w:val="0"/>
      <w:marBottom w:val="0"/>
      <w:divBdr>
        <w:top w:val="none" w:sz="0" w:space="0" w:color="auto"/>
        <w:left w:val="none" w:sz="0" w:space="0" w:color="auto"/>
        <w:bottom w:val="none" w:sz="0" w:space="0" w:color="auto"/>
        <w:right w:val="none" w:sz="0" w:space="0" w:color="auto"/>
      </w:divBdr>
    </w:div>
    <w:div w:id="1581910011">
      <w:bodyDiv w:val="1"/>
      <w:marLeft w:val="0"/>
      <w:marRight w:val="0"/>
      <w:marTop w:val="0"/>
      <w:marBottom w:val="0"/>
      <w:divBdr>
        <w:top w:val="none" w:sz="0" w:space="0" w:color="auto"/>
        <w:left w:val="none" w:sz="0" w:space="0" w:color="auto"/>
        <w:bottom w:val="none" w:sz="0" w:space="0" w:color="auto"/>
        <w:right w:val="none" w:sz="0" w:space="0" w:color="auto"/>
      </w:divBdr>
    </w:div>
    <w:div w:id="1707758135">
      <w:bodyDiv w:val="1"/>
      <w:marLeft w:val="0"/>
      <w:marRight w:val="0"/>
      <w:marTop w:val="0"/>
      <w:marBottom w:val="0"/>
      <w:divBdr>
        <w:top w:val="none" w:sz="0" w:space="0" w:color="auto"/>
        <w:left w:val="none" w:sz="0" w:space="0" w:color="auto"/>
        <w:bottom w:val="none" w:sz="0" w:space="0" w:color="auto"/>
        <w:right w:val="none" w:sz="0" w:space="0" w:color="auto"/>
      </w:divBdr>
    </w:div>
    <w:div w:id="199224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10</Pages>
  <Words>2209</Words>
  <Characters>12595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Mohamed Korayem</dc:creator>
  <cp:keywords/>
  <dc:description/>
  <cp:lastModifiedBy>Sara Mohamed Korayem</cp:lastModifiedBy>
  <cp:revision>3</cp:revision>
  <dcterms:created xsi:type="dcterms:W3CDTF">2024-06-03T11:53:00Z</dcterms:created>
  <dcterms:modified xsi:type="dcterms:W3CDTF">2024-06-03T16:11:00Z</dcterms:modified>
</cp:coreProperties>
</file>