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Analyse Exploratoire des Données (EDA)</w:t>
      </w:r>
    </w:p>
    <w:p>
      <w:pPr>
        <w:pStyle w:val="Heading2"/>
      </w:pPr>
      <w:r>
        <w:t>Histogrammes des variables numériques</w:t>
      </w:r>
    </w:p>
    <w:p>
      <w:pPr>
        <w:pStyle w:val="Heading3"/>
      </w:pPr>
      <w:r>
        <w:t>Histogramme de Age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Boxplots pour la détection des valeurs aberrantes</w:t>
      </w:r>
    </w:p>
    <w:p>
      <w:pPr>
        <w:pStyle w:val="Heading3"/>
      </w:pPr>
      <w:r>
        <w:t>Boxplot de Age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_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Distribution de la variable cible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Relation entre les symptômes et la classe</w:t>
      </w:r>
    </w:p>
    <w:p>
      <w:pPr>
        <w:pStyle w:val="Heading3"/>
      </w:pPr>
      <w:r>
        <w:t>Gender vs classe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_Gen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Polyuria vs classe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_Polyu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Polydipsia vs classe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_Polydips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sudden weight loss vs classe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_sudden_weight_lo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weakness vs classe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_weakne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Polyphagia vs classe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_Polyphag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Genital thrush vs classe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_Genital_thrus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visual blurring vs classe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_visual_blurr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Itching vs classe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_Itch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Irritability vs classe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_Irritabil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delayed healing vs classe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_delayed_heal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partial paresis vs classe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_partial_paresi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muscle stiffness vs classe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_muscle_stiffnes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Alopecia vs classe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_Alopeci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Obesity vs classe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_Obesit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Matrice de corrélation détaillée</w:t>
      </w:r>
    </w:p>
    <w:p>
      <w:r>
        <w:drawing>
          <wp:inline xmlns:a="http://schemas.openxmlformats.org/drawingml/2006/main" xmlns:pic="http://schemas.openxmlformats.org/drawingml/2006/picture">
            <wp:extent cx="5486400" cy="470262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_detail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62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