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line="240" w:lineRule="auto"/>
        <w:jc w:val="center"/>
      </w:pPr>
      <w:r>
        <w:rPr>
          <w:rFonts w:ascii="Simplified Arabic" w:cs="Simplified Arabic" w:eastAsia="Simplified Arabic" w:hAnsi="Simplified Arabic"/>
          <w:b/>
          <w:bCs/>
          <w:sz w:val="28"/>
          <w:szCs w:val="28"/>
          <w:rtl/>
        </w:rPr>
        <w:t xml:space="preserve">جمهورية مصر العربية</w:t>
      </w:r>
    </w:p>
    <w:p>
      <w:pPr>
        <w:bidi/>
        <w:spacing w:after="80" w:line="240" w:lineRule="auto"/>
        <w:jc w:val="center"/>
      </w:pPr>
      <w:r>
        <w:rPr>
          <w:rFonts w:ascii="Simplified Arabic" w:cs="Simplified Arabic" w:eastAsia="Simplified Arabic" w:hAnsi="Simplified Arabic"/>
          <w:b/>
          <w:bCs/>
          <w:sz w:val="32"/>
          <w:szCs w:val="32"/>
          <w:rtl/>
        </w:rPr>
        <w:t xml:space="preserve">جامعة الإسكندرية – كلية الأعمال</w:t>
      </w:r>
    </w:p>
    <w:p>
      <w:pPr>
        <w:spacing w:after="160" w:line="240" w:lineRule="auto"/>
        <w:jc w:val="center"/>
      </w:pPr>
      <w:r>
        <w:rPr>
          <w:rFonts w:ascii="Times New Roman" w:cs="Times New Roman" w:eastAsia="Times New Roman" w:hAnsi="Times New Roman"/>
          <w:b/>
          <w:bCs/>
          <w:sz w:val="28"/>
          <w:szCs w:val="28"/>
        </w:rPr>
        <w:t xml:space="preserve">Alexandria University – Faculty of Business</w:t>
      </w:r>
    </w:p>
    <w:p>
      <w:pPr>
        <w:spacing w:after="160"/>
        <w:jc w:val="center"/>
      </w:pPr>
      <w:r>
        <w:drawing>
          <wp:inline distT="0" distB="0" distL="0" distR="0">
            <wp:extent cx="904875"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1266825"/>
                    </a:xfrm>
                    <a:prstGeom prst="rect">
                      <a:avLst/>
                    </a:prstGeom>
                  </pic:spPr>
                </pic:pic>
              </a:graphicData>
            </a:graphic>
          </wp:inline>
        </w:drawing>
      </w:r>
    </w:p>
    <w:p>
      <w:pPr>
        <w:pBdr>
          <w:bottom w:val="single" w:color="1F3A56" w:sz="8" w:space="6"/>
        </w:pBdr>
        <w:spacing w:after="160"/>
      </w:pPr>
      <w:r>
        <w:rPr>
          <w:rFonts w:ascii="Times New Roman" w:cs="Times New Roman" w:eastAsia="Times New Roman" w:hAnsi="Times New Roman"/>
          <w:sz w:val="28"/>
          <w:szCs w:val="28"/>
        </w:rPr>
        <w:t xml:space="preserve"/>
      </w:r>
    </w:p>
    <w:p>
      <w:pPr>
        <w:bidi/>
        <w:spacing w:after="80" w:line="240" w:lineRule="auto"/>
        <w:jc w:val="center"/>
      </w:pPr>
      <w:r>
        <w:rPr>
          <w:rFonts w:ascii="Simplified Arabic" w:cs="Simplified Arabic" w:eastAsia="Simplified Arabic" w:hAnsi="Simplified Arabic"/>
          <w:b/>
          <w:bCs/>
          <w:sz w:val="28"/>
          <w:szCs w:val="28"/>
          <w:rtl/>
        </w:rPr>
        <w:t xml:space="preserve">المؤتمر العلمي</w:t>
      </w:r>
    </w:p>
    <w:p>
      <w:pPr>
        <w:bidi/>
        <w:spacing w:after="80" w:line="240" w:lineRule="auto"/>
        <w:jc w:val="center"/>
      </w:pPr>
      <w:r>
        <w:rPr>
          <w:rFonts w:ascii="Simplified Arabic" w:cs="Simplified Arabic" w:eastAsia="Simplified Arabic" w:hAnsi="Simplified Arabic"/>
          <w:b/>
          <w:bCs/>
          <w:sz w:val="32"/>
          <w:szCs w:val="32"/>
          <w:rtl/>
        </w:rPr>
        <w:t xml:space="preserve">«الاستدامة الرقمية لتحقيق رؤية مصر 2030»</w:t>
      </w:r>
    </w:p>
    <w:p>
      <w:pPr>
        <w:spacing w:after="160" w:line="240" w:lineRule="auto"/>
        <w:jc w:val="center"/>
      </w:pPr>
      <w:r>
        <w:rPr>
          <w:rFonts w:ascii="Times New Roman" w:cs="Times New Roman" w:eastAsia="Times New Roman" w:hAnsi="Times New Roman"/>
          <w:b/>
          <w:bCs/>
          <w:sz w:val="28"/>
          <w:szCs w:val="28"/>
        </w:rPr>
        <w:t xml:space="preserve">Scientific Conference on Digital Sustainability for Achieving Egypt Vision 2030</w:t>
      </w:r>
    </w:p>
    <w:p>
      <w:pPr>
        <w:pBdr>
          <w:bottom w:val="single" w:color="1F3A56" w:sz="8" w:space="6"/>
        </w:pBdr>
        <w:spacing w:after="160"/>
      </w:pPr>
      <w:r>
        <w:rPr>
          <w:rFonts w:ascii="Times New Roman" w:cs="Times New Roman" w:eastAsia="Times New Roman" w:hAnsi="Times New Roman"/>
          <w:sz w:val="28"/>
          <w:szCs w:val="28"/>
        </w:rPr>
        <w:t xml:space="preserve"/>
      </w:r>
    </w:p>
    <w:p>
      <w:pPr>
        <w:spacing w:after="60" w:line="240" w:lineRule="auto"/>
        <w:jc w:val="center"/>
      </w:pPr>
      <w:r>
        <w:rPr>
          <w:rFonts w:ascii="Times New Roman" w:cs="Times New Roman" w:eastAsia="Times New Roman" w:hAnsi="Times New Roman"/>
          <w:b w:val="false"/>
          <w:bCs w:val="false"/>
          <w:sz w:val="28"/>
          <w:szCs w:val="28"/>
        </w:rPr>
        <w:t xml:space="preserve">Research Paper Submitted to</w:t>
      </w:r>
    </w:p>
    <w:p>
      <w:pPr>
        <w:spacing w:after="160" w:line="240" w:lineRule="auto"/>
        <w:jc w:val="center"/>
      </w:pPr>
      <w:r>
        <w:rPr>
          <w:rFonts w:ascii="Times New Roman" w:cs="Times New Roman" w:eastAsia="Times New Roman" w:hAnsi="Times New Roman"/>
          <w:b/>
          <w:bCs/>
          <w:sz w:val="28"/>
          <w:szCs w:val="28"/>
        </w:rPr>
        <w:t xml:space="preserve">the Faculty of Business, Alexandria University, Arab Republic of Egypt</w:t>
      </w:r>
    </w:p>
    <w:p>
      <w:pPr>
        <w:bidi/>
        <w:spacing w:after="80" w:line="240" w:lineRule="auto"/>
        <w:jc w:val="center"/>
      </w:pPr>
      <w:r>
        <w:rPr>
          <w:rFonts w:ascii="Simplified Arabic" w:cs="Simplified Arabic" w:eastAsia="Simplified Arabic" w:hAnsi="Simplified Arabic"/>
          <w:b w:val="false"/>
          <w:bCs w:val="false"/>
          <w:sz w:val="28"/>
          <w:szCs w:val="28"/>
          <w:rtl/>
        </w:rPr>
        <w:t xml:space="preserve">بحث مقدم إلى كلية الأعمال – جامعة الإسكندرية</w:t>
      </w:r>
    </w:p>
    <w:p>
      <w:pPr>
        <w:spacing w:after="160"/>
      </w:pPr>
      <w:r>
        <w:rPr>
          <w:rFonts w:ascii="Times New Roman" w:cs="Times New Roman" w:eastAsia="Times New Roman" w:hAnsi="Times New Roman"/>
          <w:sz w:val="28"/>
          <w:szCs w:val="28"/>
        </w:rPr>
        <w:t xml:space="preserve"/>
      </w:r>
    </w:p>
    <w:p>
      <w:pPr>
        <w:spacing w:after="160" w:line="240" w:lineRule="auto"/>
        <w:jc w:val="center"/>
      </w:pPr>
      <w:r>
        <w:rPr>
          <w:rFonts w:ascii="Times New Roman" w:cs="Times New Roman" w:eastAsia="Times New Roman" w:hAnsi="Times New Roman"/>
          <w:b/>
          <w:bCs/>
          <w:sz w:val="32"/>
          <w:szCs w:val="32"/>
        </w:rPr>
        <w:t xml:space="preserve">The Transition to Digital Accounting and Financial Reporting and the Institutionalisation of Green Accounting for Digital Sustainability in Egypt in Light of Egypt Vision 2030: An Analytical Study</w:t>
      </w:r>
    </w:p>
    <w:p>
      <w:pPr>
        <w:spacing w:after="160"/>
      </w:pPr>
      <w:r>
        <w:rPr>
          <w:rFonts w:ascii="Times New Roman" w:cs="Times New Roman" w:eastAsia="Times New Roman" w:hAnsi="Times New Roman"/>
          <w:sz w:val="28"/>
          <w:szCs w:val="28"/>
        </w:rPr>
        <w:t xml:space="preserve"/>
      </w:r>
    </w:p>
    <w:p>
      <w:pPr>
        <w:spacing w:after="60" w:line="240" w:lineRule="auto"/>
        <w:jc w:val="center"/>
      </w:pPr>
      <w:r>
        <w:rPr>
          <w:rFonts w:ascii="Times New Roman" w:cs="Times New Roman" w:eastAsia="Times New Roman" w:hAnsi="Times New Roman"/>
          <w:b w:val="false"/>
          <w:bCs w:val="false"/>
          <w:sz w:val="28"/>
          <w:szCs w:val="28"/>
        </w:rPr>
        <w:t xml:space="preserve">Prepared by</w:t>
      </w:r>
    </w:p>
    <w:p>
      <w:pPr>
        <w:spacing w:after="60" w:line="240" w:lineRule="auto"/>
        <w:jc w:val="center"/>
      </w:pPr>
      <w:r>
        <w:rPr>
          <w:rFonts w:ascii="Times New Roman" w:cs="Times New Roman" w:eastAsia="Times New Roman" w:hAnsi="Times New Roman"/>
          <w:b/>
          <w:bCs/>
          <w:sz w:val="30"/>
          <w:szCs w:val="30"/>
        </w:rPr>
        <w:t xml:space="preserve">Dr. Sara Salem</w:t>
      </w:r>
    </w:p>
    <w:p>
      <w:pPr>
        <w:bidi/>
        <w:spacing w:after="80" w:line="240" w:lineRule="auto"/>
        <w:jc w:val="center"/>
      </w:pPr>
      <w:r>
        <w:rPr>
          <w:rFonts w:ascii="Simplified Arabic" w:cs="Simplified Arabic" w:eastAsia="Simplified Arabic" w:hAnsi="Simplified Arabic"/>
          <w:b/>
          <w:bCs/>
          <w:sz w:val="28"/>
          <w:szCs w:val="28"/>
          <w:rtl/>
        </w:rPr>
        <w:t xml:space="preserve">د. سارة سالم</w:t>
      </w:r>
    </w:p>
    <w:p>
      <w:pPr>
        <w:spacing w:after="240"/>
      </w:pPr>
      <w:r>
        <w:rPr>
          <w:rFonts w:ascii="Times New Roman" w:cs="Times New Roman" w:eastAsia="Times New Roman" w:hAnsi="Times New Roman"/>
          <w:sz w:val="28"/>
          <w:szCs w:val="28"/>
        </w:rPr>
        <w:t xml:space="preserve"/>
      </w:r>
    </w:p>
    <w:p>
      <w:pPr>
        <w:spacing w:after="0" w:line="240" w:lineRule="auto"/>
        <w:jc w:val="center"/>
      </w:pPr>
      <w:r>
        <w:rPr>
          <w:rFonts w:ascii="Times New Roman" w:cs="Times New Roman" w:eastAsia="Times New Roman" w:hAnsi="Times New Roman"/>
          <w:b w:val="false"/>
          <w:bCs w:val="false"/>
          <w:sz w:val="28"/>
          <w:szCs w:val="28"/>
        </w:rPr>
        <w:t xml:space="preserve">September 2026</w:t>
      </w:r>
    </w:p>
    <w:p>
      <w:pPr>
        <w:sectPr>
          <w:pgSz w:w="11905" w:h="16837" w:orient="portrait"/>
          <w:pgMar w:top="1701" w:right="1701" w:bottom="1701" w:left="1701" w:header="708" w:footer="708" w:gutter="0"/>
          <w:pgNumType/>
          <w:docGrid w:linePitch="360"/>
        </w:sectPr>
      </w:pPr>
    </w:p>
    <w:p>
      <w:pPr>
        <w:spacing w:after="240" w:line="240" w:lineRule="auto"/>
        <w:jc w:val="center"/>
      </w:pPr>
      <w:r>
        <w:rPr>
          <w:rFonts w:ascii="Times New Roman" w:cs="Times New Roman" w:eastAsia="Times New Roman" w:hAnsi="Times New Roman"/>
          <w:b/>
          <w:bCs/>
          <w:sz w:val="32"/>
          <w:szCs w:val="32"/>
        </w:rPr>
        <w:t xml:space="preserve">The Transition to Digital Accounting and Financial Reporting and the Institutionalisation of Green Accounting for Digital Sustainability in Egypt in Light of Egypt Vision 2030: An Analytical Study</w:t>
      </w:r>
    </w:p>
    <w:p>
      <w:pPr>
        <w:pStyle w:val="Heading1"/>
        <w:spacing w:after="120" w:before="260" w:line="240" w:lineRule="auto"/>
        <w:jc w:val="left"/>
      </w:pPr>
      <w:r>
        <w:rPr>
          <w:rFonts w:ascii="Times New Roman" w:cs="Times New Roman" w:eastAsia="Times New Roman" w:hAnsi="Times New Roman"/>
          <w:b/>
          <w:bCs/>
          <w:sz w:val="28"/>
          <w:szCs w:val="28"/>
        </w:rPr>
        <w:t xml:space="preserve">Abstract</w:t>
      </w:r>
    </w:p>
    <w:p>
      <w:pPr>
        <w:spacing w:after="120" w:line="240" w:lineRule="auto"/>
        <w:jc w:val="both"/>
      </w:pPr>
      <w:r>
        <w:rPr>
          <w:rFonts w:ascii="Times New Roman" w:cs="Times New Roman" w:eastAsia="Times New Roman" w:hAnsi="Times New Roman"/>
          <w:b w:val="false"/>
          <w:bCs w:val="false"/>
          <w:sz w:val="28"/>
          <w:szCs w:val="28"/>
        </w:rPr>
        <w:t xml:space="preserve">The convergence of digital transformation and sustainability has redefined the boundaries of the accounting discipline, shifting it from a retrospective record of financial transactions towards a real-time, multi-dimensional information system that reports on financial, environmental, social and governance performance simultaneously. This study examines that convergence in the Egyptian context, where a state-led digitalisation agenda and a maturing sustainability disclosure regime have advanced in parallel under the Sustainable Development Strategy known as Egypt Vision 2030. The study aims to analyse the drivers and current state of the transition to digital accounting and financial reporting in Egypt, to examine how the regulatory architecture of sustainability disclosure has reshaped the reporting function, to assess the extent to which green accounting can be embedded within digital infrastructure rather than layered upon it, and to identify the institutional, professional and technical constraints that impede integration. A descriptive-analytical method is adopted, relying on the documentary analysis of secondary sources comprising peer-reviewed literature, regulatory instruments, national strategy documents and reports of international standard-setters issued between 2016 and 2026. The analysis concludes that digitalisation in Egypt has advanced more rapidly in transaction capture and tax administration than in sustainability measurement and assurance; that mandatory disclosure has produced compliance-oriented rather than decision-oriented reporting; that green accounting remains largely detached from core accounting information systems; and that the binding constraint is institutional and human rather than technological. The study recommends that sustainability data be governed, controlled and assured with the same rigour applied to financial data, through a unified digital reporting architecture rather than a parallel one.</w:t>
      </w:r>
    </w:p>
    <w:p>
      <w:pPr>
        <w:spacing w:after="120" w:line="240" w:lineRule="auto"/>
        <w:jc w:val="both"/>
      </w:pPr>
      <w:r>
        <w:rPr>
          <w:rFonts w:ascii="Times New Roman" w:cs="Times New Roman" w:eastAsia="Times New Roman" w:hAnsi="Times New Roman"/>
          <w:b/>
          <w:bCs/>
          <w:sz w:val="28"/>
          <w:szCs w:val="28"/>
        </w:rPr>
        <w:t xml:space="preserve">Keywords:</w:t>
      </w:r>
      <w:r>
        <w:rPr>
          <w:rFonts w:ascii="Times New Roman" w:cs="Times New Roman" w:eastAsia="Times New Roman" w:hAnsi="Times New Roman"/>
          <w:b w:val="false"/>
          <w:bCs w:val="false"/>
          <w:sz w:val="28"/>
          <w:szCs w:val="28"/>
        </w:rPr>
        <w:t xml:space="preserve"> Digital accounting; Digital financial reporting; Green accounting; Digital sustainability; ESG disclosure; Egypt Vision 2030; Emerging markets.</w:t>
      </w:r>
    </w:p>
    <w:p>
      <w:pPr>
        <w:pStyle w:val="Heading1"/>
        <w:spacing w:after="120" w:before="260" w:line="240" w:lineRule="auto"/>
        <w:jc w:val="left"/>
      </w:pPr>
      <w:r>
        <w:rPr>
          <w:rFonts w:ascii="Times New Roman" w:cs="Times New Roman" w:eastAsia="Times New Roman" w:hAnsi="Times New Roman"/>
          <w:b/>
          <w:bCs/>
          <w:sz w:val="28"/>
          <w:szCs w:val="28"/>
        </w:rPr>
        <w:t xml:space="preserve">1. Introduction</w:t>
      </w:r>
    </w:p>
    <w:p>
      <w:pPr>
        <w:spacing w:after="120" w:line="240" w:lineRule="auto"/>
        <w:jc w:val="both"/>
      </w:pPr>
      <w:r>
        <w:rPr>
          <w:rFonts w:ascii="Times New Roman" w:cs="Times New Roman" w:eastAsia="Times New Roman" w:hAnsi="Times New Roman"/>
          <w:b w:val="false"/>
          <w:bCs w:val="false"/>
          <w:sz w:val="28"/>
          <w:szCs w:val="28"/>
        </w:rPr>
        <w:t xml:space="preserve">Accounting has historically derived its authority from its capacity to represent economic reality in a form that is verifiable, comparable and useful for decision-making. Two simultaneous developments have unsettled that settlement. The first is technological: enterprise resource planning systems, cloud computing, robotic process automation, data analytics, artificial intelligence and distributed ledger technologies have altered how accounting data are captured, processed, verified and communicated, compressing the reporting cycle and displacing many of the manual procedures around which the profession organised itself (Han et al., 2023; Jędrzejka, 2019). The second is normative: the recognition that environmental degradation and climate change constitute financially material risks has extended the reporting boundary beyond the transactions of the reporting entity to encompass its resource consumption, emissions and social externalities (Burritt &amp; Schaltegger, 2010; IFRS Foundation, 2023a).</w:t>
      </w:r>
    </w:p>
    <w:p>
      <w:pPr>
        <w:spacing w:after="120" w:line="240" w:lineRule="auto"/>
        <w:jc w:val="both"/>
      </w:pPr>
      <w:r>
        <w:rPr>
          <w:rFonts w:ascii="Times New Roman" w:cs="Times New Roman" w:eastAsia="Times New Roman" w:hAnsi="Times New Roman"/>
          <w:b w:val="false"/>
          <w:bCs w:val="false"/>
          <w:sz w:val="28"/>
          <w:szCs w:val="28"/>
        </w:rPr>
        <w:t xml:space="preserve">In Egypt these two developments have unfolded within an explicit national policy frame. Egypt Vision 2030 identifies digital transformation and technological innovation among the instruments through which sustainable development is to be delivered, while treating environmental sustainability as one of its three constitutive dimensions (Ministry of Planning and Economic Development, 2023). The state has translated this orientation into concrete infrastructure, most visibly through the mandatory electronic invoicing and electronic receipt systems administered by the Egyptian Tax Authority, and into concrete disclosure obligations, most visibly through Decrees No. 107 and No. 108 of 2021 issued by the Financial Regulatory Authority, which require entities listed on the Egyptian Exchange and non-bank financial institutions above defined capital thresholds to publish annual environmental, social and governance disclosures, with additional climate-related financial disclosures for larger entities (Financial Regulatory Authority, 2021).</w:t>
      </w:r>
    </w:p>
    <w:p>
      <w:pPr>
        <w:spacing w:after="120" w:line="240" w:lineRule="auto"/>
        <w:jc w:val="both"/>
      </w:pPr>
      <w:r>
        <w:rPr>
          <w:rFonts w:ascii="Times New Roman" w:cs="Times New Roman" w:eastAsia="Times New Roman" w:hAnsi="Times New Roman"/>
          <w:b w:val="false"/>
          <w:bCs w:val="false"/>
          <w:sz w:val="28"/>
          <w:szCs w:val="28"/>
        </w:rPr>
        <w:t xml:space="preserve">The difficulty is that these two tracks have progressed largely in isolation from one another. Digitalisation has been driven primarily by fiscal and administrative imperatives concerned with transaction visibility and revenue protection, whereas sustainability reporting has been driven by capital-market and regulatory imperatives concerned with disclosure. A plausible implication — theoretical rather than documented, since this study draws on no survey, interview or case-study evidence of individual entities' internal practices — is that environmental and social data in many Egyptian entities are compiled outside the accounting information system, for instance in spreadsheets maintained by sustainability functions, rather than through the controls that govern financial data. If that expectation holds, green accounting, understood as the systematic identification, measurement and allocation of environmental costs and benefits within the entity's accounting system, would remain a reporting exercise rather than a measurement discipline.</w:t>
      </w:r>
    </w:p>
    <w:p>
      <w:pPr>
        <w:pStyle w:val="Heading1"/>
        <w:spacing w:after="120" w:before="260" w:line="240" w:lineRule="auto"/>
        <w:jc w:val="left"/>
      </w:pPr>
      <w:r>
        <w:rPr>
          <w:rFonts w:ascii="Times New Roman" w:cs="Times New Roman" w:eastAsia="Times New Roman" w:hAnsi="Times New Roman"/>
          <w:b/>
          <w:bCs/>
          <w:sz w:val="28"/>
          <w:szCs w:val="28"/>
        </w:rPr>
        <w:t xml:space="preserve">2. Research Problem</w:t>
      </w:r>
    </w:p>
    <w:p>
      <w:pPr>
        <w:spacing w:after="120" w:line="240" w:lineRule="auto"/>
        <w:jc w:val="both"/>
      </w:pPr>
      <w:r>
        <w:rPr>
          <w:rFonts w:ascii="Times New Roman" w:cs="Times New Roman" w:eastAsia="Times New Roman" w:hAnsi="Times New Roman"/>
          <w:b w:val="false"/>
          <w:bCs w:val="false"/>
          <w:sz w:val="28"/>
          <w:szCs w:val="28"/>
        </w:rPr>
        <w:t xml:space="preserve">The research problem may therefore be stated as follows: to what extent does the transition to digital accounting and financial reporting in Egypt provide an operative infrastructure for institutionalising green accounting and digital sustainability, and what conditions must be satisfied for that potential to be realised in alignment with Egypt Vision 2030?</w:t>
      </w:r>
    </w:p>
    <w:p>
      <w:pPr>
        <w:spacing w:after="120" w:line="240" w:lineRule="auto"/>
        <w:jc w:val="both"/>
      </w:pPr>
      <w:r>
        <w:rPr>
          <w:rFonts w:ascii="Times New Roman" w:cs="Times New Roman" w:eastAsia="Times New Roman" w:hAnsi="Times New Roman"/>
          <w:b w:val="false"/>
          <w:bCs w:val="false"/>
          <w:sz w:val="28"/>
          <w:szCs w:val="28"/>
        </w:rPr>
        <w:t xml:space="preserve">The principal question addressed by this study is: how can the transition to digital accounting and financial reporting in Egypt be leveraged to institutionalise green accounting and digital sustainability in a manner consistent with Egypt Vision 2030?</w:t>
      </w:r>
    </w:p>
    <w:p>
      <w:pPr>
        <w:spacing w:after="120" w:line="240" w:lineRule="auto"/>
        <w:jc w:val="both"/>
      </w:pPr>
      <w:r>
        <w:rPr>
          <w:rFonts w:ascii="Times New Roman" w:cs="Times New Roman" w:eastAsia="Times New Roman" w:hAnsi="Times New Roman"/>
          <w:b w:val="false"/>
          <w:bCs w:val="false"/>
          <w:sz w:val="28"/>
          <w:szCs w:val="28"/>
        </w:rPr>
        <w:t xml:space="preserve">This principal question is decomposed into four subsidiary questions:</w:t>
      </w:r>
    </w:p>
    <w:p>
      <w:pPr>
        <w:spacing w:after="60" w:line="240" w:lineRule="auto"/>
        <w:ind w:left="425" w:hanging="283"/>
        <w:jc w:val="both"/>
      </w:pPr>
      <w:r>
        <w:rPr>
          <w:rFonts w:ascii="Times New Roman" w:cs="Times New Roman" w:eastAsia="Times New Roman" w:hAnsi="Times New Roman"/>
          <w:b w:val="false"/>
          <w:bCs w:val="false"/>
          <w:sz w:val="28"/>
          <w:szCs w:val="28"/>
        </w:rPr>
        <w:t xml:space="preserve">1. What are the drivers and defining features of the transition to digital accounting and financial reporting in Egypt, and how far has that transition progressed?</w:t>
      </w:r>
    </w:p>
    <w:p>
      <w:pPr>
        <w:spacing w:after="60" w:line="240" w:lineRule="auto"/>
        <w:ind w:left="425" w:hanging="283"/>
        <w:jc w:val="both"/>
      </w:pPr>
      <w:r>
        <w:rPr>
          <w:rFonts w:ascii="Times New Roman" w:cs="Times New Roman" w:eastAsia="Times New Roman" w:hAnsi="Times New Roman"/>
          <w:b w:val="false"/>
          <w:bCs w:val="false"/>
          <w:sz w:val="28"/>
          <w:szCs w:val="28"/>
        </w:rPr>
        <w:t xml:space="preserve">2. How has the sustainability disclosure regime introduced by the Financial Regulatory Authority altered the digital financial reporting function, and how does it relate to the emerging global baseline for sustainability disclosure?</w:t>
      </w:r>
    </w:p>
    <w:p>
      <w:pPr>
        <w:spacing w:after="60" w:line="240" w:lineRule="auto"/>
        <w:ind w:left="425" w:hanging="283"/>
        <w:jc w:val="both"/>
      </w:pPr>
      <w:r>
        <w:rPr>
          <w:rFonts w:ascii="Times New Roman" w:cs="Times New Roman" w:eastAsia="Times New Roman" w:hAnsi="Times New Roman"/>
          <w:b w:val="false"/>
          <w:bCs w:val="false"/>
          <w:sz w:val="28"/>
          <w:szCs w:val="28"/>
        </w:rPr>
        <w:t xml:space="preserve">3. Under what conditions can green accounting be embedded within the digital accounting information system rather than operated alongside it?</w:t>
      </w:r>
    </w:p>
    <w:p>
      <w:pPr>
        <w:spacing w:after="60" w:line="240" w:lineRule="auto"/>
        <w:ind w:left="425" w:hanging="283"/>
        <w:jc w:val="both"/>
      </w:pPr>
      <w:r>
        <w:rPr>
          <w:rFonts w:ascii="Times New Roman" w:cs="Times New Roman" w:eastAsia="Times New Roman" w:hAnsi="Times New Roman"/>
          <w:b w:val="false"/>
          <w:bCs w:val="false"/>
          <w:sz w:val="28"/>
          <w:szCs w:val="28"/>
        </w:rPr>
        <w:t xml:space="preserve">4. What institutional, professional and technical constraints impede this integration in Egypt, and what framework would address them?</w:t>
      </w:r>
    </w:p>
    <w:p>
      <w:pPr>
        <w:pStyle w:val="Heading1"/>
        <w:spacing w:after="120" w:before="260" w:line="240" w:lineRule="auto"/>
        <w:jc w:val="left"/>
      </w:pPr>
      <w:r>
        <w:rPr>
          <w:rFonts w:ascii="Times New Roman" w:cs="Times New Roman" w:eastAsia="Times New Roman" w:hAnsi="Times New Roman"/>
          <w:b/>
          <w:bCs/>
          <w:sz w:val="28"/>
          <w:szCs w:val="28"/>
        </w:rPr>
        <w:t xml:space="preserve">3. Research Objectives</w:t>
      </w:r>
    </w:p>
    <w:p>
      <w:pPr>
        <w:spacing w:after="120" w:line="240" w:lineRule="auto"/>
        <w:jc w:val="both"/>
      </w:pPr>
      <w:r>
        <w:rPr>
          <w:rFonts w:ascii="Times New Roman" w:cs="Times New Roman" w:eastAsia="Times New Roman" w:hAnsi="Times New Roman"/>
          <w:b w:val="false"/>
          <w:bCs w:val="false"/>
          <w:sz w:val="28"/>
          <w:szCs w:val="28"/>
        </w:rPr>
        <w:t xml:space="preserve">This study pursues four objectives:</w:t>
      </w:r>
    </w:p>
    <w:p>
      <w:pPr>
        <w:spacing w:after="60" w:line="240" w:lineRule="auto"/>
        <w:ind w:left="425" w:hanging="283"/>
        <w:jc w:val="both"/>
      </w:pPr>
      <w:r>
        <w:rPr>
          <w:rFonts w:ascii="Times New Roman" w:cs="Times New Roman" w:eastAsia="Times New Roman" w:hAnsi="Times New Roman"/>
          <w:b w:val="false"/>
          <w:bCs w:val="false"/>
          <w:sz w:val="28"/>
          <w:szCs w:val="28"/>
        </w:rPr>
        <w:t xml:space="preserve">1. To analyse the drivers, components and current state of the transition to digital accounting and financial reporting in Egypt during the period 2016–2026.</w:t>
      </w:r>
    </w:p>
    <w:p>
      <w:pPr>
        <w:spacing w:after="60" w:line="240" w:lineRule="auto"/>
        <w:ind w:left="425" w:hanging="283"/>
        <w:jc w:val="both"/>
      </w:pPr>
      <w:r>
        <w:rPr>
          <w:rFonts w:ascii="Times New Roman" w:cs="Times New Roman" w:eastAsia="Times New Roman" w:hAnsi="Times New Roman"/>
          <w:b w:val="false"/>
          <w:bCs w:val="false"/>
          <w:sz w:val="28"/>
          <w:szCs w:val="28"/>
        </w:rPr>
        <w:t xml:space="preserve">2. To examine the manner in which the Egyptian regulatory architecture for sustainability disclosure has reshaped the digital financial reporting function and its relationship to emerging international standards.</w:t>
      </w:r>
    </w:p>
    <w:p>
      <w:pPr>
        <w:spacing w:after="60" w:line="240" w:lineRule="auto"/>
        <w:ind w:left="425" w:hanging="283"/>
        <w:jc w:val="both"/>
      </w:pPr>
      <w:r>
        <w:rPr>
          <w:rFonts w:ascii="Times New Roman" w:cs="Times New Roman" w:eastAsia="Times New Roman" w:hAnsi="Times New Roman"/>
          <w:b w:val="false"/>
          <w:bCs w:val="false"/>
          <w:sz w:val="28"/>
          <w:szCs w:val="28"/>
        </w:rPr>
        <w:t xml:space="preserve">3. To assess the extent to which green accounting practices can be embedded within digital accounting infrastructure rather than maintained as a parallel reporting activity.</w:t>
      </w:r>
    </w:p>
    <w:p>
      <w:pPr>
        <w:spacing w:after="60" w:line="240" w:lineRule="auto"/>
        <w:ind w:left="425" w:hanging="283"/>
        <w:jc w:val="both"/>
      </w:pPr>
      <w:r>
        <w:rPr>
          <w:rFonts w:ascii="Times New Roman" w:cs="Times New Roman" w:eastAsia="Times New Roman" w:hAnsi="Times New Roman"/>
          <w:b w:val="false"/>
          <w:bCs w:val="false"/>
          <w:sz w:val="28"/>
          <w:szCs w:val="28"/>
        </w:rPr>
        <w:t xml:space="preserve">4. To identify the institutional, professional and technical constraints that limit the integration of digital transformation with sustainability accounting in Egypt, and to derive from that analysis an integrated framework consistent with the priorities of Egypt Vision 2030.</w:t>
      </w:r>
    </w:p>
    <w:p>
      <w:pPr>
        <w:pStyle w:val="Heading1"/>
        <w:spacing w:after="120" w:before="260" w:line="240" w:lineRule="auto"/>
        <w:jc w:val="left"/>
      </w:pPr>
      <w:r>
        <w:rPr>
          <w:rFonts w:ascii="Times New Roman" w:cs="Times New Roman" w:eastAsia="Times New Roman" w:hAnsi="Times New Roman"/>
          <w:b/>
          <w:bCs/>
          <w:sz w:val="28"/>
          <w:szCs w:val="28"/>
        </w:rPr>
        <w:t xml:space="preserve">4. Significance of the Research</w:t>
      </w:r>
    </w:p>
    <w:p>
      <w:pPr>
        <w:spacing w:after="120" w:line="240" w:lineRule="auto"/>
        <w:jc w:val="both"/>
      </w:pPr>
      <w:r>
        <w:rPr>
          <w:rFonts w:ascii="Times New Roman" w:cs="Times New Roman" w:eastAsia="Times New Roman" w:hAnsi="Times New Roman"/>
          <w:b w:val="false"/>
          <w:bCs w:val="false"/>
          <w:sz w:val="28"/>
          <w:szCs w:val="28"/>
        </w:rPr>
        <w:t xml:space="preserve">The theoretical significance of the study lies in treating digitalisation and sustainability accounting as a single analytical problem rather than two separate literatures. Research on the technological transformation of accounting has concentrated on efficiency, assurance and professional identity, while research on sustainability accounting has concentrated on disclosure determinants and value relevance; the interface — whether accounting information systems can produce sustainability information of financial-statement quality — has received comparatively limited attention, less still in an emerging economy under a mandatory disclosure regime. Reading the Egyptian case through institutional, legitimacy, signalling and technology-adoption theory together, the study offers an integrative account of why mandated disclosure does not automatically generate reliable measurement.</w:t>
      </w:r>
    </w:p>
    <w:p>
      <w:pPr>
        <w:spacing w:after="120" w:line="240" w:lineRule="auto"/>
        <w:jc w:val="both"/>
      </w:pPr>
      <w:r>
        <w:rPr>
          <w:rFonts w:ascii="Times New Roman" w:cs="Times New Roman" w:eastAsia="Times New Roman" w:hAnsi="Times New Roman"/>
          <w:b w:val="false"/>
          <w:bCs w:val="false"/>
          <w:sz w:val="28"/>
          <w:szCs w:val="28"/>
        </w:rPr>
        <w:t xml:space="preserve">The practical significance of the study lies in its relevance to four constituencies. For regulators, it clarifies why disclosure mandates require complementary investment in data governance and assurance. For preparers, it identifies the architectural choices determining whether sustainability reporting becomes an administrative burden or a source of managerial information. For the auditing profession, it specifies the methodological adjustments required to assure non-financial data from automated systems. For Egyptian universities and professional bodies, it identifies the curricular gap between accounting education, data analytics and environmental measurement that constrains the supply of qualified practitioners.</w:t>
      </w:r>
    </w:p>
    <w:p>
      <w:pPr>
        <w:pStyle w:val="Heading1"/>
        <w:spacing w:after="120" w:before="260" w:line="240" w:lineRule="auto"/>
        <w:jc w:val="left"/>
      </w:pPr>
      <w:r>
        <w:rPr>
          <w:rFonts w:ascii="Times New Roman" w:cs="Times New Roman" w:eastAsia="Times New Roman" w:hAnsi="Times New Roman"/>
          <w:b/>
          <w:bCs/>
          <w:sz w:val="28"/>
          <w:szCs w:val="28"/>
        </w:rPr>
        <w:t xml:space="preserve">5. Research Methodology</w:t>
      </w:r>
    </w:p>
    <w:p>
      <w:pPr>
        <w:spacing w:after="120" w:line="240" w:lineRule="auto"/>
        <w:jc w:val="both"/>
      </w:pPr>
      <w:r>
        <w:rPr>
          <w:rFonts w:ascii="Times New Roman" w:cs="Times New Roman" w:eastAsia="Times New Roman" w:hAnsi="Times New Roman"/>
          <w:b w:val="false"/>
          <w:bCs w:val="false"/>
          <w:sz w:val="28"/>
          <w:szCs w:val="28"/>
        </w:rPr>
        <w:t xml:space="preserve">The study adopts a descriptive-analytical method appropriate to a research problem that is conceptual and institutional rather than statistical. The descriptive component establishes the factual and regulatory state of digital accounting and sustainability reporting in Egypt; the analytical component interprets that evidence through established theoretical frameworks in order to explain the observed gap between digitalisation and sustainability measurement.</w:t>
      </w:r>
    </w:p>
    <w:p>
      <w:pPr>
        <w:spacing w:after="120" w:line="240" w:lineRule="auto"/>
        <w:jc w:val="both"/>
      </w:pPr>
      <w:r>
        <w:rPr>
          <w:rFonts w:ascii="Times New Roman" w:cs="Times New Roman" w:eastAsia="Times New Roman" w:hAnsi="Times New Roman"/>
          <w:b w:val="false"/>
          <w:bCs w:val="false"/>
          <w:sz w:val="28"/>
          <w:szCs w:val="28"/>
        </w:rPr>
        <w:t xml:space="preserve">The study relies exclusively on documentary analysis of secondary sources. Four categories of source material were consulted. The first comprises peer-reviewed academic literature on digital transformation in accounting and auditing, environmental and sustainability accounting, and ESG disclosure in emerging markets, with priority given to work published within the last decade except where foundational theoretical contributions are concerned. The second comprises Egyptian regulatory instruments and official policy documents, including the decrees of the Financial Regulatory Authority and the national sustainable development strategy. The third comprises the pronouncements and supporting materials of international standard-setting and coordinating bodies, including the International Sustainability Standards Board, the Global Reporting Initiative and the Task Force on Climate-related Financial Disclosures. The fourth comprises reports of multilateral institutions concerning sustainable finance in Egypt.</w:t>
      </w:r>
    </w:p>
    <w:p>
      <w:pPr>
        <w:spacing w:after="120" w:line="240" w:lineRule="auto"/>
        <w:jc w:val="both"/>
      </w:pPr>
      <w:r>
        <w:rPr>
          <w:rFonts w:ascii="Times New Roman" w:cs="Times New Roman" w:eastAsia="Times New Roman" w:hAnsi="Times New Roman"/>
          <w:b w:val="false"/>
          <w:bCs w:val="false"/>
          <w:sz w:val="28"/>
          <w:szCs w:val="28"/>
        </w:rPr>
        <w:t xml:space="preserve">The temporal scope of the study extends from 2016, the year in which Egypt Vision 2030 was launched, to 2026. The spatial scope is the Arab Republic of Egypt, with particular reference to entities listed on the Egyptian Exchange and non-bank financial institutions subject to mandatory sustainability disclosure, since these constitute the population for which the regulatory obligation is operative.</w:t>
      </w:r>
    </w:p>
    <w:p>
      <w:pPr>
        <w:spacing w:after="120" w:line="240" w:lineRule="auto"/>
        <w:jc w:val="both"/>
      </w:pPr>
      <w:r>
        <w:rPr>
          <w:rFonts w:ascii="Times New Roman" w:cs="Times New Roman" w:eastAsia="Times New Roman" w:hAnsi="Times New Roman"/>
          <w:b w:val="false"/>
          <w:bCs w:val="false"/>
          <w:sz w:val="28"/>
          <w:szCs w:val="28"/>
        </w:rPr>
        <w:t xml:space="preserve">Two limitations follow from this design and are stated explicitly. First, the study does not collect primary data through questionnaires, interviews or archival content analysis; its findings are therefore presented as reasoned analytical conclusions derived from documented evidence, and not as statistically generalisable empirical results — a limitation that bears directly on any statement made in this study about the internal practices of individual Egyptian entities, which should be read as a theoretical expectation grounded in the institutional logic reviewed rather than as an observed fact. Second, the study addresses the institutional and systemic level rather than the level of individual entity practice, and does not assess the disclosure quality of specific reporting entities.</w:t>
      </w:r>
    </w:p>
    <w:p>
      <w:pPr>
        <w:pStyle w:val="Heading1"/>
        <w:spacing w:after="120" w:before="260" w:line="240" w:lineRule="auto"/>
        <w:jc w:val="left"/>
      </w:pPr>
      <w:r>
        <w:rPr>
          <w:rFonts w:ascii="Times New Roman" w:cs="Times New Roman" w:eastAsia="Times New Roman" w:hAnsi="Times New Roman"/>
          <w:b/>
          <w:bCs/>
          <w:sz w:val="28"/>
          <w:szCs w:val="28"/>
        </w:rPr>
        <w:t xml:space="preserve">6. Theoretical Framework and Key Concepts</w:t>
      </w:r>
    </w:p>
    <w:p>
      <w:pPr>
        <w:pStyle w:val="Heading2"/>
        <w:spacing w:after="100" w:before="200" w:line="240" w:lineRule="auto"/>
        <w:jc w:val="left"/>
      </w:pPr>
      <w:r>
        <w:rPr>
          <w:rFonts w:ascii="Times New Roman" w:cs="Times New Roman" w:eastAsia="Times New Roman" w:hAnsi="Times New Roman"/>
          <w:b/>
          <w:bCs/>
          <w:sz w:val="28"/>
          <w:szCs w:val="28"/>
        </w:rPr>
        <w:t xml:space="preserve">6.1 Conceptual Delimitation</w:t>
      </w:r>
    </w:p>
    <w:p>
      <w:pPr>
        <w:spacing w:after="120" w:line="240" w:lineRule="auto"/>
        <w:jc w:val="both"/>
      </w:pPr>
      <w:r>
        <w:rPr>
          <w:rFonts w:ascii="Times New Roman" w:cs="Times New Roman" w:eastAsia="Times New Roman" w:hAnsi="Times New Roman"/>
          <w:b/>
          <w:bCs/>
          <w:sz w:val="28"/>
          <w:szCs w:val="28"/>
        </w:rPr>
        <w:t xml:space="preserve">Digital accounting</w:t>
      </w:r>
      <w:r>
        <w:rPr>
          <w:rFonts w:ascii="Times New Roman" w:cs="Times New Roman" w:eastAsia="Times New Roman" w:hAnsi="Times New Roman"/>
          <w:b w:val="false"/>
          <w:bCs w:val="false"/>
          <w:sz w:val="28"/>
          <w:szCs w:val="28"/>
        </w:rPr>
        <w:t xml:space="preserve"> denotes the reconstitution of the accounting information system around digital technologies such that transaction capture, classification, processing and reporting are performed through integrated electronic systems with substantially reduced manual intervention. Its defining characteristic is not the automation of discrete tasks but the alteration of the accounting cycle itself: where conventional accounting processes transactions in periodic batches, digital accounting moves towards continuous capture and near-real-time processing, which in turn makes continuous reporting and continuous auditing conceivable (Han et al., 2023).</w:t>
      </w:r>
    </w:p>
    <w:p>
      <w:pPr>
        <w:spacing w:after="120" w:line="240" w:lineRule="auto"/>
        <w:jc w:val="both"/>
      </w:pPr>
      <w:r>
        <w:rPr>
          <w:rFonts w:ascii="Times New Roman" w:cs="Times New Roman" w:eastAsia="Times New Roman" w:hAnsi="Times New Roman"/>
          <w:b/>
          <w:bCs/>
          <w:sz w:val="28"/>
          <w:szCs w:val="28"/>
        </w:rPr>
        <w:t xml:space="preserve">Digital financial reporting</w:t>
      </w:r>
      <w:r>
        <w:rPr>
          <w:rFonts w:ascii="Times New Roman" w:cs="Times New Roman" w:eastAsia="Times New Roman" w:hAnsi="Times New Roman"/>
          <w:b w:val="false"/>
          <w:bCs w:val="false"/>
          <w:sz w:val="28"/>
          <w:szCs w:val="28"/>
        </w:rPr>
        <w:t xml:space="preserve"> denotes the preparation and dissemination of financial and non-financial reports in structured, machine-readable formats permitting automated extraction, aggregation and comparison, distinguished from mere electronic publication by a taxonomy assigning standardised meaning to each element, rendering information computable rather than merely readable.</w:t>
      </w:r>
    </w:p>
    <w:p>
      <w:pPr>
        <w:spacing w:after="120" w:line="240" w:lineRule="auto"/>
        <w:jc w:val="both"/>
      </w:pPr>
      <w:r>
        <w:rPr>
          <w:rFonts w:ascii="Times New Roman" w:cs="Times New Roman" w:eastAsia="Times New Roman" w:hAnsi="Times New Roman"/>
          <w:b/>
          <w:bCs/>
          <w:sz w:val="28"/>
          <w:szCs w:val="28"/>
        </w:rPr>
        <w:t xml:space="preserve">Digital sustainability</w:t>
      </w:r>
      <w:r>
        <w:rPr>
          <w:rFonts w:ascii="Times New Roman" w:cs="Times New Roman" w:eastAsia="Times New Roman" w:hAnsi="Times New Roman"/>
          <w:b w:val="false"/>
          <w:bCs w:val="false"/>
          <w:sz w:val="28"/>
          <w:szCs w:val="28"/>
        </w:rPr>
        <w:t xml:space="preserve"> is used here in a dual sense: the deployment of digital technologies to advance environmental and social objectives (measuring resource consumption, optimising energy and materials use, tracing supply chains), and the sustainability of digital systems themselves (the energy consumption of data centres and computation, hardware lifecycle, and governance and security of digital infrastructure). Both senses must be retained, since a digitalisation programme that improves environmental reporting while enlarging the footprint of its own infrastructure achieves an ambiguous outcome.</w:t>
      </w:r>
    </w:p>
    <w:p>
      <w:pPr>
        <w:spacing w:after="120" w:line="240" w:lineRule="auto"/>
        <w:jc w:val="both"/>
      </w:pPr>
      <w:r>
        <w:rPr>
          <w:rFonts w:ascii="Times New Roman" w:cs="Times New Roman" w:eastAsia="Times New Roman" w:hAnsi="Times New Roman"/>
          <w:b/>
          <w:bCs/>
          <w:sz w:val="28"/>
          <w:szCs w:val="28"/>
        </w:rPr>
        <w:t xml:space="preserve">Green accounting</w:t>
      </w:r>
      <w:r>
        <w:rPr>
          <w:rFonts w:ascii="Times New Roman" w:cs="Times New Roman" w:eastAsia="Times New Roman" w:hAnsi="Times New Roman"/>
          <w:b w:val="false"/>
          <w:bCs w:val="false"/>
          <w:sz w:val="28"/>
          <w:szCs w:val="28"/>
        </w:rPr>
        <w:t xml:space="preserve">, used here interchangeably with environmental accounting, denotes the systematic identification, measurement, recording and allocation of the environmental costs and benefits associated with an entity's activities, together with the disclosure of that information to internal and external users. Its analytical claim is that conventional accounting systematically obscures environmental cost by aggregating it within general overhead, thereby preventing management from attributing cost to the products, processes and decisions that generate it; the corrective is to disaggregate and trace those costs so that they inform pricing, investment appraisal and process design (Schaltegger &amp; Burritt, 2000). Green accounting is therefore properly understood as a measurement discipline serving management decisions, and only derivatively as a disclosure practice.</w:t>
      </w:r>
    </w:p>
    <w:p>
      <w:pPr>
        <w:spacing w:after="120" w:line="240" w:lineRule="auto"/>
        <w:jc w:val="both"/>
      </w:pPr>
      <w:r>
        <w:rPr>
          <w:rFonts w:ascii="Times New Roman" w:cs="Times New Roman" w:eastAsia="Times New Roman" w:hAnsi="Times New Roman"/>
          <w:b/>
          <w:bCs/>
          <w:sz w:val="28"/>
          <w:szCs w:val="28"/>
        </w:rPr>
        <w:t xml:space="preserve">Sustainability reporting and ESG disclosure</w:t>
      </w:r>
      <w:r>
        <w:rPr>
          <w:rFonts w:ascii="Times New Roman" w:cs="Times New Roman" w:eastAsia="Times New Roman" w:hAnsi="Times New Roman"/>
          <w:b w:val="false"/>
          <w:bCs w:val="false"/>
          <w:sz w:val="28"/>
          <w:szCs w:val="28"/>
        </w:rPr>
        <w:t xml:space="preserve"> denote the communication to external stakeholders of an entity's environmental, social and governance performance. A consequential distinction separates impact materiality — the entity's effect upon society and the environment, underpinning the Global Reporting Initiative framework — from financial materiality, concerning sustainability's effect on cash flows, access to finance and cost of capital, underpinning the standards of the International Sustainability Standards Board (Global Reporting Initiative, 2021; IFRS Foundation, 2023a). This is not merely technical: the two conceptions imply different reporting boundaries, audiences and measurement obligations.</w:t>
      </w:r>
    </w:p>
    <w:p>
      <w:pPr>
        <w:pStyle w:val="Heading2"/>
        <w:spacing w:after="100" w:before="200" w:line="240" w:lineRule="auto"/>
        <w:jc w:val="left"/>
      </w:pPr>
      <w:r>
        <w:rPr>
          <w:rFonts w:ascii="Times New Roman" w:cs="Times New Roman" w:eastAsia="Times New Roman" w:hAnsi="Times New Roman"/>
          <w:b/>
          <w:bCs/>
          <w:sz w:val="28"/>
          <w:szCs w:val="28"/>
        </w:rPr>
        <w:t xml:space="preserve">6.2 Theoretical Foundations</w:t>
      </w:r>
    </w:p>
    <w:p>
      <w:pPr>
        <w:spacing w:after="120" w:line="240" w:lineRule="auto"/>
        <w:jc w:val="both"/>
      </w:pPr>
      <w:r>
        <w:rPr>
          <w:rFonts w:ascii="Times New Roman" w:cs="Times New Roman" w:eastAsia="Times New Roman" w:hAnsi="Times New Roman"/>
          <w:b w:val="false"/>
          <w:bCs w:val="false"/>
          <w:sz w:val="28"/>
          <w:szCs w:val="28"/>
        </w:rPr>
        <w:t xml:space="preserve">The study draws upon five theoretical perspectives, each addressing a distinct facet of the research problem.</w:t>
      </w:r>
    </w:p>
    <w:p>
      <w:pPr>
        <w:spacing w:after="120" w:line="240" w:lineRule="auto"/>
        <w:jc w:val="both"/>
      </w:pPr>
      <w:r>
        <w:rPr>
          <w:rFonts w:ascii="Times New Roman" w:cs="Times New Roman" w:eastAsia="Times New Roman" w:hAnsi="Times New Roman"/>
          <w:b/>
          <w:bCs/>
          <w:sz w:val="28"/>
          <w:szCs w:val="28"/>
        </w:rPr>
        <w:t xml:space="preserve">Stakeholder theory</w:t>
      </w:r>
      <w:r>
        <w:rPr>
          <w:rFonts w:ascii="Times New Roman" w:cs="Times New Roman" w:eastAsia="Times New Roman" w:hAnsi="Times New Roman"/>
          <w:b w:val="false"/>
          <w:bCs w:val="false"/>
          <w:sz w:val="28"/>
          <w:szCs w:val="28"/>
        </w:rPr>
        <w:t xml:space="preserve"> holds that the entity is accountable to the constituencies that affect or are affected by its activities, not exclusively to equity capital providers (Freeman, 1984). It justifies extending the reporting boundary to environmental and social performance, and explains why the informational demands on accounting systems have widened beyond financial-statement users.</w:t>
      </w:r>
    </w:p>
    <w:p>
      <w:pPr>
        <w:spacing w:after="120" w:line="240" w:lineRule="auto"/>
        <w:jc w:val="both"/>
      </w:pPr>
      <w:r>
        <w:rPr>
          <w:rFonts w:ascii="Times New Roman" w:cs="Times New Roman" w:eastAsia="Times New Roman" w:hAnsi="Times New Roman"/>
          <w:b/>
          <w:bCs/>
          <w:sz w:val="28"/>
          <w:szCs w:val="28"/>
        </w:rPr>
        <w:t xml:space="preserve">Legitimacy theory</w:t>
      </w:r>
      <w:r>
        <w:rPr>
          <w:rFonts w:ascii="Times New Roman" w:cs="Times New Roman" w:eastAsia="Times New Roman" w:hAnsi="Times New Roman"/>
          <w:b w:val="false"/>
          <w:bCs w:val="false"/>
          <w:sz w:val="28"/>
          <w:szCs w:val="28"/>
        </w:rPr>
        <w:t xml:space="preserve"> holds that organisations seek to demonstrate congruence between their activities and prevailing social values, and that disclosure is among the instruments by which such congruence is asserted (Suchman, 1995). This perspective accounts for the possibility of symbolic compliance: where disclosure serves primarily to secure legitimacy, its content may be selective and its underlying measurement weak, without the entity suffering an immediate sanction.</w:t>
      </w:r>
    </w:p>
    <w:p>
      <w:pPr>
        <w:spacing w:after="120" w:line="240" w:lineRule="auto"/>
        <w:jc w:val="both"/>
      </w:pPr>
      <w:r>
        <w:rPr>
          <w:rFonts w:ascii="Times New Roman" w:cs="Times New Roman" w:eastAsia="Times New Roman" w:hAnsi="Times New Roman"/>
          <w:b/>
          <w:bCs/>
          <w:sz w:val="28"/>
          <w:szCs w:val="28"/>
        </w:rPr>
        <w:t xml:space="preserve">Institutional theory</w:t>
      </w:r>
      <w:r>
        <w:rPr>
          <w:rFonts w:ascii="Times New Roman" w:cs="Times New Roman" w:eastAsia="Times New Roman" w:hAnsi="Times New Roman"/>
          <w:b w:val="false"/>
          <w:bCs w:val="false"/>
          <w:sz w:val="28"/>
          <w:szCs w:val="28"/>
        </w:rPr>
        <w:t xml:space="preserve">, particularly the analysis of coercive, mimetic and normative isomorphism, explains the diffusion of reporting practices across organisational fields (DiMaggio &amp; Powell, 1983). In the Egyptian setting all three mechanisms are observable: coercive pressure through the decrees of the Financial Regulatory Authority and the electronic invoicing mandate; mimetic pressure as domestic entities emulate the reporting formats of international peers under conditions of uncertainty; and normative pressure through the influence of international professional bodies and audit networks upon Egyptian practice. Institutional theory also predicts the phenomenon of decoupling, whereby formal structures adopted to satisfy external expectations are loosely connected to operational practice, which is precisely the condition this study's theoretical analysis anticipates in the relationship between sustainability reporting and accounting systems.</w:t>
      </w:r>
    </w:p>
    <w:p>
      <w:pPr>
        <w:spacing w:after="120" w:line="240" w:lineRule="auto"/>
        <w:jc w:val="both"/>
      </w:pPr>
      <w:r>
        <w:rPr>
          <w:rFonts w:ascii="Times New Roman" w:cs="Times New Roman" w:eastAsia="Times New Roman" w:hAnsi="Times New Roman"/>
          <w:b/>
          <w:bCs/>
          <w:sz w:val="28"/>
          <w:szCs w:val="28"/>
        </w:rPr>
        <w:t xml:space="preserve">Signalling theory</w:t>
      </w:r>
      <w:r>
        <w:rPr>
          <w:rFonts w:ascii="Times New Roman" w:cs="Times New Roman" w:eastAsia="Times New Roman" w:hAnsi="Times New Roman"/>
          <w:b w:val="false"/>
          <w:bCs w:val="false"/>
          <w:sz w:val="28"/>
          <w:szCs w:val="28"/>
        </w:rPr>
        <w:t xml:space="preserve"> holds that, under information asymmetry, informed parties transmit costly signals to distinguish themselves from less capable counterparts (Spence, 1973). Applied to sustainability information, it explains why credible, verified and comparable disclosure may lower the cost of capital while unverified disclosure need not, and it thereby links assurance quality to economic consequence. Egypt's inaugural sovereign green bond, which was substantially oversubscribed and priced below the yield of comparable conventional issuance, offers a sovereign-level illustration of this mechanism, discussed further in Section 8.2 (World Bank, 2022).</w:t>
      </w:r>
    </w:p>
    <w:p>
      <w:pPr>
        <w:spacing w:after="120" w:line="240" w:lineRule="auto"/>
        <w:jc w:val="both"/>
      </w:pPr>
      <w:r>
        <w:rPr>
          <w:rFonts w:ascii="Times New Roman" w:cs="Times New Roman" w:eastAsia="Times New Roman" w:hAnsi="Times New Roman"/>
          <w:b/>
          <w:bCs/>
          <w:sz w:val="28"/>
          <w:szCs w:val="28"/>
        </w:rPr>
        <w:t xml:space="preserve">Technology adoption frameworks</w:t>
      </w:r>
      <w:r>
        <w:rPr>
          <w:rFonts w:ascii="Times New Roman" w:cs="Times New Roman" w:eastAsia="Times New Roman" w:hAnsi="Times New Roman"/>
          <w:b w:val="false"/>
          <w:bCs w:val="false"/>
          <w:sz w:val="28"/>
          <w:szCs w:val="28"/>
        </w:rPr>
        <w:t xml:space="preserve">, specifically the technology–organisation–environment framework (Tornatzky &amp; Fleischer, 1990) and the unified theory of acceptance and use of technology (Venkatesh et al., 2003), explain why organisations differ in assimilating digital accounting technologies: adoption outcomes are determined jointly by technological attributes, organisational readiness and environmental pressure, implying that regulatory mandate alone is an insufficient condition for effective implementation.</w:t>
      </w:r>
    </w:p>
    <w:p>
      <w:pPr>
        <w:pStyle w:val="Heading1"/>
        <w:spacing w:after="120" w:before="260" w:line="240" w:lineRule="auto"/>
        <w:jc w:val="left"/>
      </w:pPr>
      <w:r>
        <w:rPr>
          <w:rFonts w:ascii="Times New Roman" w:cs="Times New Roman" w:eastAsia="Times New Roman" w:hAnsi="Times New Roman"/>
          <w:b/>
          <w:bCs/>
          <w:sz w:val="28"/>
          <w:szCs w:val="28"/>
        </w:rPr>
        <w:t xml:space="preserve">7. Literature Review</w:t>
      </w:r>
    </w:p>
    <w:p>
      <w:pPr>
        <w:spacing w:after="120" w:line="240" w:lineRule="auto"/>
        <w:jc w:val="both"/>
      </w:pPr>
      <w:r>
        <w:rPr>
          <w:rFonts w:ascii="Times New Roman" w:cs="Times New Roman" w:eastAsia="Times New Roman" w:hAnsi="Times New Roman"/>
          <w:b w:val="false"/>
          <w:bCs w:val="false"/>
          <w:sz w:val="28"/>
          <w:szCs w:val="28"/>
        </w:rPr>
        <w:t xml:space="preserve">Dai and Vasarhelyi (2017) advanced an early conceptual model of blockchain-based accounting and assurance, proposing that a shared and cryptographically secured ledger could support a triple-entry conception of bookkeeping in which the counterparties to a transaction and the record of that transaction are jointly verified. They argued that such an architecture would permit assurance procedures to migrate from periodic sampling towards continuous verification. Their contribution is significant for the present study because it locates the transformative potential of digitalisation not in the automation of existing procedures but in the reconstitution of the evidential basis of accounting.</w:t>
      </w:r>
    </w:p>
    <w:p>
      <w:pPr>
        <w:spacing w:after="120" w:line="240" w:lineRule="auto"/>
        <w:jc w:val="both"/>
      </w:pPr>
      <w:r>
        <w:rPr>
          <w:rFonts w:ascii="Times New Roman" w:cs="Times New Roman" w:eastAsia="Times New Roman" w:hAnsi="Times New Roman"/>
          <w:b w:val="false"/>
          <w:bCs w:val="false"/>
          <w:sz w:val="28"/>
          <w:szCs w:val="28"/>
        </w:rPr>
        <w:t xml:space="preserve">Jędrzejka (2019) examined robotic process automation in accounting and found it best suited to high-volume, rule-based, structured processes, delivering gains in cost, cycle time and error reduction while offering limited benefit for tasks requiring professional judgement — a boundary that bears directly on the measurement of environmental data, much of which remains judgemental and estimate-based.</w:t>
      </w:r>
    </w:p>
    <w:p>
      <w:pPr>
        <w:spacing w:after="120" w:line="240" w:lineRule="auto"/>
        <w:jc w:val="both"/>
      </w:pPr>
      <w:r>
        <w:rPr>
          <w:rFonts w:ascii="Times New Roman" w:cs="Times New Roman" w:eastAsia="Times New Roman" w:hAnsi="Times New Roman"/>
          <w:b w:val="false"/>
          <w:bCs w:val="false"/>
          <w:sz w:val="28"/>
          <w:szCs w:val="28"/>
        </w:rPr>
        <w:t xml:space="preserve">Spanò et al. (2022) surveyed the implications of blockchain for accounting, accountability and assurance, observing that scholarship had grown rapidly while remaining predominantly technical and normative, and calling for research on the accountability consequences of distributed ledgers rather than their technical properties alone — supporting the position adopted here that governance, not technical capability, is the decisive variable.</w:t>
      </w:r>
    </w:p>
    <w:p>
      <w:pPr>
        <w:spacing w:after="120" w:line="240" w:lineRule="auto"/>
        <w:jc w:val="both"/>
      </w:pPr>
      <w:r>
        <w:rPr>
          <w:rFonts w:ascii="Times New Roman" w:cs="Times New Roman" w:eastAsia="Times New Roman" w:hAnsi="Times New Roman"/>
          <w:b w:val="false"/>
          <w:bCs w:val="false"/>
          <w:sz w:val="28"/>
          <w:szCs w:val="28"/>
        </w:rPr>
        <w:t xml:space="preserve">Garanina et al. (2022) mapped blockchain research in accounting and identified a persistent imbalance between an extensive conceptual literature and limited empirical implementation evidence, naming sustainability and supply-chain traceability among the emerging applications warranting investigation — directly pertinent to this study's interface between distributed data infrastructure and sustainability measurement.</w:t>
      </w:r>
    </w:p>
    <w:p>
      <w:pPr>
        <w:spacing w:after="120" w:line="240" w:lineRule="auto"/>
        <w:jc w:val="both"/>
      </w:pPr>
      <w:r>
        <w:rPr>
          <w:rFonts w:ascii="Times New Roman" w:cs="Times New Roman" w:eastAsia="Times New Roman" w:hAnsi="Times New Roman"/>
          <w:b w:val="false"/>
          <w:bCs w:val="false"/>
          <w:sz w:val="28"/>
          <w:szCs w:val="28"/>
        </w:rPr>
        <w:t xml:space="preserve">Silva et al. (2022) conducted a systematic review of blockchain's implications for auditing and concluded that it alters the nature of audit evidence and enables continuous auditing, while raising unresolved questions about the auditor's role where integrity is enforced by protocol rather than verification — an analogous question to the assurance of sustainability data, whose reliability depends on the sensing and recording layer rather than documentary evidence.</w:t>
      </w:r>
    </w:p>
    <w:p>
      <w:pPr>
        <w:spacing w:after="120" w:line="240" w:lineRule="auto"/>
        <w:jc w:val="both"/>
      </w:pPr>
      <w:r>
        <w:rPr>
          <w:rFonts w:ascii="Times New Roman" w:cs="Times New Roman" w:eastAsia="Times New Roman" w:hAnsi="Times New Roman"/>
          <w:b w:val="false"/>
          <w:bCs w:val="false"/>
          <w:sz w:val="28"/>
          <w:szCs w:val="28"/>
        </w:rPr>
        <w:t xml:space="preserve">Han et al. (2023) reviewed the joint impact of blockchain and artificial intelligence upon accounting and auditing, organising the literature around the event approach to accounting, real-time accounting, triple-entry accounting and continuous auditing, and interpreting these developments through agency and stakeholder theory. They concluded that the principal contribution of these technologies lies in the reduction of information asymmetry, while noting substantial organisational caution regarding adoption. Their framing is adopted in the present study, which treats the reduction of information asymmetry in sustainability information as the central problem.</w:t>
      </w:r>
    </w:p>
    <w:p>
      <w:pPr>
        <w:spacing w:after="120" w:line="240" w:lineRule="auto"/>
        <w:jc w:val="both"/>
      </w:pPr>
      <w:r>
        <w:rPr>
          <w:rFonts w:ascii="Times New Roman" w:cs="Times New Roman" w:eastAsia="Times New Roman" w:hAnsi="Times New Roman"/>
          <w:b w:val="false"/>
          <w:bCs w:val="false"/>
          <w:sz w:val="28"/>
          <w:szCs w:val="28"/>
        </w:rPr>
        <w:t xml:space="preserve">Jackson et al. (2022) investigated the competencies sought in early-career accountants in an increasingly technological environment and found that employers expect analytical and digital capabilities to be combined with, rather than substituted for, conventional accounting knowledge and professional judgement. The study establishes that technological change alters the composition of professional competence rather than diminishing its importance, a conclusion that bears upon the human-capital constraints identified later in this analysis.</w:t>
      </w:r>
    </w:p>
    <w:p>
      <w:pPr>
        <w:spacing w:after="120" w:line="240" w:lineRule="auto"/>
        <w:jc w:val="both"/>
      </w:pPr>
      <w:r>
        <w:rPr>
          <w:rFonts w:ascii="Times New Roman" w:cs="Times New Roman" w:eastAsia="Times New Roman" w:hAnsi="Times New Roman"/>
          <w:b w:val="false"/>
          <w:bCs w:val="false"/>
          <w:sz w:val="28"/>
          <w:szCs w:val="28"/>
        </w:rPr>
        <w:t xml:space="preserve">Gray (2010) advanced a critical assessment of sustainability accounting, arguing that the practices conducted under that name predominantly report organisational activity rather than account for sustainability in any defensible ecological sense, since the entity-centred boundary of conventional accounting cannot accommodate planetary limits. The argument functions in this study as a necessary corrective, guarding against the assumption that improved data infrastructure is by itself sufficient to render reporting substantively meaningful.</w:t>
      </w:r>
    </w:p>
    <w:p>
      <w:pPr>
        <w:spacing w:after="120" w:line="240" w:lineRule="auto"/>
        <w:jc w:val="both"/>
      </w:pPr>
      <w:r>
        <w:rPr>
          <w:rFonts w:ascii="Times New Roman" w:cs="Times New Roman" w:eastAsia="Times New Roman" w:hAnsi="Times New Roman"/>
          <w:b w:val="false"/>
          <w:bCs w:val="false"/>
          <w:sz w:val="28"/>
          <w:szCs w:val="28"/>
        </w:rPr>
        <w:t xml:space="preserve">Burritt and Schaltegger (2010) distinguished between an outside-in approach to sustainability accounting, in which reporting requirements imposed externally determine what is measured, and an inside-out approach, in which measurement is driven by management's information needs and reporting follows from it. They argued that the inside-out orientation is more likely to produce durable and decision-relevant practice. This distinction supplies the principal analytical axis of the present study, which contends that Egyptian practice is presently configured along outside-in lines.</w:t>
      </w:r>
    </w:p>
    <w:p>
      <w:pPr>
        <w:spacing w:after="120" w:line="240" w:lineRule="auto"/>
        <w:jc w:val="both"/>
      </w:pPr>
      <w:r>
        <w:rPr>
          <w:rFonts w:ascii="Times New Roman" w:cs="Times New Roman" w:eastAsia="Times New Roman" w:hAnsi="Times New Roman"/>
          <w:b w:val="false"/>
          <w:bCs w:val="false"/>
          <w:sz w:val="28"/>
          <w:szCs w:val="28"/>
        </w:rPr>
        <w:t xml:space="preserve">Abdelmoneim and El-Deeb (2024) examined thirty-four Egyptian non-financial listed companies over 2015–2021 and found a positive association between the extent of ESG disclosure and the quality of integrated reporting disclosure, with board characteristics moderating that relationship — among the few studies addressing the Egyptian setting directly, and support for this analysis's emphasis on governance, not technology, as the operative constraint.</w:t>
      </w:r>
    </w:p>
    <w:p>
      <w:pPr>
        <w:spacing w:after="120" w:line="240" w:lineRule="auto"/>
        <w:jc w:val="both"/>
      </w:pPr>
      <w:r>
        <w:rPr>
          <w:rFonts w:ascii="Times New Roman" w:cs="Times New Roman" w:eastAsia="Times New Roman" w:hAnsi="Times New Roman"/>
          <w:b w:val="false"/>
          <w:bCs w:val="false"/>
          <w:sz w:val="28"/>
          <w:szCs w:val="28"/>
        </w:rPr>
        <w:t xml:space="preserve">Read together, these studies establish three settled positions and one unaddressed question: digital technologies materially alter the production and verification of accounting information; the literature remains weighted towards conceptual argument over implementation evidence, particularly outside advanced economies; and sustainability reporting is frequently detached from sustainability measurement, with governance determining the degree of detachment. Unaddressed is the interface between these bodies of work — whether the digital accounting infrastructure now being built in emerging economies can carry sustainability information at financial-statement reliability, and what that would require. The Egyptian case, combining an advanced state-led digitalisation programme with a mandatory disclosure regime, is well suited to this question, which the present study addresses.</w:t>
      </w:r>
    </w:p>
    <w:p>
      <w:pPr>
        <w:pStyle w:val="Heading1"/>
        <w:spacing w:after="120" w:before="260" w:line="240" w:lineRule="auto"/>
        <w:jc w:val="left"/>
      </w:pPr>
      <w:r>
        <w:rPr>
          <w:rFonts w:ascii="Times New Roman" w:cs="Times New Roman" w:eastAsia="Times New Roman" w:hAnsi="Times New Roman"/>
          <w:b/>
          <w:bCs/>
          <w:sz w:val="28"/>
          <w:szCs w:val="28"/>
        </w:rPr>
        <w:t xml:space="preserve">8. Analysis and Discussion</w:t>
      </w:r>
    </w:p>
    <w:p>
      <w:pPr>
        <w:pStyle w:val="Heading2"/>
        <w:spacing w:after="100" w:before="200" w:line="240" w:lineRule="auto"/>
        <w:jc w:val="left"/>
      </w:pPr>
      <w:r>
        <w:rPr>
          <w:rFonts w:ascii="Times New Roman" w:cs="Times New Roman" w:eastAsia="Times New Roman" w:hAnsi="Times New Roman"/>
          <w:b/>
          <w:bCs/>
          <w:sz w:val="28"/>
          <w:szCs w:val="28"/>
        </w:rPr>
        <w:t xml:space="preserve">8.1 The Digital Infrastructure Layer: Depth Without Breadth</w:t>
      </w:r>
    </w:p>
    <w:p>
      <w:pPr>
        <w:spacing w:after="120" w:line="240" w:lineRule="auto"/>
        <w:jc w:val="both"/>
      </w:pPr>
      <w:r>
        <w:rPr>
          <w:rFonts w:ascii="Times New Roman" w:cs="Times New Roman" w:eastAsia="Times New Roman" w:hAnsi="Times New Roman"/>
          <w:b w:val="false"/>
          <w:bCs w:val="false"/>
          <w:sz w:val="28"/>
          <w:szCs w:val="28"/>
        </w:rPr>
        <w:t xml:space="preserve">The transition to digital accounting in Egypt has been driven principally by the state rather than by the profession or the capital market. The electronic invoicing and electronic receipt systems administered by the Egyptian Tax Authority require value-added-tax-registered businesses to issue and transmit transaction documents electronically through a central clearance platform, spanning business-to-business, business-to-consumer and business-to-government transactions. Its stated objectives concern transparency, contracting the informal economy and tax-administration efficiency, and it has been situated by the authorities within the digital transformation agenda of Egypt Vision 2030.</w:t>
      </w:r>
    </w:p>
    <w:p>
      <w:pPr>
        <w:spacing w:after="120" w:line="240" w:lineRule="auto"/>
        <w:jc w:val="both"/>
      </w:pPr>
      <w:r>
        <w:rPr>
          <w:rFonts w:ascii="Times New Roman" w:cs="Times New Roman" w:eastAsia="Times New Roman" w:hAnsi="Times New Roman"/>
          <w:b w:val="false"/>
          <w:bCs w:val="false"/>
          <w:sz w:val="28"/>
          <w:szCs w:val="28"/>
        </w:rPr>
        <w:t xml:space="preserve">Three consequences follow for accounting practice. The first is structural: compliance obliges entities to maintain enterprise systems capable of generating structured, validated transaction data, which raises the baseline quality of accounting data across the formal economy independently of any voluntary decision to modernise. The second is evidential: where transaction data are validated at the point of issuance against a central platform, the character of audit evidence changes, since the auditor confronts a systemically validated data population rather than a set of documents of uncertain provenance. This is the practical realisation, within a fiscal rather than a commercial architecture, of the continuous-verification logic anticipated in the literature on distributed ledgers (Dai &amp; Vasarhelyi, 2017; Silva et al., 2022). The third is behavioural: the mandate's near-universal scope has diffused digital accounting competence into segments of the economy that would not otherwise have acquired it.</w:t>
      </w:r>
    </w:p>
    <w:p>
      <w:pPr>
        <w:spacing w:after="120" w:line="240" w:lineRule="auto"/>
        <w:jc w:val="both"/>
      </w:pPr>
      <w:r>
        <w:rPr>
          <w:rFonts w:ascii="Times New Roman" w:cs="Times New Roman" w:eastAsia="Times New Roman" w:hAnsi="Times New Roman"/>
          <w:b w:val="false"/>
          <w:bCs w:val="false"/>
          <w:sz w:val="28"/>
          <w:szCs w:val="28"/>
        </w:rPr>
        <w:t xml:space="preserve">The limitation of this achievement is one of breadth rather than depth. The infrastructure has been constructed around the transaction, because the transaction is the object of fiscal interest, yet environmental and social phenomena are frequently not transactions. The energy a production line consumes, the water an aquifer loses, the emissions a fleet releases and the waste diverted from landfill generate no invoice and so leave no trace within the electronic invoicing architecture. Where an environmental phenomenon does generate a transaction, the invoice records its financial dimension — the amount paid to a utility — while omitting the physical dimension: the quantity consumed and its emissions intensity. Since environmental measurement is conducted in physical units before translation into monetary ones, an infrastructure capturing only the monetary layer cannot support it without substantial extension. Egypt has thus built deep digital capability in a domain adjacent to, rather than inclusive of, the domain sustainability accounting requires.</w:t>
      </w:r>
    </w:p>
    <w:p>
      <w:pPr>
        <w:pStyle w:val="Heading2"/>
        <w:spacing w:after="100" w:before="200" w:line="240" w:lineRule="auto"/>
        <w:jc w:val="left"/>
      </w:pPr>
      <w:r>
        <w:rPr>
          <w:rFonts w:ascii="Times New Roman" w:cs="Times New Roman" w:eastAsia="Times New Roman" w:hAnsi="Times New Roman"/>
          <w:b/>
          <w:bCs/>
          <w:sz w:val="28"/>
          <w:szCs w:val="28"/>
        </w:rPr>
        <w:t xml:space="preserve">8.2 The Regulatory Layer: Mandate Without Measurement Architecture</w:t>
      </w:r>
    </w:p>
    <w:p>
      <w:pPr>
        <w:spacing w:after="120" w:line="240" w:lineRule="auto"/>
        <w:jc w:val="both"/>
      </w:pPr>
      <w:r>
        <w:rPr>
          <w:rFonts w:ascii="Times New Roman" w:cs="Times New Roman" w:eastAsia="Times New Roman" w:hAnsi="Times New Roman"/>
          <w:b w:val="false"/>
          <w:bCs w:val="false"/>
          <w:sz w:val="28"/>
          <w:szCs w:val="28"/>
        </w:rPr>
        <w:t xml:space="preserve">The sustainability disclosure regime established by Decrees No. 107 and No. 108 of 2021 requires listed companies and non-bank financial institutions meeting defined capital or equity thresholds to make annual ESG disclosures, with entities above a higher threshold additionally required to provide climate-related financial disclosures structured according to the governance, strategy, risk management, and metrics and targets architecture of the Task Force on Climate-related Financial Disclosures (Financial Regulatory Authority, 2021; TCFD, 2017). The disclosures are rendered through prescribed forms annexed to the decrees rather than narrative reports of the preparer's own design, and covered entities must also report periodically on their implementation procedures.</w:t>
      </w:r>
    </w:p>
    <w:p>
      <w:pPr>
        <w:spacing w:after="120" w:line="240" w:lineRule="auto"/>
        <w:jc w:val="both"/>
      </w:pPr>
      <w:r>
        <w:rPr>
          <w:rFonts w:ascii="Times New Roman" w:cs="Times New Roman" w:eastAsia="Times New Roman" w:hAnsi="Times New Roman"/>
          <w:b w:val="false"/>
          <w:bCs w:val="false"/>
          <w:sz w:val="28"/>
          <w:szCs w:val="28"/>
        </w:rPr>
        <w:t xml:space="preserve">Assessed against the institutional framework adopted in this study, the regime's design displays notable strengths. Standardised forms address the comparability deficit that has undermined voluntary sustainability reporting, since prescribed fields constrain the selective presentation through which entities have historically managed impressions. The tiered thresholds embody a defensible proportionality, concentrating the climate-related obligation upon entities whose scale makes compliance feasible. Alignment with the Task Force on Climate-related Financial Disclosures positions Egypt advantageously relative to the emerging global baseline, since those recommendations have been absorbed into the climate standard of the International Sustainability Standards Board (IFRS Foundation, 2023b). With more than thirty jurisdictions moving towards adopting or using those standards (IFRS Foundation, 2025), this continuity is a material advantage for future convergence.</w:t>
      </w:r>
    </w:p>
    <w:p>
      <w:pPr>
        <w:spacing w:after="120" w:line="240" w:lineRule="auto"/>
        <w:jc w:val="both"/>
      </w:pPr>
      <w:r>
        <w:rPr>
          <w:rFonts w:ascii="Times New Roman" w:cs="Times New Roman" w:eastAsia="Times New Roman" w:hAnsi="Times New Roman"/>
          <w:b w:val="false"/>
          <w:bCs w:val="false"/>
          <w:sz w:val="28"/>
          <w:szCs w:val="28"/>
        </w:rPr>
        <w:t xml:space="preserve">The regime's limitation lies in what it does not specify. A disclosure mandate prescribes an output. It does not prescribe the measurement system that produces the output, the internal controls that govern that system, or the assurance to which its results are subject. Where an obligation to disclose is imposed without corresponding obligations concerning measurement methodology, data governance and independent verification, the entity may satisfy the requirement through ad hoc compilation, and theory suggests the rational preparer would tend to do so, since the cost of building a controlled measurement system materially exceeds the cost of assembling a return. Legitimacy theory anticipates this outcome directly: where disclosure is oriented towards the satisfaction of an external expectation, the disclosing entity has an incentive to invest in the appearance rather than in the substance of performance (Suchman, 1995), and institutional theory identifies the resulting decoupling of formal structure from operational practice as the characteristic response of organisations to coercive pressure (DiMaggio &amp; Powell, 1983). The finding of Abdelmoneim and El-Deeb (2024) that board characteristics moderate the relationship between disclosure and disclosure quality among Egyptian listed firms is consistent with this reading, since it indicates that the quality of reported information is determined by internal governance rather than by the existence of the mandate alone — though that study, too, examines disclosure quality rather than internal measurement practice directly, so the inference from disclosure quality to measurement architecture remains an extrapolation rather than a directly tested finding.</w:t>
      </w:r>
    </w:p>
    <w:p>
      <w:pPr>
        <w:spacing w:after="120" w:line="240" w:lineRule="auto"/>
        <w:jc w:val="both"/>
      </w:pPr>
      <w:r>
        <w:rPr>
          <w:rFonts w:ascii="Times New Roman" w:cs="Times New Roman" w:eastAsia="Times New Roman" w:hAnsi="Times New Roman"/>
          <w:b w:val="false"/>
          <w:bCs w:val="false"/>
          <w:sz w:val="28"/>
          <w:szCs w:val="28"/>
        </w:rPr>
        <w:t xml:space="preserve">The consequence is a systematic asymmetry in reliability between the two categories of information now appearing in the annual report. Financial information is produced by a controlled system, subject to recognised standards, and independently audited; sustainability information, in the general case, satisfies none of these three conditions as a matter of regulatory requirement, whatever individual entities may do voluntarily. Yet both are presented within a single reporting package and may be used by investors as though comparable in reliability. Signalling theory identifies the difficulty precisely: an unverified signal that is costless to emit cannot discriminate between entities and so conveys limited information (Spence, 1973).</w:t>
      </w:r>
    </w:p>
    <w:p>
      <w:pPr>
        <w:spacing w:after="120" w:line="240" w:lineRule="auto"/>
        <w:jc w:val="both"/>
      </w:pPr>
      <w:r>
        <w:rPr>
          <w:rFonts w:ascii="Times New Roman" w:cs="Times New Roman" w:eastAsia="Times New Roman" w:hAnsi="Times New Roman"/>
          <w:b w:val="false"/>
          <w:bCs w:val="false"/>
          <w:sz w:val="28"/>
          <w:szCs w:val="28"/>
        </w:rPr>
        <w:t xml:space="preserve">The contrast with Egypt's sovereign green bond issuance of 2020 is suggestive, though the comparison must be drawn carefully, since sovereign and corporate borrowing differ in their credit determinants, investor base and pricing mechanics, and the sovereign experience cannot be read as direct evidence about corporate-level financing costs. With that qualification, the instrument remains illustrative of the underlying mechanism: it was supported by a published financing framework, an independent external review and subsequent impact reporting, and it attracted subscription substantially in excess of the offering at a yield below that of comparable conventional issuance (World Bank, 2022). At the sovereign level, where sustainability claims were structured, externally verified and reported against, the market responded; whether an analogous effect holds for corporate issuers in Egypt is a tentative and, at present, untested question, since the existing corporate disclosure regime has not yet built the measurement and assurance conditions under which it could be observed.</w:t>
      </w:r>
    </w:p>
    <w:p>
      <w:pPr>
        <w:pStyle w:val="Heading2"/>
        <w:spacing w:after="100" w:before="200" w:line="240" w:lineRule="auto"/>
        <w:jc w:val="left"/>
      </w:pPr>
      <w:r>
        <w:rPr>
          <w:rFonts w:ascii="Times New Roman" w:cs="Times New Roman" w:eastAsia="Times New Roman" w:hAnsi="Times New Roman"/>
          <w:b/>
          <w:bCs/>
          <w:sz w:val="28"/>
          <w:szCs w:val="28"/>
        </w:rPr>
        <w:t xml:space="preserve">8.3 The Green Accounting Layer: Reporting Without Measurement</w:t>
      </w:r>
    </w:p>
    <w:p>
      <w:pPr>
        <w:spacing w:after="120" w:line="240" w:lineRule="auto"/>
        <w:jc w:val="both"/>
      </w:pPr>
      <w:r>
        <w:rPr>
          <w:rFonts w:ascii="Times New Roman" w:cs="Times New Roman" w:eastAsia="Times New Roman" w:hAnsi="Times New Roman"/>
          <w:b w:val="false"/>
          <w:bCs w:val="false"/>
          <w:sz w:val="28"/>
          <w:szCs w:val="28"/>
        </w:rPr>
        <w:t xml:space="preserve">Green accounting is a measurement discipline before it is a disclosure practice. Its foundational claim is that conventional cost systems conceal environmental cost within general overhead, preventing management from attributing that cost to the products, processes and decisions generating it, and so from managing it (Schaltegger &amp; Burritt, 2000). The corrective is to disaggregate environmental costs and trace them to their sources, so that they enter pricing, capital budgeting and process design as decision-relevant data — through instruments such as environmental cost accounting, material flow cost accounting, life-cycle costing and carbon accounting.</w:t>
      </w:r>
    </w:p>
    <w:p>
      <w:pPr>
        <w:spacing w:after="120" w:line="240" w:lineRule="auto"/>
        <w:jc w:val="both"/>
      </w:pPr>
      <w:r>
        <w:rPr>
          <w:rFonts w:ascii="Times New Roman" w:cs="Times New Roman" w:eastAsia="Times New Roman" w:hAnsi="Times New Roman"/>
          <w:b w:val="false"/>
          <w:bCs w:val="false"/>
          <w:sz w:val="28"/>
          <w:szCs w:val="28"/>
        </w:rPr>
        <w:t xml:space="preserve">The incentive structure created by a disclosure mandate points current Egyptian practice towards the opposite configuration — an expectation grounded in the theoretical framework of Section 6.2 rather than a documented empirical finding, since this study did not collect entity-level evidence on internal measurement systems. On this reasoning, because the operative driver is a disclosure mandate, the expected sequence begins with the regulator's prescribed form, proceeds to the identification of the data required to complete it, and terminates once the return has been filed. This is the outside-in configuration described by Burritt and Schaltegger (2010), and on this reading it would be defective in three respects. First, the data collected are likely to be those required by the form rather than those required for management, so environmental information would not readily enter operational decision-making. Second, because the exercise is periodic and externally directed, a permanent measurement capability is unlikely to accumulate within the entity, so that each reporting cycle would substantially repeat the effort of the last. Third, to the extent that the resulting data are compiled outside the accounting system, they would not be reconcilable to financial records, which would preclude the analysis that gives green accounting its managerial value, namely the joint examination of physical and monetary flows.</w:t>
      </w:r>
    </w:p>
    <w:p>
      <w:pPr>
        <w:spacing w:after="120" w:line="240" w:lineRule="auto"/>
        <w:jc w:val="both"/>
      </w:pPr>
      <w:r>
        <w:rPr>
          <w:rFonts w:ascii="Times New Roman" w:cs="Times New Roman" w:eastAsia="Times New Roman" w:hAnsi="Times New Roman"/>
          <w:b w:val="false"/>
          <w:bCs w:val="false"/>
          <w:sz w:val="28"/>
          <w:szCs w:val="28"/>
        </w:rPr>
        <w:t xml:space="preserve">An inside-out configuration would reverse this sequence: identifying the environmental cost drivers material to operations first, building measurement systems around those drivers, and generating external reporting as a by-product of the resulting internal data. Gray (2010) supplies a necessary qualification: even a well-constructed inside-out system accounts for organisational performance rather than ecological sustainability in any absolute sense, a limitation inherent in accounting's entity-based boundary rather than remediable through technique. The appropriate response is to characterise its output as information about an entity's environmental performance, disclosed alongside an explicit statement of the boundary within which it was measured.</w:t>
      </w:r>
    </w:p>
    <w:p>
      <w:pPr>
        <w:pStyle w:val="Heading2"/>
        <w:spacing w:after="100" w:before="200" w:line="240" w:lineRule="auto"/>
        <w:jc w:val="left"/>
      </w:pPr>
      <w:r>
        <w:rPr>
          <w:rFonts w:ascii="Times New Roman" w:cs="Times New Roman" w:eastAsia="Times New Roman" w:hAnsi="Times New Roman"/>
          <w:b/>
          <w:bCs/>
          <w:sz w:val="28"/>
          <w:szCs w:val="28"/>
        </w:rPr>
        <w:t xml:space="preserve">8.4 The Convergence: Digital Sustainability as an Architectural Problem</w:t>
      </w:r>
    </w:p>
    <w:p>
      <w:pPr>
        <w:spacing w:after="120" w:line="240" w:lineRule="auto"/>
        <w:jc w:val="both"/>
      </w:pPr>
      <w:r>
        <w:rPr>
          <w:rFonts w:ascii="Times New Roman" w:cs="Times New Roman" w:eastAsia="Times New Roman" w:hAnsi="Times New Roman"/>
          <w:b w:val="false"/>
          <w:bCs w:val="false"/>
          <w:sz w:val="28"/>
          <w:szCs w:val="28"/>
        </w:rPr>
        <w:t xml:space="preserve">The foregoing analysis situates the three layers in a specific relation: substantial digital transaction infrastructure that does not extend to physical resource flows; a mandatory disclosure regime that specifies outputs without specifying the measurement systems producing them; and, on the theoretical reading developed above, a green accounting practice oriented towards external reporting rather than internal measurement. Digital sustainability, in the sense used here, is the architectural principle that would connect them.</w:t>
      </w:r>
    </w:p>
    <w:p>
      <w:pPr>
        <w:spacing w:after="120" w:line="240" w:lineRule="auto"/>
        <w:jc w:val="both"/>
      </w:pPr>
      <w:r>
        <w:rPr>
          <w:rFonts w:ascii="Times New Roman" w:cs="Times New Roman" w:eastAsia="Times New Roman" w:hAnsi="Times New Roman"/>
          <w:b w:val="false"/>
          <w:bCs w:val="false"/>
          <w:sz w:val="28"/>
          <w:szCs w:val="28"/>
        </w:rPr>
        <w:t xml:space="preserve">Its operative requirement is that sustainability data be admitted into the accounting information system as a first-class data class rather than a parallel compilation. Four conditions define such an architecture: capture at source, with physical consumption and emission data recorded at the point of occurrence through metering and sensor instrumentation, at the discipline applied to transaction capture; unified data governance, with sustainability data subject to defined ownership, documented methodology, version control and access control on the same basis as financial data; structured, taxonomy-based reporting, so disclosures become computable and comparable across entities and periods; and designed assurability, so an independent verifier can trace a reported figure to underlying evidence and re-perform its computation, since untraceable data cannot be assured, and unassured data will not command capital markets' confidence.</w:t>
      </w:r>
    </w:p>
    <w:p>
      <w:pPr>
        <w:spacing w:after="120" w:line="240" w:lineRule="auto"/>
        <w:jc w:val="both"/>
      </w:pPr>
      <w:r>
        <w:rPr>
          <w:rFonts w:ascii="Times New Roman" w:cs="Times New Roman" w:eastAsia="Times New Roman" w:hAnsi="Times New Roman"/>
          <w:b w:val="false"/>
          <w:bCs w:val="false"/>
          <w:sz w:val="28"/>
          <w:szCs w:val="28"/>
        </w:rPr>
        <w:t xml:space="preserve">The technologies required for these conditions are available and, in significant part, already deployed within Egyptian industry — though for purposes distinct from sustainability measurement, a distinction worth making explicit since it might otherwise appear to sit uneasily beside the preceding account of manual, spreadsheet-based environmental data compilation. Enterprise resource planning systems, sensor networks and industrial internet-of-things instrumentation are used in Egyptian manufacturing and utilities chiefly for process control, predictive maintenance and quality assurance; they are not, on the available evidence, generally wired into sustainability reporting pipelines. There is, in other words, no contradiction between the presence of this operational instrumentation and the outside-in, largely manual compilation of ESG data described above: the two observations concern different uses of related technology. Enterprise resource planning systems can accommodate physical unit dimensions alongside monetary ones; the same sensor and internet-of-things instrumentation already installed for operational purposes can, in principle, be extended to capture consumption and emissions data automatically; analytical tools can process the resulting volumes; and distributed ledger technology can, where warranted, provide tamper-evident records of supply-chain provenance, though the literature indicates that its accounting applications remain predominantly conceptual and its governance requirements frequently underestimated (Garanina et al., 2022; Spanò et al., 2022). The binding constraint is therefore not the availability of underlying technology but the absence of a requirement — and, in most entities, the absence of an internal decision — to extend that technology's use to sustainability data with the same architectural discipline applied to financial data, together with the absence within the profession of the competence to construct and audit such an extension.</w:t>
      </w:r>
    </w:p>
    <w:p>
      <w:pPr>
        <w:pStyle w:val="Heading2"/>
        <w:spacing w:after="100" w:before="200" w:line="240" w:lineRule="auto"/>
        <w:jc w:val="left"/>
      </w:pPr>
      <w:r>
        <w:rPr>
          <w:rFonts w:ascii="Times New Roman" w:cs="Times New Roman" w:eastAsia="Times New Roman" w:hAnsi="Times New Roman"/>
          <w:b/>
          <w:bCs/>
          <w:sz w:val="28"/>
          <w:szCs w:val="28"/>
        </w:rPr>
        <w:t xml:space="preserve">8.5 Constraints and Tensions</w:t>
      </w:r>
    </w:p>
    <w:p>
      <w:pPr>
        <w:spacing w:after="120" w:line="240" w:lineRule="auto"/>
        <w:jc w:val="both"/>
      </w:pPr>
      <w:r>
        <w:rPr>
          <w:rFonts w:ascii="Times New Roman" w:cs="Times New Roman" w:eastAsia="Times New Roman" w:hAnsi="Times New Roman"/>
          <w:b w:val="false"/>
          <w:bCs w:val="false"/>
          <w:sz w:val="28"/>
          <w:szCs w:val="28"/>
        </w:rPr>
        <w:t xml:space="preserve">Five constraints require explicit acknowledgement, since a framework that ignores them cannot be implemented.</w:t>
      </w:r>
    </w:p>
    <w:p>
      <w:pPr>
        <w:spacing w:after="120" w:line="240" w:lineRule="auto"/>
        <w:jc w:val="both"/>
      </w:pPr>
      <w:r>
        <w:rPr>
          <w:rFonts w:ascii="Times New Roman" w:cs="Times New Roman" w:eastAsia="Times New Roman" w:hAnsi="Times New Roman"/>
          <w:b w:val="false"/>
          <w:bCs w:val="false"/>
          <w:sz w:val="28"/>
          <w:szCs w:val="28"/>
        </w:rPr>
        <w:t xml:space="preserve">The first is professional competence. The integration described above requires practitioners capable of moving between accounting, environmental measurement and data engineering. Accounting education in Egypt, as in most jurisdictions, treats these as separate domains, and employers expect technological competence to supplement rather than replace conventional professional knowledge (Jackson et al., 2022). The supply of practitioners possessing the combined competence is presently insufficient, and this is the most severe near-term constraint upon implementation.</w:t>
      </w:r>
    </w:p>
    <w:p>
      <w:pPr>
        <w:spacing w:after="120" w:line="240" w:lineRule="auto"/>
        <w:jc w:val="both"/>
      </w:pPr>
      <w:r>
        <w:rPr>
          <w:rFonts w:ascii="Times New Roman" w:cs="Times New Roman" w:eastAsia="Times New Roman" w:hAnsi="Times New Roman"/>
          <w:b w:val="false"/>
          <w:bCs w:val="false"/>
          <w:sz w:val="28"/>
          <w:szCs w:val="28"/>
        </w:rPr>
        <w:t xml:space="preserve">The second is assurance capability. Assuring automatically captured environmental data requires methods substantially different from those developed for documentary evidence, since reliability depends upon the calibration of instrumentation, the configuration of data pipelines and the controls governing them rather than upon the authenticity of documents. The continuous auditing literature anticipates this shift without yet supplying a settled methodology, and Egyptian practice has limited accumulated experience in the area.</w:t>
      </w:r>
    </w:p>
    <w:p>
      <w:pPr>
        <w:spacing w:after="120" w:line="240" w:lineRule="auto"/>
        <w:jc w:val="both"/>
      </w:pPr>
      <w:r>
        <w:rPr>
          <w:rFonts w:ascii="Times New Roman" w:cs="Times New Roman" w:eastAsia="Times New Roman" w:hAnsi="Times New Roman"/>
          <w:b w:val="false"/>
          <w:bCs w:val="false"/>
          <w:sz w:val="28"/>
          <w:szCs w:val="28"/>
        </w:rPr>
        <w:t xml:space="preserve">The third is the environmental cost of digital infrastructure itself. Data centres, network infrastructure, computation and the hardware lifecycle carry material energy and resource consequences; a reporting architecture that expands data capture without accounting for its own footprint reproduces, at the level of the information system, the externalisation it was designed to correct. Analytical consistency requires that this footprint be included within the reporting boundary.</w:t>
      </w:r>
    </w:p>
    <w:p>
      <w:pPr>
        <w:spacing w:after="120" w:line="240" w:lineRule="auto"/>
        <w:jc w:val="both"/>
      </w:pPr>
      <w:r>
        <w:rPr>
          <w:rFonts w:ascii="Times New Roman" w:cs="Times New Roman" w:eastAsia="Times New Roman" w:hAnsi="Times New Roman"/>
          <w:b w:val="false"/>
          <w:bCs w:val="false"/>
          <w:sz w:val="28"/>
          <w:szCs w:val="28"/>
        </w:rPr>
        <w:t xml:space="preserve">The fourth is cybersecurity. Centralising financial, operational and environmental data within integrated systems concentrates risk, and a breach affecting environmental data would compromise reported figures as directly as one affecting financial records — security is a condition of reporting reliability, not a separate technical concern.</w:t>
      </w:r>
    </w:p>
    <w:p>
      <w:pPr>
        <w:spacing w:after="120" w:line="240" w:lineRule="auto"/>
        <w:jc w:val="both"/>
      </w:pPr>
      <w:r>
        <w:rPr>
          <w:rFonts w:ascii="Times New Roman" w:cs="Times New Roman" w:eastAsia="Times New Roman" w:hAnsi="Times New Roman"/>
          <w:b w:val="false"/>
          <w:bCs w:val="false"/>
          <w:sz w:val="28"/>
          <w:szCs w:val="28"/>
        </w:rPr>
        <w:t xml:space="preserve">The fifth is proportionality with respect to smaller entities. The disclosure regime applies capital thresholds that exempt smaller companies, and this exemption is defensible in respect of reporting burden. It nonetheless produces a structural consequence, since smaller entities constitute a substantial share of employment and environmental impact in Egypt and are frequently situated within the supply chains of reporting entities. As reporting entities are increasingly required to account for value-chain emissions, the data burden migrates towards suppliers that are exempt from the obligation and lack the capability to respond. Any workable national framework must therefore incorporate a simplified measurement pathway for smaller entities.</w:t>
      </w:r>
    </w:p>
    <w:p>
      <w:pPr>
        <w:pStyle w:val="Heading2"/>
        <w:spacing w:after="100" w:before="200" w:line="240" w:lineRule="auto"/>
        <w:jc w:val="left"/>
      </w:pPr>
      <w:r>
        <w:rPr>
          <w:rFonts w:ascii="Times New Roman" w:cs="Times New Roman" w:eastAsia="Times New Roman" w:hAnsi="Times New Roman"/>
          <w:b/>
          <w:bCs/>
          <w:sz w:val="28"/>
          <w:szCs w:val="28"/>
        </w:rPr>
        <w:t xml:space="preserve">8.6 Alignment with Egypt Vision 2030</w:t>
      </w:r>
    </w:p>
    <w:p>
      <w:pPr>
        <w:spacing w:after="120" w:line="240" w:lineRule="auto"/>
        <w:jc w:val="both"/>
      </w:pPr>
      <w:r>
        <w:rPr>
          <w:rFonts w:ascii="Times New Roman" w:cs="Times New Roman" w:eastAsia="Times New Roman" w:hAnsi="Times New Roman"/>
          <w:b w:val="false"/>
          <w:bCs w:val="false"/>
          <w:sz w:val="28"/>
          <w:szCs w:val="28"/>
        </w:rPr>
        <w:t xml:space="preserve">The framework outlined above corresponds to the architecture of Egypt Vision 2030 in three respects. In its economic dimension, reliable and comparable sustainability information would reduce the informational friction that raises emerging-market issuers' cost of capital, supporting the strategy's investment and competitiveness objectives; the sovereign green bond experience offers a tentative, illustrative precedent, since credible signalling attracted capital on improved terms at the sovereign level (World Bank, 2022), though extending that inference to corporate issuers requires the caution noted in Section 8.2. In its environmental dimension, the measurement discipline green accounting supplies is a precondition of the strategy's resource-efficiency, emissions-reduction and circular-economy objectives, since unmeasured consumption cannot be verifiably reduced (Ministry of Planning and Economic Development, 2023). In its governance dimension, structured, machine-readable reporting advances the strategy's transparency and accountability objectives, since computable disclosure permits systematic supervisory analysis rather than document-by-document review.</w:t>
      </w:r>
    </w:p>
    <w:p>
      <w:pPr>
        <w:spacing w:after="120" w:line="240" w:lineRule="auto"/>
        <w:jc w:val="both"/>
      </w:pPr>
      <w:r>
        <w:rPr>
          <w:rFonts w:ascii="Times New Roman" w:cs="Times New Roman" w:eastAsia="Times New Roman" w:hAnsi="Times New Roman"/>
          <w:b w:val="false"/>
          <w:bCs w:val="false"/>
          <w:sz w:val="28"/>
          <w:szCs w:val="28"/>
        </w:rPr>
        <w:t xml:space="preserve">The correspondence extends to the strategy's own logic: Egypt Vision 2030 treats digital transformation as an instrument for delivering sustainable development, not an objective in itself. The framework proposed here applies that logic to accounting specifically, treating its digitalisation not as an efficiency programme but as the infrastructure upon which credible sustainability measurement depends.</w:t>
      </w:r>
    </w:p>
    <w:p>
      <w:pPr>
        <w:pStyle w:val="Heading1"/>
        <w:spacing w:after="120" w:before="260" w:line="240" w:lineRule="auto"/>
        <w:jc w:val="left"/>
      </w:pPr>
      <w:r>
        <w:rPr>
          <w:rFonts w:ascii="Times New Roman" w:cs="Times New Roman" w:eastAsia="Times New Roman" w:hAnsi="Times New Roman"/>
          <w:b/>
          <w:bCs/>
          <w:sz w:val="28"/>
          <w:szCs w:val="28"/>
        </w:rPr>
        <w:t xml:space="preserve">9. Findings</w:t>
      </w:r>
    </w:p>
    <w:p>
      <w:pPr>
        <w:spacing w:after="120" w:line="240" w:lineRule="auto"/>
        <w:jc w:val="both"/>
      </w:pPr>
      <w:r>
        <w:rPr>
          <w:rFonts w:ascii="Times New Roman" w:cs="Times New Roman" w:eastAsia="Times New Roman" w:hAnsi="Times New Roman"/>
          <w:b w:val="false"/>
          <w:bCs w:val="false"/>
          <w:sz w:val="28"/>
          <w:szCs w:val="28"/>
        </w:rPr>
        <w:t xml:space="preserve">The study yields four analytical conclusions, derived from the documentary evidence and theoretical analysis presented above rather than from primary empirical data, corresponding respectively to the four research objectives and questions.</w:t>
      </w:r>
    </w:p>
    <w:p>
      <w:pPr>
        <w:spacing w:after="120" w:line="240" w:lineRule="auto"/>
        <w:jc w:val="both"/>
      </w:pPr>
      <w:r>
        <w:rPr>
          <w:rFonts w:ascii="Times New Roman" w:cs="Times New Roman" w:eastAsia="Times New Roman" w:hAnsi="Times New Roman"/>
          <w:b/>
          <w:bCs/>
          <w:sz w:val="28"/>
          <w:szCs w:val="28"/>
        </w:rPr>
        <w:t xml:space="preserve">First</w:t>
      </w:r>
      <w:r>
        <w:rPr>
          <w:rFonts w:ascii="Times New Roman" w:cs="Times New Roman" w:eastAsia="Times New Roman" w:hAnsi="Times New Roman"/>
          <w:b w:val="false"/>
          <w:bCs w:val="false"/>
          <w:sz w:val="28"/>
          <w:szCs w:val="28"/>
        </w:rPr>
        <w:t xml:space="preserve">, the transition to digital accounting and financial reporting in Egypt has been state-led, fiscally motivated and structurally significant, but it is asymmetrically developed. Its achievements are concentrated in transaction capture, validation and tax administration, and it has raised the baseline quality of transactional accounting data across the formal economy. Its architecture is nonetheless organised around the transaction as the unit of record, and consequently does not capture the physical resource flows in which environmental performance is measured. The transition has therefore created a necessary but insufficient foundation for sustainability measurement.</w:t>
      </w:r>
    </w:p>
    <w:p>
      <w:pPr>
        <w:spacing w:after="120" w:line="240" w:lineRule="auto"/>
        <w:jc w:val="both"/>
      </w:pPr>
      <w:r>
        <w:rPr>
          <w:rFonts w:ascii="Times New Roman" w:cs="Times New Roman" w:eastAsia="Times New Roman" w:hAnsi="Times New Roman"/>
          <w:b/>
          <w:bCs/>
          <w:sz w:val="28"/>
          <w:szCs w:val="28"/>
        </w:rPr>
        <w:t xml:space="preserve">Second</w:t>
      </w:r>
      <w:r>
        <w:rPr>
          <w:rFonts w:ascii="Times New Roman" w:cs="Times New Roman" w:eastAsia="Times New Roman" w:hAnsi="Times New Roman"/>
          <w:b w:val="false"/>
          <w:bCs w:val="false"/>
          <w:sz w:val="28"/>
          <w:szCs w:val="28"/>
        </w:rPr>
        <w:t xml:space="preserve">, the sustainability disclosure regime introduced by Decrees No. 107 and No. 108 of 2021 has established comparability at the level of reported output and has aligned Egypt with the architecture of the emerging international baseline through its adoption of the climate-related disclosure structure of the Task Force on Climate-related Financial Disclosures. It has not, however, established corresponding requirements concerning measurement methodology, data governance or independent assurance. The regime therefore mandates disclosure without mandating the measurement architecture that would render the disclosure reliable, and the predictable outcome, consistent with legitimacy and institutional theory, is compliance-oriented reporting at risk of decoupling from operational practice.</w:t>
      </w:r>
    </w:p>
    <w:p>
      <w:pPr>
        <w:spacing w:after="120" w:line="240" w:lineRule="auto"/>
        <w:jc w:val="both"/>
      </w:pPr>
      <w:r>
        <w:rPr>
          <w:rFonts w:ascii="Times New Roman" w:cs="Times New Roman" w:eastAsia="Times New Roman" w:hAnsi="Times New Roman"/>
          <w:b/>
          <w:bCs/>
          <w:sz w:val="28"/>
          <w:szCs w:val="28"/>
        </w:rPr>
        <w:t xml:space="preserve">Third</w:t>
      </w:r>
      <w:r>
        <w:rPr>
          <w:rFonts w:ascii="Times New Roman" w:cs="Times New Roman" w:eastAsia="Times New Roman" w:hAnsi="Times New Roman"/>
          <w:b w:val="false"/>
          <w:bCs w:val="false"/>
          <w:sz w:val="28"/>
          <w:szCs w:val="28"/>
        </w:rPr>
        <w:t xml:space="preserve">, green accounting in Egypt is, on the theoretical reading developed in this study, presently configured along outside-in lines, in which the regulator's prescribed form determines what is measured, with the consequence that environmental data would be compiled periodically outside the accounting information system, would not be reconcilable to financial records, and would not readily inform managerial decisions. Embedding green accounting within digital accounting infrastructure is technically feasible and requires four conditions: capture of physical data at source, unified governance of sustainability and financial data, structured taxonomy-based reporting, and system design that permits independent verification. Satisfaction of these conditions would convert environmental reporting from a periodic compliance exercise into a continuous measurement capability.</w:t>
      </w:r>
    </w:p>
    <w:p>
      <w:pPr>
        <w:spacing w:after="120" w:line="240" w:lineRule="auto"/>
        <w:jc w:val="both"/>
      </w:pPr>
      <w:r>
        <w:rPr>
          <w:rFonts w:ascii="Times New Roman" w:cs="Times New Roman" w:eastAsia="Times New Roman" w:hAnsi="Times New Roman"/>
          <w:b/>
          <w:bCs/>
          <w:sz w:val="28"/>
          <w:szCs w:val="28"/>
        </w:rPr>
        <w:t xml:space="preserve">Fourth</w:t>
      </w:r>
      <w:r>
        <w:rPr>
          <w:rFonts w:ascii="Times New Roman" w:cs="Times New Roman" w:eastAsia="Times New Roman" w:hAnsi="Times New Roman"/>
          <w:b w:val="false"/>
          <w:bCs w:val="false"/>
          <w:sz w:val="28"/>
          <w:szCs w:val="28"/>
        </w:rPr>
        <w:t xml:space="preserve">, the binding constraint upon integration is institutional and human rather than technological. The requisite technologies are available and substantially deployed for operational purposes, but not extended to sustainability measurement; what is absent is a regulatory requirement that sustainability data be produced under the governance and control discipline applied to financial data, a settled assurance methodology for automatically captured non-financial data, and a supply of practitioners competent across accounting, environmental measurement and data engineering. Three further constraints qualify any implementation: the environmental footprint of the reporting infrastructure itself, the concentration of cybersecurity risk within integrated systems, and the migration of data burdens towards smaller entities that are exempt from the disclosure obligation yet situated within the value chains of reporting entities.</w:t>
      </w:r>
    </w:p>
    <w:p>
      <w:pPr>
        <w:pStyle w:val="Heading1"/>
        <w:spacing w:after="120" w:before="260" w:line="240" w:lineRule="auto"/>
        <w:jc w:val="left"/>
      </w:pPr>
      <w:r>
        <w:rPr>
          <w:rFonts w:ascii="Times New Roman" w:cs="Times New Roman" w:eastAsia="Times New Roman" w:hAnsi="Times New Roman"/>
          <w:b/>
          <w:bCs/>
          <w:sz w:val="28"/>
          <w:szCs w:val="28"/>
        </w:rPr>
        <w:t xml:space="preserve">10. Recommendations</w:t>
      </w:r>
    </w:p>
    <w:p>
      <w:pPr>
        <w:pStyle w:val="Heading2"/>
        <w:spacing w:after="100" w:before="200" w:line="240" w:lineRule="auto"/>
        <w:jc w:val="left"/>
      </w:pPr>
      <w:r>
        <w:rPr>
          <w:rFonts w:ascii="Times New Roman" w:cs="Times New Roman" w:eastAsia="Times New Roman" w:hAnsi="Times New Roman"/>
          <w:b/>
          <w:bCs/>
          <w:sz w:val="28"/>
          <w:szCs w:val="28"/>
        </w:rPr>
        <w:t xml:space="preserve">10.1 Practical Recommendations</w:t>
      </w:r>
    </w:p>
    <w:p>
      <w:pPr>
        <w:spacing w:after="120" w:line="240" w:lineRule="auto"/>
        <w:jc w:val="both"/>
      </w:pPr>
      <w:r>
        <w:rPr>
          <w:rFonts w:ascii="Times New Roman" w:cs="Times New Roman" w:eastAsia="Times New Roman" w:hAnsi="Times New Roman"/>
          <w:b w:val="false"/>
          <w:bCs w:val="false"/>
          <w:sz w:val="28"/>
          <w:szCs w:val="28"/>
        </w:rPr>
        <w:t xml:space="preserve">Addressed to regulatory authorities, and following from the second and fourth findings, it is recommended that the existing disclosure requirement be complemented by minimum requirements on the measurement basis of reported sustainability data — documented methodology, defined organisational and reporting boundaries, and retention of underlying evidence — and that a phased pathway towards independent limited assurance of core metrics be published in advance so preparers and audit firms can build capability against a known timetable. A national, machine-readable sustainability taxonomy is further recommended, enabling systematic supervisory analysis and cross-entity comparison, together with a simplified measurement pathway for smaller entities in reporting entities' value chains, so the exemption threshold does not generate an unmet data burden.</w:t>
      </w:r>
    </w:p>
    <w:p>
      <w:pPr>
        <w:spacing w:after="120" w:line="240" w:lineRule="auto"/>
        <w:jc w:val="both"/>
      </w:pPr>
      <w:r>
        <w:rPr>
          <w:rFonts w:ascii="Times New Roman" w:cs="Times New Roman" w:eastAsia="Times New Roman" w:hAnsi="Times New Roman"/>
          <w:b w:val="false"/>
          <w:bCs w:val="false"/>
          <w:sz w:val="28"/>
          <w:szCs w:val="28"/>
        </w:rPr>
        <w:t xml:space="preserve">Addressed to preparers, and following from the third finding, it is recommended that sustainability measurement be repositioned as an inside-out capability originating in material environmental cost drivers; that physical unit dimensions be incorporated within existing enterprise resource planning systems rather than parallel spreadsheets; that ownership of sustainability data be assigned within finance under the same control framework as financial data; and that operational sensor and internet-of-things instrumentation already installed for process purposes be extended, where feasible, to feed sustainability reporting rather than treated as a separate future investment, with the reporting infrastructure's own footprint brought within the reporting boundary.</w:t>
      </w:r>
    </w:p>
    <w:p>
      <w:pPr>
        <w:spacing w:after="120" w:line="240" w:lineRule="auto"/>
        <w:jc w:val="both"/>
      </w:pPr>
      <w:r>
        <w:rPr>
          <w:rFonts w:ascii="Times New Roman" w:cs="Times New Roman" w:eastAsia="Times New Roman" w:hAnsi="Times New Roman"/>
          <w:b w:val="false"/>
          <w:bCs w:val="false"/>
          <w:sz w:val="28"/>
          <w:szCs w:val="28"/>
        </w:rPr>
        <w:t xml:space="preserve">Addressed to the auditing profession, and following from the fourth finding, it is recommended that professional bodies develop and publish guidance on assurance over automatically captured non-financial data, addressing in particular the evaluation of instrumentation integrity, data pipeline controls and computational reproducibility, since the migration of evidence from documents to systems requires a corresponding migration of audit methodology.</w:t>
      </w:r>
    </w:p>
    <w:p>
      <w:pPr>
        <w:spacing w:after="120" w:line="240" w:lineRule="auto"/>
        <w:jc w:val="both"/>
      </w:pPr>
      <w:r>
        <w:rPr>
          <w:rFonts w:ascii="Times New Roman" w:cs="Times New Roman" w:eastAsia="Times New Roman" w:hAnsi="Times New Roman"/>
          <w:b w:val="false"/>
          <w:bCs w:val="false"/>
          <w:sz w:val="28"/>
          <w:szCs w:val="28"/>
        </w:rPr>
        <w:t xml:space="preserve">Addressed to universities and professional education providers, and following from the fourth finding, it is recommended that accounting curricula integrate environmental measurement and data analytics within the accounting programme itself rather than treating them as separate electives, in order to develop the combined competence that implementation requires.</w:t>
      </w:r>
    </w:p>
    <w:p>
      <w:pPr>
        <w:pStyle w:val="Heading2"/>
        <w:spacing w:after="100" w:before="200" w:line="240" w:lineRule="auto"/>
        <w:jc w:val="left"/>
      </w:pPr>
      <w:r>
        <w:rPr>
          <w:rFonts w:ascii="Times New Roman" w:cs="Times New Roman" w:eastAsia="Times New Roman" w:hAnsi="Times New Roman"/>
          <w:b/>
          <w:bCs/>
          <w:sz w:val="28"/>
          <w:szCs w:val="28"/>
        </w:rPr>
        <w:t xml:space="preserve">10.2 Recommendations for Future Research</w:t>
      </w:r>
    </w:p>
    <w:p>
      <w:pPr>
        <w:spacing w:after="120" w:line="240" w:lineRule="auto"/>
        <w:jc w:val="both"/>
      </w:pPr>
      <w:r>
        <w:rPr>
          <w:rFonts w:ascii="Times New Roman" w:cs="Times New Roman" w:eastAsia="Times New Roman" w:hAnsi="Times New Roman"/>
          <w:b w:val="false"/>
          <w:bCs w:val="false"/>
          <w:sz w:val="28"/>
          <w:szCs w:val="28"/>
        </w:rPr>
        <w:t xml:space="preserve">Following from the first and second findings, empirical investigation into the actual quality of disclosures filed under Decrees No. 107 and No. 108 — through content analysis of filed returns across successive cycles — would establish whether quality has improved over time and which entity characteristics predict improvement. Following from the third finding, case-based research within Egyptian entities — through surveys, interviews or documented case studies — would test directly the theoretical expectation advanced in this study regarding outside-in measurement practice, and would establish the organisational conditions under which an inside-out configuration is achievable, and at what cost; this is, in the present study's own assessment, the most pressing empirical gap it leaves open. Following from the fourth finding, research into the association between assurance of sustainability information and the cost of capital for Egyptian issuers would test directly the signalling proposition advanced in this study, including whether the sovereign-level effect observed in the green bond market extends, in any degree, to corporate issuers. Finally, comparative research across Middle Eastern and North African jurisdictions pursuing convergence with the standards of the International Sustainability Standards Board would situate the Egyptian trajectory within its regional context and identify transferable implementation lessons.</w:t>
      </w:r>
    </w:p>
    <w:p>
      <w:pPr>
        <w:pStyle w:val="Heading1"/>
        <w:spacing w:after="120" w:before="260" w:line="240" w:lineRule="auto"/>
        <w:jc w:val="left"/>
      </w:pPr>
      <w:r>
        <w:rPr>
          <w:rFonts w:ascii="Times New Roman" w:cs="Times New Roman" w:eastAsia="Times New Roman" w:hAnsi="Times New Roman"/>
          <w:b/>
          <w:bCs/>
          <w:sz w:val="28"/>
          <w:szCs w:val="28"/>
        </w:rPr>
        <w:t xml:space="preserve">11. Conclusion</w:t>
      </w:r>
    </w:p>
    <w:p>
      <w:pPr>
        <w:spacing w:after="120" w:line="240" w:lineRule="auto"/>
        <w:jc w:val="both"/>
      </w:pPr>
      <w:r>
        <w:rPr>
          <w:rFonts w:ascii="Times New Roman" w:cs="Times New Roman" w:eastAsia="Times New Roman" w:hAnsi="Times New Roman"/>
          <w:b w:val="false"/>
          <w:bCs w:val="false"/>
          <w:sz w:val="28"/>
          <w:szCs w:val="28"/>
        </w:rPr>
        <w:t xml:space="preserve">This study examined whether the transition to digital accounting and financial reporting in Egypt provides an operative infrastructure for institutionalising green accounting and digital sustainability under Egypt Vision 2030. Employing a descriptive-analytical method grounded in documentary analysis of regulatory instruments, national strategy documents, standard-setter pronouncements and peer-reviewed literature covering the period from 2016 to 2026, and interpreting that evidence through stakeholder, legitimacy, institutional, signalling and technology-adoption perspectives, the analysis established that Egypt has constructed substantial digital capability organised around the transaction and a mandatory disclosure regime organised around prescribed output, while leaving unaddressed the measurement architecture that would connect them. Claims in this study about internal entity-level practice are advanced as theoretical expectations consistent with that architecture, not as documented empirical findings, and are offered as hypotheses for the primary research recommended in Section 10.2. The principal conclusion is that the decisive constraint is institutional rather than technological: sustainability information will attain the reliability of financial information only when it is produced within the same system, under the same governance, and subject to the same verification. The contribution of the study lies in reframing digital sustainability in accounting as an architectural and governance question rather than a technological one, and in specifying, for a mandated emerging-market disclosure regime, the four conditions under which green accounting can be embedded within digital accounting infrastructure rather than layered upon it.</w:t>
      </w:r>
    </w:p>
    <w:p>
      <w:pPr>
        <w:pStyle w:val="Heading1"/>
        <w:spacing w:after="120" w:before="260" w:line="240" w:lineRule="auto"/>
        <w:jc w:val="left"/>
      </w:pPr>
      <w:r>
        <w:rPr>
          <w:rFonts w:ascii="Times New Roman" w:cs="Times New Roman" w:eastAsia="Times New Roman" w:hAnsi="Times New Roman"/>
          <w:b/>
          <w:bCs/>
          <w:sz w:val="28"/>
          <w:szCs w:val="28"/>
        </w:rPr>
        <w:t xml:space="preserve">References (APA 7th Edition)</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Abdelmoneim, Z., &amp; El-Deeb, M. S. (2024). BOD characteristics and their impact on the link between ESG disclosure and integrated reporting disclosure quality: A study of Egyptian non-financial firms. </w:t>
      </w:r>
      <w:r>
        <w:rPr>
          <w:rFonts w:ascii="Times New Roman" w:cs="Times New Roman" w:eastAsia="Times New Roman" w:hAnsi="Times New Roman"/>
          <w:b w:val="false"/>
          <w:bCs w:val="false"/>
          <w:i/>
          <w:iCs/>
          <w:sz w:val="28"/>
          <w:szCs w:val="28"/>
        </w:rPr>
        <w:t xml:space="preserve">Future Business Journal, 10</w:t>
      </w:r>
      <w:r>
        <w:rPr>
          <w:rFonts w:ascii="Times New Roman" w:cs="Times New Roman" w:eastAsia="Times New Roman" w:hAnsi="Times New Roman"/>
          <w:b w:val="false"/>
          <w:bCs w:val="false"/>
          <w:sz w:val="28"/>
          <w:szCs w:val="28"/>
        </w:rPr>
        <w:t xml:space="preserve">(1), 1–20. https://doi.org/10.1186/s43093-023-00297-y</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Burritt, R. L., &amp; Schaltegger, S. (2010). Sustainability accounting and reporting: Fad or trend? </w:t>
      </w:r>
      <w:r>
        <w:rPr>
          <w:rFonts w:ascii="Times New Roman" w:cs="Times New Roman" w:eastAsia="Times New Roman" w:hAnsi="Times New Roman"/>
          <w:b w:val="false"/>
          <w:bCs w:val="false"/>
          <w:i/>
          <w:iCs/>
          <w:sz w:val="28"/>
          <w:szCs w:val="28"/>
        </w:rPr>
        <w:t xml:space="preserve">Accounting, Auditing &amp; Accountability Journal, 23</w:t>
      </w:r>
      <w:r>
        <w:rPr>
          <w:rFonts w:ascii="Times New Roman" w:cs="Times New Roman" w:eastAsia="Times New Roman" w:hAnsi="Times New Roman"/>
          <w:b w:val="false"/>
          <w:bCs w:val="false"/>
          <w:sz w:val="28"/>
          <w:szCs w:val="28"/>
        </w:rPr>
        <w:t xml:space="preserve">(7), 829–846. https://doi.org/10.1108/09513571011080144</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Dai, J., &amp; Vasarhelyi, M. A. (2017). Toward blockchain-based accounting and assurance. </w:t>
      </w:r>
      <w:r>
        <w:rPr>
          <w:rFonts w:ascii="Times New Roman" w:cs="Times New Roman" w:eastAsia="Times New Roman" w:hAnsi="Times New Roman"/>
          <w:b w:val="false"/>
          <w:bCs w:val="false"/>
          <w:i/>
          <w:iCs/>
          <w:sz w:val="28"/>
          <w:szCs w:val="28"/>
        </w:rPr>
        <w:t xml:space="preserve">Journal of Information Systems, 31</w:t>
      </w:r>
      <w:r>
        <w:rPr>
          <w:rFonts w:ascii="Times New Roman" w:cs="Times New Roman" w:eastAsia="Times New Roman" w:hAnsi="Times New Roman"/>
          <w:b w:val="false"/>
          <w:bCs w:val="false"/>
          <w:sz w:val="28"/>
          <w:szCs w:val="28"/>
        </w:rPr>
        <w:t xml:space="preserve">(3), 5–21. https://doi.org/10.2308/isys-51804</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DiMaggio, P. J., &amp; Powell, W. W. (1983). The iron cage revisited: Institutional isomorphism and collective rationality in organizational fields. </w:t>
      </w:r>
      <w:r>
        <w:rPr>
          <w:rFonts w:ascii="Times New Roman" w:cs="Times New Roman" w:eastAsia="Times New Roman" w:hAnsi="Times New Roman"/>
          <w:b w:val="false"/>
          <w:bCs w:val="false"/>
          <w:i/>
          <w:iCs/>
          <w:sz w:val="28"/>
          <w:szCs w:val="28"/>
        </w:rPr>
        <w:t xml:space="preserve">American Sociological Review, 48</w:t>
      </w:r>
      <w:r>
        <w:rPr>
          <w:rFonts w:ascii="Times New Roman" w:cs="Times New Roman" w:eastAsia="Times New Roman" w:hAnsi="Times New Roman"/>
          <w:b w:val="false"/>
          <w:bCs w:val="false"/>
          <w:sz w:val="28"/>
          <w:szCs w:val="28"/>
        </w:rPr>
        <w:t xml:space="preserve">(2), 147–160. https://doi.org/10.2307/2095101</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Financial Regulatory Authority. (2021). </w:t>
      </w:r>
      <w:r>
        <w:rPr>
          <w:rFonts w:ascii="Times New Roman" w:cs="Times New Roman" w:eastAsia="Times New Roman" w:hAnsi="Times New Roman"/>
          <w:b w:val="false"/>
          <w:bCs w:val="false"/>
          <w:i/>
          <w:iCs/>
          <w:sz w:val="28"/>
          <w:szCs w:val="28"/>
        </w:rPr>
        <w:t xml:space="preserve">Decrees No. 107 and No. 108 of 2021 concerning environmental, social and governance disclosure and climate-related financial disclosure</w:t>
      </w:r>
      <w:r>
        <w:rPr>
          <w:rFonts w:ascii="Times New Roman" w:cs="Times New Roman" w:eastAsia="Times New Roman" w:hAnsi="Times New Roman"/>
          <w:b w:val="false"/>
          <w:bCs w:val="false"/>
          <w:sz w:val="28"/>
          <w:szCs w:val="28"/>
        </w:rPr>
        <w:t xml:space="preserve">. Arab Republic of Egypt.</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Freeman, R. E. (1984). </w:t>
      </w:r>
      <w:r>
        <w:rPr>
          <w:rFonts w:ascii="Times New Roman" w:cs="Times New Roman" w:eastAsia="Times New Roman" w:hAnsi="Times New Roman"/>
          <w:b w:val="false"/>
          <w:bCs w:val="false"/>
          <w:i/>
          <w:iCs/>
          <w:sz w:val="28"/>
          <w:szCs w:val="28"/>
        </w:rPr>
        <w:t xml:space="preserve">Strategic management: A stakeholder approach</w:t>
      </w:r>
      <w:r>
        <w:rPr>
          <w:rFonts w:ascii="Times New Roman" w:cs="Times New Roman" w:eastAsia="Times New Roman" w:hAnsi="Times New Roman"/>
          <w:b w:val="false"/>
          <w:bCs w:val="false"/>
          <w:sz w:val="28"/>
          <w:szCs w:val="28"/>
        </w:rPr>
        <w:t xml:space="preserve">. Pitman Publishing.</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Garanina, T., Ranta, M., &amp; Dumay, J. (2022). Blockchain in accounting research: Current trends and emerging topics. </w:t>
      </w:r>
      <w:r>
        <w:rPr>
          <w:rFonts w:ascii="Times New Roman" w:cs="Times New Roman" w:eastAsia="Times New Roman" w:hAnsi="Times New Roman"/>
          <w:b w:val="false"/>
          <w:bCs w:val="false"/>
          <w:i/>
          <w:iCs/>
          <w:sz w:val="28"/>
          <w:szCs w:val="28"/>
        </w:rPr>
        <w:t xml:space="preserve">Accounting, Auditing &amp; Accountability Journal, 35</w:t>
      </w:r>
      <w:r>
        <w:rPr>
          <w:rFonts w:ascii="Times New Roman" w:cs="Times New Roman" w:eastAsia="Times New Roman" w:hAnsi="Times New Roman"/>
          <w:b w:val="false"/>
          <w:bCs w:val="false"/>
          <w:sz w:val="28"/>
          <w:szCs w:val="28"/>
        </w:rPr>
        <w:t xml:space="preserve">(7), 1507–1533. https://doi.org/10.1108/AAAJ-10-2020-4991</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Global Reporting Initiative. (2021). </w:t>
      </w:r>
      <w:r>
        <w:rPr>
          <w:rFonts w:ascii="Times New Roman" w:cs="Times New Roman" w:eastAsia="Times New Roman" w:hAnsi="Times New Roman"/>
          <w:b w:val="false"/>
          <w:bCs w:val="false"/>
          <w:i/>
          <w:iCs/>
          <w:sz w:val="28"/>
          <w:szCs w:val="28"/>
        </w:rPr>
        <w:t xml:space="preserve">GRI universal standards: GRI 1, GRI 2 and GRI 3</w:t>
      </w:r>
      <w:r>
        <w:rPr>
          <w:rFonts w:ascii="Times New Roman" w:cs="Times New Roman" w:eastAsia="Times New Roman" w:hAnsi="Times New Roman"/>
          <w:b w:val="false"/>
          <w:bCs w:val="false"/>
          <w:sz w:val="28"/>
          <w:szCs w:val="28"/>
        </w:rPr>
        <w:t xml:space="preserve">. Global Sustainability Standards Board.</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Gray, R. (2010). Is accounting for sustainability actually accounting for sustainability… and how would we know? An exploration of narratives of organisations and the planet. </w:t>
      </w:r>
      <w:r>
        <w:rPr>
          <w:rFonts w:ascii="Times New Roman" w:cs="Times New Roman" w:eastAsia="Times New Roman" w:hAnsi="Times New Roman"/>
          <w:b w:val="false"/>
          <w:bCs w:val="false"/>
          <w:i/>
          <w:iCs/>
          <w:sz w:val="28"/>
          <w:szCs w:val="28"/>
        </w:rPr>
        <w:t xml:space="preserve">Accounting, Organizations and Society, 35</w:t>
      </w:r>
      <w:r>
        <w:rPr>
          <w:rFonts w:ascii="Times New Roman" w:cs="Times New Roman" w:eastAsia="Times New Roman" w:hAnsi="Times New Roman"/>
          <w:b w:val="false"/>
          <w:bCs w:val="false"/>
          <w:sz w:val="28"/>
          <w:szCs w:val="28"/>
        </w:rPr>
        <w:t xml:space="preserve">(1), 47–62. https://doi.org/10.1016/j.aos.2009.04.006</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Han, H., Shiwakoti, R. K., Jarvis, R., Mordi, C., &amp; Botchie, D. (2023). Accounting and auditing with blockchain technology and artificial intelligence: A literature review. </w:t>
      </w:r>
      <w:r>
        <w:rPr>
          <w:rFonts w:ascii="Times New Roman" w:cs="Times New Roman" w:eastAsia="Times New Roman" w:hAnsi="Times New Roman"/>
          <w:b w:val="false"/>
          <w:bCs w:val="false"/>
          <w:i/>
          <w:iCs/>
          <w:sz w:val="28"/>
          <w:szCs w:val="28"/>
        </w:rPr>
        <w:t xml:space="preserve">International Journal of Accounting Information Systems, 48</w:t>
      </w:r>
      <w:r>
        <w:rPr>
          <w:rFonts w:ascii="Times New Roman" w:cs="Times New Roman" w:eastAsia="Times New Roman" w:hAnsi="Times New Roman"/>
          <w:b w:val="false"/>
          <w:bCs w:val="false"/>
          <w:sz w:val="28"/>
          <w:szCs w:val="28"/>
        </w:rPr>
        <w:t xml:space="preserve">, 100598. https://doi.org/10.1016/j.accinf.2022.100598</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IFRS Foundation. (2023a). </w:t>
      </w:r>
      <w:r>
        <w:rPr>
          <w:rFonts w:ascii="Times New Roman" w:cs="Times New Roman" w:eastAsia="Times New Roman" w:hAnsi="Times New Roman"/>
          <w:b w:val="false"/>
          <w:bCs w:val="false"/>
          <w:i/>
          <w:iCs/>
          <w:sz w:val="28"/>
          <w:szCs w:val="28"/>
        </w:rPr>
        <w:t xml:space="preserve">IFRS S1 general requirements for disclosure of sustainability-related financial information</w:t>
      </w:r>
      <w:r>
        <w:rPr>
          <w:rFonts w:ascii="Times New Roman" w:cs="Times New Roman" w:eastAsia="Times New Roman" w:hAnsi="Times New Roman"/>
          <w:b w:val="false"/>
          <w:bCs w:val="false"/>
          <w:sz w:val="28"/>
          <w:szCs w:val="28"/>
        </w:rPr>
        <w:t xml:space="preserve">. International Sustainability Standards Board.</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IFRS Foundation. (2023b). </w:t>
      </w:r>
      <w:r>
        <w:rPr>
          <w:rFonts w:ascii="Times New Roman" w:cs="Times New Roman" w:eastAsia="Times New Roman" w:hAnsi="Times New Roman"/>
          <w:b w:val="false"/>
          <w:bCs w:val="false"/>
          <w:i/>
          <w:iCs/>
          <w:sz w:val="28"/>
          <w:szCs w:val="28"/>
        </w:rPr>
        <w:t xml:space="preserve">IFRS S2 climate-related disclosures</w:t>
      </w:r>
      <w:r>
        <w:rPr>
          <w:rFonts w:ascii="Times New Roman" w:cs="Times New Roman" w:eastAsia="Times New Roman" w:hAnsi="Times New Roman"/>
          <w:b w:val="false"/>
          <w:bCs w:val="false"/>
          <w:sz w:val="28"/>
          <w:szCs w:val="28"/>
        </w:rPr>
        <w:t xml:space="preserve">. International Sustainability Standards Board.</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IFRS Foundation. (2025). </w:t>
      </w:r>
      <w:r>
        <w:rPr>
          <w:rFonts w:ascii="Times New Roman" w:cs="Times New Roman" w:eastAsia="Times New Roman" w:hAnsi="Times New Roman"/>
          <w:b w:val="false"/>
          <w:bCs w:val="false"/>
          <w:i/>
          <w:iCs/>
          <w:sz w:val="28"/>
          <w:szCs w:val="28"/>
        </w:rPr>
        <w:t xml:space="preserve">IFRS Foundation publishes jurisdictional profiles providing transparency and evidencing progress towards adoption of ISSB Standards</w:t>
      </w:r>
      <w:r>
        <w:rPr>
          <w:rFonts w:ascii="Times New Roman" w:cs="Times New Roman" w:eastAsia="Times New Roman" w:hAnsi="Times New Roman"/>
          <w:b w:val="false"/>
          <w:bCs w:val="false"/>
          <w:sz w:val="28"/>
          <w:szCs w:val="28"/>
        </w:rPr>
        <w:t xml:space="preserve">. https://www.ifrs.org/news-and-events/news/2025/06/ifrs-foundation-publishes-jurisdictional-profiles-issb-standards/</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Jackson, D., Michelson, G., &amp; Munir, R. (2022). New technology and desired skills of early career accountants. </w:t>
      </w:r>
      <w:r>
        <w:rPr>
          <w:rFonts w:ascii="Times New Roman" w:cs="Times New Roman" w:eastAsia="Times New Roman" w:hAnsi="Times New Roman"/>
          <w:b w:val="false"/>
          <w:bCs w:val="false"/>
          <w:i/>
          <w:iCs/>
          <w:sz w:val="28"/>
          <w:szCs w:val="28"/>
        </w:rPr>
        <w:t xml:space="preserve">Pacific Accounting Review, 34</w:t>
      </w:r>
      <w:r>
        <w:rPr>
          <w:rFonts w:ascii="Times New Roman" w:cs="Times New Roman" w:eastAsia="Times New Roman" w:hAnsi="Times New Roman"/>
          <w:b w:val="false"/>
          <w:bCs w:val="false"/>
          <w:sz w:val="28"/>
          <w:szCs w:val="28"/>
        </w:rPr>
        <w:t xml:space="preserve">(4), 548–568. https://doi.org/10.1108/PAR-02-2022-0012</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Jędrzejka, D. (2019). Robotic process automation and its impact on accounting. </w:t>
      </w:r>
      <w:r>
        <w:rPr>
          <w:rFonts w:ascii="Times New Roman" w:cs="Times New Roman" w:eastAsia="Times New Roman" w:hAnsi="Times New Roman"/>
          <w:b w:val="false"/>
          <w:bCs w:val="false"/>
          <w:i/>
          <w:iCs/>
          <w:sz w:val="28"/>
          <w:szCs w:val="28"/>
        </w:rPr>
        <w:t xml:space="preserve">Zeszyty Teoretyczne Rachunkowości, 105</w:t>
      </w:r>
      <w:r>
        <w:rPr>
          <w:rFonts w:ascii="Times New Roman" w:cs="Times New Roman" w:eastAsia="Times New Roman" w:hAnsi="Times New Roman"/>
          <w:b w:val="false"/>
          <w:bCs w:val="false"/>
          <w:sz w:val="28"/>
          <w:szCs w:val="28"/>
        </w:rPr>
        <w:t xml:space="preserve">(161), 137–166. https://doi.org/10.5604/01.3001.0013.4750</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Ministry of Planning and Economic Development. (2023). </w:t>
      </w:r>
      <w:r>
        <w:rPr>
          <w:rFonts w:ascii="Times New Roman" w:cs="Times New Roman" w:eastAsia="Times New Roman" w:hAnsi="Times New Roman"/>
          <w:b w:val="false"/>
          <w:bCs w:val="false"/>
          <w:i/>
          <w:iCs/>
          <w:sz w:val="28"/>
          <w:szCs w:val="28"/>
        </w:rPr>
        <w:t xml:space="preserve">Egypt's Vision 2030: Sustainable development strategy</w:t>
      </w:r>
      <w:r>
        <w:rPr>
          <w:rFonts w:ascii="Times New Roman" w:cs="Times New Roman" w:eastAsia="Times New Roman" w:hAnsi="Times New Roman"/>
          <w:b w:val="false"/>
          <w:bCs w:val="false"/>
          <w:sz w:val="28"/>
          <w:szCs w:val="28"/>
        </w:rPr>
        <w:t xml:space="preserve">. Arab Republic of Egypt. https://mped.gov.eg/Files/Egypt_Vision_2030_EnglishDigitalUse.pdf</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Schaltegger, S., &amp; Burritt, R. (2000). </w:t>
      </w:r>
      <w:r>
        <w:rPr>
          <w:rFonts w:ascii="Times New Roman" w:cs="Times New Roman" w:eastAsia="Times New Roman" w:hAnsi="Times New Roman"/>
          <w:b w:val="false"/>
          <w:bCs w:val="false"/>
          <w:i/>
          <w:iCs/>
          <w:sz w:val="28"/>
          <w:szCs w:val="28"/>
        </w:rPr>
        <w:t xml:space="preserve">Contemporary environmental accounting: Issues, concepts and practice</w:t>
      </w:r>
      <w:r>
        <w:rPr>
          <w:rFonts w:ascii="Times New Roman" w:cs="Times New Roman" w:eastAsia="Times New Roman" w:hAnsi="Times New Roman"/>
          <w:b w:val="false"/>
          <w:bCs w:val="false"/>
          <w:sz w:val="28"/>
          <w:szCs w:val="28"/>
        </w:rPr>
        <w:t xml:space="preserve">. Greenleaf Publishing.</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Silva, R., Inácio, H., &amp; Marques, R. P. (2022). Blockchain implications for auditing: A systematic literature review and bibliometric analysis. </w:t>
      </w:r>
      <w:r>
        <w:rPr>
          <w:rFonts w:ascii="Times New Roman" w:cs="Times New Roman" w:eastAsia="Times New Roman" w:hAnsi="Times New Roman"/>
          <w:b w:val="false"/>
          <w:bCs w:val="false"/>
          <w:i/>
          <w:iCs/>
          <w:sz w:val="28"/>
          <w:szCs w:val="28"/>
        </w:rPr>
        <w:t xml:space="preserve">International Journal of Digital Accounting Research, 22</w:t>
      </w:r>
      <w:r>
        <w:rPr>
          <w:rFonts w:ascii="Times New Roman" w:cs="Times New Roman" w:eastAsia="Times New Roman" w:hAnsi="Times New Roman"/>
          <w:b w:val="false"/>
          <w:bCs w:val="false"/>
          <w:sz w:val="28"/>
          <w:szCs w:val="28"/>
        </w:rPr>
        <w:t xml:space="preserve">, 163–192. https://doi.org/10.4192/1577-8517-v22_6</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Spanò, R., Massaro, M., Ferri, L., Dumay, J., &amp; Schmitz, J. (2022). Blockchain in accounting, accountability and assurance: An overview. </w:t>
      </w:r>
      <w:r>
        <w:rPr>
          <w:rFonts w:ascii="Times New Roman" w:cs="Times New Roman" w:eastAsia="Times New Roman" w:hAnsi="Times New Roman"/>
          <w:b w:val="false"/>
          <w:bCs w:val="false"/>
          <w:i/>
          <w:iCs/>
          <w:sz w:val="28"/>
          <w:szCs w:val="28"/>
        </w:rPr>
        <w:t xml:space="preserve">Accounting, Auditing &amp; Accountability Journal, 35</w:t>
      </w:r>
      <w:r>
        <w:rPr>
          <w:rFonts w:ascii="Times New Roman" w:cs="Times New Roman" w:eastAsia="Times New Roman" w:hAnsi="Times New Roman"/>
          <w:b w:val="false"/>
          <w:bCs w:val="false"/>
          <w:sz w:val="28"/>
          <w:szCs w:val="28"/>
        </w:rPr>
        <w:t xml:space="preserve">(7), 1493–1506. https://doi.org/10.1108/AAAJ-06-2022-5850</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Spence, M. (1973). Job market signaling. </w:t>
      </w:r>
      <w:r>
        <w:rPr>
          <w:rFonts w:ascii="Times New Roman" w:cs="Times New Roman" w:eastAsia="Times New Roman" w:hAnsi="Times New Roman"/>
          <w:b w:val="false"/>
          <w:bCs w:val="false"/>
          <w:i/>
          <w:iCs/>
          <w:sz w:val="28"/>
          <w:szCs w:val="28"/>
        </w:rPr>
        <w:t xml:space="preserve">The Quarterly Journal of Economics, 87</w:t>
      </w:r>
      <w:r>
        <w:rPr>
          <w:rFonts w:ascii="Times New Roman" w:cs="Times New Roman" w:eastAsia="Times New Roman" w:hAnsi="Times New Roman"/>
          <w:b w:val="false"/>
          <w:bCs w:val="false"/>
          <w:sz w:val="28"/>
          <w:szCs w:val="28"/>
        </w:rPr>
        <w:t xml:space="preserve">(3), 355–374. https://doi.org/10.2307/1882010</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Suchman, M. C. (1995). Managing legitimacy: Strategic and institutional approaches. </w:t>
      </w:r>
      <w:r>
        <w:rPr>
          <w:rFonts w:ascii="Times New Roman" w:cs="Times New Roman" w:eastAsia="Times New Roman" w:hAnsi="Times New Roman"/>
          <w:b w:val="false"/>
          <w:bCs w:val="false"/>
          <w:i/>
          <w:iCs/>
          <w:sz w:val="28"/>
          <w:szCs w:val="28"/>
        </w:rPr>
        <w:t xml:space="preserve">Academy of Management Review, 20</w:t>
      </w:r>
      <w:r>
        <w:rPr>
          <w:rFonts w:ascii="Times New Roman" w:cs="Times New Roman" w:eastAsia="Times New Roman" w:hAnsi="Times New Roman"/>
          <w:b w:val="false"/>
          <w:bCs w:val="false"/>
          <w:sz w:val="28"/>
          <w:szCs w:val="28"/>
        </w:rPr>
        <w:t xml:space="preserve">(3), 571–610. https://doi.org/10.2307/258788</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Task Force on Climate-related Financial Disclosures. (2017). </w:t>
      </w:r>
      <w:r>
        <w:rPr>
          <w:rFonts w:ascii="Times New Roman" w:cs="Times New Roman" w:eastAsia="Times New Roman" w:hAnsi="Times New Roman"/>
          <w:b w:val="false"/>
          <w:bCs w:val="false"/>
          <w:i/>
          <w:iCs/>
          <w:sz w:val="28"/>
          <w:szCs w:val="28"/>
        </w:rPr>
        <w:t xml:space="preserve">Recommendations of the Task Force on Climate-related Financial Disclosures: Final report</w:t>
      </w:r>
      <w:r>
        <w:rPr>
          <w:rFonts w:ascii="Times New Roman" w:cs="Times New Roman" w:eastAsia="Times New Roman" w:hAnsi="Times New Roman"/>
          <w:b w:val="false"/>
          <w:bCs w:val="false"/>
          <w:sz w:val="28"/>
          <w:szCs w:val="28"/>
        </w:rPr>
        <w:t xml:space="preserve">. Financial Stability Board.</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Tornatzky, L. G., &amp; Fleischer, M. (1990). </w:t>
      </w:r>
      <w:r>
        <w:rPr>
          <w:rFonts w:ascii="Times New Roman" w:cs="Times New Roman" w:eastAsia="Times New Roman" w:hAnsi="Times New Roman"/>
          <w:b w:val="false"/>
          <w:bCs w:val="false"/>
          <w:i/>
          <w:iCs/>
          <w:sz w:val="28"/>
          <w:szCs w:val="28"/>
        </w:rPr>
        <w:t xml:space="preserve">The processes of technological innovation</w:t>
      </w:r>
      <w:r>
        <w:rPr>
          <w:rFonts w:ascii="Times New Roman" w:cs="Times New Roman" w:eastAsia="Times New Roman" w:hAnsi="Times New Roman"/>
          <w:b w:val="false"/>
          <w:bCs w:val="false"/>
          <w:sz w:val="28"/>
          <w:szCs w:val="28"/>
        </w:rPr>
        <w:t xml:space="preserve">. Lexington Books.</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Venkatesh, V., Morris, M. G., Davis, G. B., &amp; Davis, F. D. (2003). User acceptance of information technology: Toward a unified view. </w:t>
      </w:r>
      <w:r>
        <w:rPr>
          <w:rFonts w:ascii="Times New Roman" w:cs="Times New Roman" w:eastAsia="Times New Roman" w:hAnsi="Times New Roman"/>
          <w:b w:val="false"/>
          <w:bCs w:val="false"/>
          <w:i/>
          <w:iCs/>
          <w:sz w:val="28"/>
          <w:szCs w:val="28"/>
        </w:rPr>
        <w:t xml:space="preserve">MIS Quarterly, 27</w:t>
      </w:r>
      <w:r>
        <w:rPr>
          <w:rFonts w:ascii="Times New Roman" w:cs="Times New Roman" w:eastAsia="Times New Roman" w:hAnsi="Times New Roman"/>
          <w:b w:val="false"/>
          <w:bCs w:val="false"/>
          <w:sz w:val="28"/>
          <w:szCs w:val="28"/>
        </w:rPr>
        <w:t xml:space="preserve">(3), 425–478. https://doi.org/10.2307/30036540</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World Bank. (2022). </w:t>
      </w:r>
      <w:r>
        <w:rPr>
          <w:rFonts w:ascii="Times New Roman" w:cs="Times New Roman" w:eastAsia="Times New Roman" w:hAnsi="Times New Roman"/>
          <w:b w:val="false"/>
          <w:bCs w:val="false"/>
          <w:i/>
          <w:iCs/>
          <w:sz w:val="28"/>
          <w:szCs w:val="28"/>
        </w:rPr>
        <w:t xml:space="preserve">Supporting Egypt's inaugural green bond issuance</w:t>
      </w:r>
      <w:r>
        <w:rPr>
          <w:rFonts w:ascii="Times New Roman" w:cs="Times New Roman" w:eastAsia="Times New Roman" w:hAnsi="Times New Roman"/>
          <w:b w:val="false"/>
          <w:bCs w:val="false"/>
          <w:sz w:val="28"/>
          <w:szCs w:val="28"/>
        </w:rPr>
        <w:t xml:space="preserve">. The World Bank Group. https://www.worldbank.org/en/news/feature/2022/03/02/supporting-egypt-s-inaugural-green-bond-issuance</w:t>
      </w:r>
    </w:p>
    <w:p>
      <w:pPr>
        <w:pStyle w:val="Heading1"/>
        <w:spacing w:after="120" w:before="260" w:line="240" w:lineRule="auto"/>
        <w:jc w:val="left"/>
      </w:pPr>
      <w:r>
        <w:rPr>
          <w:rFonts w:ascii="Times New Roman" w:cs="Times New Roman" w:eastAsia="Times New Roman" w:hAnsi="Times New Roman"/>
          <w:b/>
          <w:bCs/>
          <w:sz w:val="28"/>
          <w:szCs w:val="28"/>
        </w:rPr>
        <w:t xml:space="preserve">References (MLA 9th Edition)</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Abdelmoneim, Zakia, and Mohamed Samy El-Deeb. "BOD Characteristics and Their Impact on the Link between ESG Disclosure and Integrated Reporting Disclosure Quality: A Study of Egyptian Non-Financial Firms." </w:t>
      </w:r>
      <w:r>
        <w:rPr>
          <w:rFonts w:ascii="Times New Roman" w:cs="Times New Roman" w:eastAsia="Times New Roman" w:hAnsi="Times New Roman"/>
          <w:b w:val="false"/>
          <w:bCs w:val="false"/>
          <w:i/>
          <w:iCs/>
          <w:sz w:val="28"/>
          <w:szCs w:val="28"/>
        </w:rPr>
        <w:t xml:space="preserve">Future Business Journal</w:t>
      </w:r>
      <w:r>
        <w:rPr>
          <w:rFonts w:ascii="Times New Roman" w:cs="Times New Roman" w:eastAsia="Times New Roman" w:hAnsi="Times New Roman"/>
          <w:b w:val="false"/>
          <w:bCs w:val="false"/>
          <w:sz w:val="28"/>
          <w:szCs w:val="28"/>
        </w:rPr>
        <w:t xml:space="preserve">, vol. 10, no. 1, 2024, pp. 1–20.</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Burritt, Roger L., and Stefan Schaltegger. "Sustainability Accounting and Reporting: Fad or Trend?" </w:t>
      </w:r>
      <w:r>
        <w:rPr>
          <w:rFonts w:ascii="Times New Roman" w:cs="Times New Roman" w:eastAsia="Times New Roman" w:hAnsi="Times New Roman"/>
          <w:b w:val="false"/>
          <w:bCs w:val="false"/>
          <w:i/>
          <w:iCs/>
          <w:sz w:val="28"/>
          <w:szCs w:val="28"/>
        </w:rPr>
        <w:t xml:space="preserve">Accounting, Auditing &amp; Accountability Journal</w:t>
      </w:r>
      <w:r>
        <w:rPr>
          <w:rFonts w:ascii="Times New Roman" w:cs="Times New Roman" w:eastAsia="Times New Roman" w:hAnsi="Times New Roman"/>
          <w:b w:val="false"/>
          <w:bCs w:val="false"/>
          <w:sz w:val="28"/>
          <w:szCs w:val="28"/>
        </w:rPr>
        <w:t xml:space="preserve">, vol. 23, no. 7, 2010, pp. 829–846.</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Dai, Jun, and Miklos A. Vasarhelyi. "Toward Blockchain-Based Accounting and Assurance." </w:t>
      </w:r>
      <w:r>
        <w:rPr>
          <w:rFonts w:ascii="Times New Roman" w:cs="Times New Roman" w:eastAsia="Times New Roman" w:hAnsi="Times New Roman"/>
          <w:b w:val="false"/>
          <w:bCs w:val="false"/>
          <w:i/>
          <w:iCs/>
          <w:sz w:val="28"/>
          <w:szCs w:val="28"/>
        </w:rPr>
        <w:t xml:space="preserve">Journal of Information Systems</w:t>
      </w:r>
      <w:r>
        <w:rPr>
          <w:rFonts w:ascii="Times New Roman" w:cs="Times New Roman" w:eastAsia="Times New Roman" w:hAnsi="Times New Roman"/>
          <w:b w:val="false"/>
          <w:bCs w:val="false"/>
          <w:sz w:val="28"/>
          <w:szCs w:val="28"/>
        </w:rPr>
        <w:t xml:space="preserve">, vol. 31, no. 3, 2017, pp. 5–21.</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DiMaggio, Paul J., and Walter W. Powell. "The Iron Cage Revisited: Institutional Isomorphism and Collective Rationality in Organizational Fields." </w:t>
      </w:r>
      <w:r>
        <w:rPr>
          <w:rFonts w:ascii="Times New Roman" w:cs="Times New Roman" w:eastAsia="Times New Roman" w:hAnsi="Times New Roman"/>
          <w:b w:val="false"/>
          <w:bCs w:val="false"/>
          <w:i/>
          <w:iCs/>
          <w:sz w:val="28"/>
          <w:szCs w:val="28"/>
        </w:rPr>
        <w:t xml:space="preserve">American Sociological Review</w:t>
      </w:r>
      <w:r>
        <w:rPr>
          <w:rFonts w:ascii="Times New Roman" w:cs="Times New Roman" w:eastAsia="Times New Roman" w:hAnsi="Times New Roman"/>
          <w:b w:val="false"/>
          <w:bCs w:val="false"/>
          <w:sz w:val="28"/>
          <w:szCs w:val="28"/>
        </w:rPr>
        <w:t xml:space="preserve">, vol. 48, no. 2, 1983, pp. 147–160.</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Financial Regulatory Authority. </w:t>
      </w:r>
      <w:r>
        <w:rPr>
          <w:rFonts w:ascii="Times New Roman" w:cs="Times New Roman" w:eastAsia="Times New Roman" w:hAnsi="Times New Roman"/>
          <w:b w:val="false"/>
          <w:bCs w:val="false"/>
          <w:i/>
          <w:iCs/>
          <w:sz w:val="28"/>
          <w:szCs w:val="28"/>
        </w:rPr>
        <w:t xml:space="preserve">Decrees No. 107 and No. 108 of 2021 concerning Environmental, Social and Governance Disclosure and Climate-Related Financial Disclosure</w:t>
      </w:r>
      <w:r>
        <w:rPr>
          <w:rFonts w:ascii="Times New Roman" w:cs="Times New Roman" w:eastAsia="Times New Roman" w:hAnsi="Times New Roman"/>
          <w:b w:val="false"/>
          <w:bCs w:val="false"/>
          <w:sz w:val="28"/>
          <w:szCs w:val="28"/>
        </w:rPr>
        <w:t xml:space="preserve">. Arab Republic of Egypt, 2021.</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Freeman, R. Edward. </w:t>
      </w:r>
      <w:r>
        <w:rPr>
          <w:rFonts w:ascii="Times New Roman" w:cs="Times New Roman" w:eastAsia="Times New Roman" w:hAnsi="Times New Roman"/>
          <w:b w:val="false"/>
          <w:bCs w:val="false"/>
          <w:i/>
          <w:iCs/>
          <w:sz w:val="28"/>
          <w:szCs w:val="28"/>
        </w:rPr>
        <w:t xml:space="preserve">Strategic Management: A Stakeholder Approach</w:t>
      </w:r>
      <w:r>
        <w:rPr>
          <w:rFonts w:ascii="Times New Roman" w:cs="Times New Roman" w:eastAsia="Times New Roman" w:hAnsi="Times New Roman"/>
          <w:b w:val="false"/>
          <w:bCs w:val="false"/>
          <w:sz w:val="28"/>
          <w:szCs w:val="28"/>
        </w:rPr>
        <w:t xml:space="preserve">. Pitman Publishing, 1984.</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Garanina, Tatiana, et al. "Blockchain in Accounting Research: Current Trends and Emerging Topics." </w:t>
      </w:r>
      <w:r>
        <w:rPr>
          <w:rFonts w:ascii="Times New Roman" w:cs="Times New Roman" w:eastAsia="Times New Roman" w:hAnsi="Times New Roman"/>
          <w:b w:val="false"/>
          <w:bCs w:val="false"/>
          <w:i/>
          <w:iCs/>
          <w:sz w:val="28"/>
          <w:szCs w:val="28"/>
        </w:rPr>
        <w:t xml:space="preserve">Accounting, Auditing &amp; Accountability Journal</w:t>
      </w:r>
      <w:r>
        <w:rPr>
          <w:rFonts w:ascii="Times New Roman" w:cs="Times New Roman" w:eastAsia="Times New Roman" w:hAnsi="Times New Roman"/>
          <w:b w:val="false"/>
          <w:bCs w:val="false"/>
          <w:sz w:val="28"/>
          <w:szCs w:val="28"/>
        </w:rPr>
        <w:t xml:space="preserve">, vol. 35, no. 7, 2022, pp. 1507–1533.</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Global Reporting Initiative. </w:t>
      </w:r>
      <w:r>
        <w:rPr>
          <w:rFonts w:ascii="Times New Roman" w:cs="Times New Roman" w:eastAsia="Times New Roman" w:hAnsi="Times New Roman"/>
          <w:b w:val="false"/>
          <w:bCs w:val="false"/>
          <w:i/>
          <w:iCs/>
          <w:sz w:val="28"/>
          <w:szCs w:val="28"/>
        </w:rPr>
        <w:t xml:space="preserve">GRI Universal Standards: GRI 1, GRI 2 and GRI 3</w:t>
      </w:r>
      <w:r>
        <w:rPr>
          <w:rFonts w:ascii="Times New Roman" w:cs="Times New Roman" w:eastAsia="Times New Roman" w:hAnsi="Times New Roman"/>
          <w:b w:val="false"/>
          <w:bCs w:val="false"/>
          <w:sz w:val="28"/>
          <w:szCs w:val="28"/>
        </w:rPr>
        <w:t xml:space="preserve">. Global Sustainability Standards Board, 2021.</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Gray, Rob. "Is Accounting for Sustainability Actually Accounting for Sustainability… and How Would We Know? An Exploration of Narratives of Organisations and the Planet." </w:t>
      </w:r>
      <w:r>
        <w:rPr>
          <w:rFonts w:ascii="Times New Roman" w:cs="Times New Roman" w:eastAsia="Times New Roman" w:hAnsi="Times New Roman"/>
          <w:b w:val="false"/>
          <w:bCs w:val="false"/>
          <w:i/>
          <w:iCs/>
          <w:sz w:val="28"/>
          <w:szCs w:val="28"/>
        </w:rPr>
        <w:t xml:space="preserve">Accounting, Organizations and Society</w:t>
      </w:r>
      <w:r>
        <w:rPr>
          <w:rFonts w:ascii="Times New Roman" w:cs="Times New Roman" w:eastAsia="Times New Roman" w:hAnsi="Times New Roman"/>
          <w:b w:val="false"/>
          <w:bCs w:val="false"/>
          <w:sz w:val="28"/>
          <w:szCs w:val="28"/>
        </w:rPr>
        <w:t xml:space="preserve">, vol. 35, no. 1, 2010, pp. 47–62.</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Han, Hongdan, et al. "Accounting and Auditing with Blockchain Technology and Artificial Intelligence: A Literature Review." </w:t>
      </w:r>
      <w:r>
        <w:rPr>
          <w:rFonts w:ascii="Times New Roman" w:cs="Times New Roman" w:eastAsia="Times New Roman" w:hAnsi="Times New Roman"/>
          <w:b w:val="false"/>
          <w:bCs w:val="false"/>
          <w:i/>
          <w:iCs/>
          <w:sz w:val="28"/>
          <w:szCs w:val="28"/>
        </w:rPr>
        <w:t xml:space="preserve">International Journal of Accounting Information Systems</w:t>
      </w:r>
      <w:r>
        <w:rPr>
          <w:rFonts w:ascii="Times New Roman" w:cs="Times New Roman" w:eastAsia="Times New Roman" w:hAnsi="Times New Roman"/>
          <w:b w:val="false"/>
          <w:bCs w:val="false"/>
          <w:sz w:val="28"/>
          <w:szCs w:val="28"/>
        </w:rPr>
        <w:t xml:space="preserve">, vol. 48, 2023, article 100598.</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IFRS Foundation. </w:t>
      </w:r>
      <w:r>
        <w:rPr>
          <w:rFonts w:ascii="Times New Roman" w:cs="Times New Roman" w:eastAsia="Times New Roman" w:hAnsi="Times New Roman"/>
          <w:b w:val="false"/>
          <w:bCs w:val="false"/>
          <w:i/>
          <w:iCs/>
          <w:sz w:val="28"/>
          <w:szCs w:val="28"/>
        </w:rPr>
        <w:t xml:space="preserve">IFRS S1 General Requirements for Disclosure of Sustainability-Related Financial Information</w:t>
      </w:r>
      <w:r>
        <w:rPr>
          <w:rFonts w:ascii="Times New Roman" w:cs="Times New Roman" w:eastAsia="Times New Roman" w:hAnsi="Times New Roman"/>
          <w:b w:val="false"/>
          <w:bCs w:val="false"/>
          <w:sz w:val="28"/>
          <w:szCs w:val="28"/>
        </w:rPr>
        <w:t xml:space="preserve">. International Sustainability Standards Board, 2023.</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IFRS Foundation. </w:t>
      </w:r>
      <w:r>
        <w:rPr>
          <w:rFonts w:ascii="Times New Roman" w:cs="Times New Roman" w:eastAsia="Times New Roman" w:hAnsi="Times New Roman"/>
          <w:b w:val="false"/>
          <w:bCs w:val="false"/>
          <w:i/>
          <w:iCs/>
          <w:sz w:val="28"/>
          <w:szCs w:val="28"/>
        </w:rPr>
        <w:t xml:space="preserve">IFRS S2 Climate-Related Disclosures</w:t>
      </w:r>
      <w:r>
        <w:rPr>
          <w:rFonts w:ascii="Times New Roman" w:cs="Times New Roman" w:eastAsia="Times New Roman" w:hAnsi="Times New Roman"/>
          <w:b w:val="false"/>
          <w:bCs w:val="false"/>
          <w:sz w:val="28"/>
          <w:szCs w:val="28"/>
        </w:rPr>
        <w:t xml:space="preserve">. International Sustainability Standards Board, 2023.</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IFRS Foundation. "IFRS Foundation Publishes Jurisdictional Profiles Providing Transparency and Evidencing Progress towards Adoption of ISSB Standards." </w:t>
      </w:r>
      <w:r>
        <w:rPr>
          <w:rFonts w:ascii="Times New Roman" w:cs="Times New Roman" w:eastAsia="Times New Roman" w:hAnsi="Times New Roman"/>
          <w:b w:val="false"/>
          <w:bCs w:val="false"/>
          <w:i/>
          <w:iCs/>
          <w:sz w:val="28"/>
          <w:szCs w:val="28"/>
        </w:rPr>
        <w:t xml:space="preserve">IFRS</w:t>
      </w:r>
      <w:r>
        <w:rPr>
          <w:rFonts w:ascii="Times New Roman" w:cs="Times New Roman" w:eastAsia="Times New Roman" w:hAnsi="Times New Roman"/>
          <w:b w:val="false"/>
          <w:bCs w:val="false"/>
          <w:sz w:val="28"/>
          <w:szCs w:val="28"/>
        </w:rPr>
        <w:t xml:space="preserve">, 2025, www.ifrs.org/news-and-events/news/2025/06/ifrs-foundation-publishes-jurisdictional-profiles-issb-standards/.</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Jackson, Denise, et al. "New Technology and Desired Skills of Early Career Accountants." </w:t>
      </w:r>
      <w:r>
        <w:rPr>
          <w:rFonts w:ascii="Times New Roman" w:cs="Times New Roman" w:eastAsia="Times New Roman" w:hAnsi="Times New Roman"/>
          <w:b w:val="false"/>
          <w:bCs w:val="false"/>
          <w:i/>
          <w:iCs/>
          <w:sz w:val="28"/>
          <w:szCs w:val="28"/>
        </w:rPr>
        <w:t xml:space="preserve">Pacific Accounting Review</w:t>
      </w:r>
      <w:r>
        <w:rPr>
          <w:rFonts w:ascii="Times New Roman" w:cs="Times New Roman" w:eastAsia="Times New Roman" w:hAnsi="Times New Roman"/>
          <w:b w:val="false"/>
          <w:bCs w:val="false"/>
          <w:sz w:val="28"/>
          <w:szCs w:val="28"/>
        </w:rPr>
        <w:t xml:space="preserve">, vol. 34, no. 4, 2022, pp. 548–568.</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Jędrzejka, Dariusz. "Robotic Process Automation and Its Impact on Accounting." </w:t>
      </w:r>
      <w:r>
        <w:rPr>
          <w:rFonts w:ascii="Times New Roman" w:cs="Times New Roman" w:eastAsia="Times New Roman" w:hAnsi="Times New Roman"/>
          <w:b w:val="false"/>
          <w:bCs w:val="false"/>
          <w:i/>
          <w:iCs/>
          <w:sz w:val="28"/>
          <w:szCs w:val="28"/>
        </w:rPr>
        <w:t xml:space="preserve">Zeszyty Teoretyczne Rachunkowości</w:t>
      </w:r>
      <w:r>
        <w:rPr>
          <w:rFonts w:ascii="Times New Roman" w:cs="Times New Roman" w:eastAsia="Times New Roman" w:hAnsi="Times New Roman"/>
          <w:b w:val="false"/>
          <w:bCs w:val="false"/>
          <w:sz w:val="28"/>
          <w:szCs w:val="28"/>
        </w:rPr>
        <w:t xml:space="preserve">, vol. 105, no. 161, 2019, pp. 137–166.</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Ministry of Planning and Economic Development. </w:t>
      </w:r>
      <w:r>
        <w:rPr>
          <w:rFonts w:ascii="Times New Roman" w:cs="Times New Roman" w:eastAsia="Times New Roman" w:hAnsi="Times New Roman"/>
          <w:b w:val="false"/>
          <w:bCs w:val="false"/>
          <w:i/>
          <w:iCs/>
          <w:sz w:val="28"/>
          <w:szCs w:val="28"/>
        </w:rPr>
        <w:t xml:space="preserve">Egypt's Vision 2030: Sustainable Development Strategy</w:t>
      </w:r>
      <w:r>
        <w:rPr>
          <w:rFonts w:ascii="Times New Roman" w:cs="Times New Roman" w:eastAsia="Times New Roman" w:hAnsi="Times New Roman"/>
          <w:b w:val="false"/>
          <w:bCs w:val="false"/>
          <w:sz w:val="28"/>
          <w:szCs w:val="28"/>
        </w:rPr>
        <w:t xml:space="preserve">. Arab Republic of Egypt, 2023, mped.gov.eg/Files/Egypt_Vision_2030_EnglishDigitalUse.pdf.</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Schaltegger, Stefan, and Roger Burritt. </w:t>
      </w:r>
      <w:r>
        <w:rPr>
          <w:rFonts w:ascii="Times New Roman" w:cs="Times New Roman" w:eastAsia="Times New Roman" w:hAnsi="Times New Roman"/>
          <w:b w:val="false"/>
          <w:bCs w:val="false"/>
          <w:i/>
          <w:iCs/>
          <w:sz w:val="28"/>
          <w:szCs w:val="28"/>
        </w:rPr>
        <w:t xml:space="preserve">Contemporary Environmental Accounting: Issues, Concepts and Practice</w:t>
      </w:r>
      <w:r>
        <w:rPr>
          <w:rFonts w:ascii="Times New Roman" w:cs="Times New Roman" w:eastAsia="Times New Roman" w:hAnsi="Times New Roman"/>
          <w:b w:val="false"/>
          <w:bCs w:val="false"/>
          <w:sz w:val="28"/>
          <w:szCs w:val="28"/>
        </w:rPr>
        <w:t xml:space="preserve">. Greenleaf Publishing, 2000.</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Silva, Rui, et al. "Blockchain Implications for Auditing: A Systematic Literature Review and Bibliometric Analysis." </w:t>
      </w:r>
      <w:r>
        <w:rPr>
          <w:rFonts w:ascii="Times New Roman" w:cs="Times New Roman" w:eastAsia="Times New Roman" w:hAnsi="Times New Roman"/>
          <w:b w:val="false"/>
          <w:bCs w:val="false"/>
          <w:i/>
          <w:iCs/>
          <w:sz w:val="28"/>
          <w:szCs w:val="28"/>
        </w:rPr>
        <w:t xml:space="preserve">International Journal of Digital Accounting Research</w:t>
      </w:r>
      <w:r>
        <w:rPr>
          <w:rFonts w:ascii="Times New Roman" w:cs="Times New Roman" w:eastAsia="Times New Roman" w:hAnsi="Times New Roman"/>
          <w:b w:val="false"/>
          <w:bCs w:val="false"/>
          <w:sz w:val="28"/>
          <w:szCs w:val="28"/>
        </w:rPr>
        <w:t xml:space="preserve">, vol. 22, 2022, pp. 163–192.</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Spanò, Rosanna, et al. "Blockchain in Accounting, Accountability and Assurance: An Overview." </w:t>
      </w:r>
      <w:r>
        <w:rPr>
          <w:rFonts w:ascii="Times New Roman" w:cs="Times New Roman" w:eastAsia="Times New Roman" w:hAnsi="Times New Roman"/>
          <w:b w:val="false"/>
          <w:bCs w:val="false"/>
          <w:i/>
          <w:iCs/>
          <w:sz w:val="28"/>
          <w:szCs w:val="28"/>
        </w:rPr>
        <w:t xml:space="preserve">Accounting, Auditing &amp; Accountability Journal</w:t>
      </w:r>
      <w:r>
        <w:rPr>
          <w:rFonts w:ascii="Times New Roman" w:cs="Times New Roman" w:eastAsia="Times New Roman" w:hAnsi="Times New Roman"/>
          <w:b w:val="false"/>
          <w:bCs w:val="false"/>
          <w:sz w:val="28"/>
          <w:szCs w:val="28"/>
        </w:rPr>
        <w:t xml:space="preserve">, vol. 35, no. 7, 2022, pp. 1493–1506.</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Spence, Michael. "Job Market Signaling." </w:t>
      </w:r>
      <w:r>
        <w:rPr>
          <w:rFonts w:ascii="Times New Roman" w:cs="Times New Roman" w:eastAsia="Times New Roman" w:hAnsi="Times New Roman"/>
          <w:b w:val="false"/>
          <w:bCs w:val="false"/>
          <w:i/>
          <w:iCs/>
          <w:sz w:val="28"/>
          <w:szCs w:val="28"/>
        </w:rPr>
        <w:t xml:space="preserve">The Quarterly Journal of Economics</w:t>
      </w:r>
      <w:r>
        <w:rPr>
          <w:rFonts w:ascii="Times New Roman" w:cs="Times New Roman" w:eastAsia="Times New Roman" w:hAnsi="Times New Roman"/>
          <w:b w:val="false"/>
          <w:bCs w:val="false"/>
          <w:sz w:val="28"/>
          <w:szCs w:val="28"/>
        </w:rPr>
        <w:t xml:space="preserve">, vol. 87, no. 3, 1973, pp. 355–374.</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Suchman, Mark C. "Managing Legitimacy: Strategic and Institutional Approaches." </w:t>
      </w:r>
      <w:r>
        <w:rPr>
          <w:rFonts w:ascii="Times New Roman" w:cs="Times New Roman" w:eastAsia="Times New Roman" w:hAnsi="Times New Roman"/>
          <w:b w:val="false"/>
          <w:bCs w:val="false"/>
          <w:i/>
          <w:iCs/>
          <w:sz w:val="28"/>
          <w:szCs w:val="28"/>
        </w:rPr>
        <w:t xml:space="preserve">Academy of Management Review</w:t>
      </w:r>
      <w:r>
        <w:rPr>
          <w:rFonts w:ascii="Times New Roman" w:cs="Times New Roman" w:eastAsia="Times New Roman" w:hAnsi="Times New Roman"/>
          <w:b w:val="false"/>
          <w:bCs w:val="false"/>
          <w:sz w:val="28"/>
          <w:szCs w:val="28"/>
        </w:rPr>
        <w:t xml:space="preserve">, vol. 20, no. 3, 1995, pp. 571–610.</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Task Force on Climate-related Financial Disclosures. </w:t>
      </w:r>
      <w:r>
        <w:rPr>
          <w:rFonts w:ascii="Times New Roman" w:cs="Times New Roman" w:eastAsia="Times New Roman" w:hAnsi="Times New Roman"/>
          <w:b w:val="false"/>
          <w:bCs w:val="false"/>
          <w:i/>
          <w:iCs/>
          <w:sz w:val="28"/>
          <w:szCs w:val="28"/>
        </w:rPr>
        <w:t xml:space="preserve">Recommendations of the Task Force on Climate-Related Financial Disclosures: Final Report</w:t>
      </w:r>
      <w:r>
        <w:rPr>
          <w:rFonts w:ascii="Times New Roman" w:cs="Times New Roman" w:eastAsia="Times New Roman" w:hAnsi="Times New Roman"/>
          <w:b w:val="false"/>
          <w:bCs w:val="false"/>
          <w:sz w:val="28"/>
          <w:szCs w:val="28"/>
        </w:rPr>
        <w:t xml:space="preserve">. Financial Stability Board, 2017.</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Tornatzky, Louis G., and Mitchell Fleischer. </w:t>
      </w:r>
      <w:r>
        <w:rPr>
          <w:rFonts w:ascii="Times New Roman" w:cs="Times New Roman" w:eastAsia="Times New Roman" w:hAnsi="Times New Roman"/>
          <w:b w:val="false"/>
          <w:bCs w:val="false"/>
          <w:i/>
          <w:iCs/>
          <w:sz w:val="28"/>
          <w:szCs w:val="28"/>
        </w:rPr>
        <w:t xml:space="preserve">The Processes of Technological Innovation</w:t>
      </w:r>
      <w:r>
        <w:rPr>
          <w:rFonts w:ascii="Times New Roman" w:cs="Times New Roman" w:eastAsia="Times New Roman" w:hAnsi="Times New Roman"/>
          <w:b w:val="false"/>
          <w:bCs w:val="false"/>
          <w:sz w:val="28"/>
          <w:szCs w:val="28"/>
        </w:rPr>
        <w:t xml:space="preserve">. Lexington Books, 1990.</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Venkatesh, Viswanath, et al. "User Acceptance of Information Technology: Toward a Unified View." </w:t>
      </w:r>
      <w:r>
        <w:rPr>
          <w:rFonts w:ascii="Times New Roman" w:cs="Times New Roman" w:eastAsia="Times New Roman" w:hAnsi="Times New Roman"/>
          <w:b w:val="false"/>
          <w:bCs w:val="false"/>
          <w:i/>
          <w:iCs/>
          <w:sz w:val="28"/>
          <w:szCs w:val="28"/>
        </w:rPr>
        <w:t xml:space="preserve">MIS Quarterly</w:t>
      </w:r>
      <w:r>
        <w:rPr>
          <w:rFonts w:ascii="Times New Roman" w:cs="Times New Roman" w:eastAsia="Times New Roman" w:hAnsi="Times New Roman"/>
          <w:b w:val="false"/>
          <w:bCs w:val="false"/>
          <w:sz w:val="28"/>
          <w:szCs w:val="28"/>
        </w:rPr>
        <w:t xml:space="preserve">, vol. 27, no. 3, 2003, pp. 425–478.</w:t>
      </w:r>
    </w:p>
    <w:p>
      <w:pPr>
        <w:spacing w:after="120" w:line="240" w:lineRule="auto"/>
        <w:ind w:left="567" w:hanging="567"/>
        <w:jc w:val="left"/>
      </w:pPr>
      <w:r>
        <w:rPr>
          <w:rFonts w:ascii="Times New Roman" w:cs="Times New Roman" w:eastAsia="Times New Roman" w:hAnsi="Times New Roman"/>
          <w:b w:val="false"/>
          <w:bCs w:val="false"/>
          <w:sz w:val="28"/>
          <w:szCs w:val="28"/>
        </w:rPr>
        <w:t xml:space="preserve">World Bank. "Supporting Egypt's Inaugural Green Bond Issuance." </w:t>
      </w:r>
      <w:r>
        <w:rPr>
          <w:rFonts w:ascii="Times New Roman" w:cs="Times New Roman" w:eastAsia="Times New Roman" w:hAnsi="Times New Roman"/>
          <w:b w:val="false"/>
          <w:bCs w:val="false"/>
          <w:i/>
          <w:iCs/>
          <w:sz w:val="28"/>
          <w:szCs w:val="28"/>
        </w:rPr>
        <w:t xml:space="preserve">The World Bank Group</w:t>
      </w:r>
      <w:r>
        <w:rPr>
          <w:rFonts w:ascii="Times New Roman" w:cs="Times New Roman" w:eastAsia="Times New Roman" w:hAnsi="Times New Roman"/>
          <w:b w:val="false"/>
          <w:bCs w:val="false"/>
          <w:sz w:val="28"/>
          <w:szCs w:val="28"/>
        </w:rPr>
        <w:t xml:space="preserve">, 2022, www.worldbank.org/en/news/feature/2022/03/02/supporting-egypt-s-inaugural-green-bond-issuance.</w:t>
      </w:r>
    </w:p>
    <w:sectPr>
      <w:footerReference w:type="default" r:id="rId7"/>
      <w:pgSz w:w="11905" w:h="16837" w:orient="portrait"/>
      <w:pgMar w:top="1701" w:right="1701" w:bottom="1701"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95070e2156add24ada9d486d091acc4c6f9d7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2026-09-27T13:09:05.234Z</dcterms:created>
  <dcterms:modified xsi:type="dcterms:W3CDTF">2026-09-27T13:09:05.244Z</dcterms:modified>
</cp:coreProperties>
</file>

<file path=docProps/custom.xml><?xml version="1.0" encoding="utf-8"?>
<Properties xmlns="http://schemas.openxmlformats.org/officeDocument/2006/custom-properties" xmlns:vt="http://schemas.openxmlformats.org/officeDocument/2006/docPropsVTypes"/>
</file>