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9359" w14:textId="4E340C10" w:rsidR="00C22E4B" w:rsidRPr="00C22E4B" w:rsidRDefault="00C22E4B" w:rsidP="00C22E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2E4B">
        <w:rPr>
          <w:rFonts w:ascii="Times New Roman" w:eastAsia="Times New Roman" w:hAnsi="Times New Roman" w:cs="Times New Roman"/>
          <w:b/>
          <w:bCs/>
          <w:kern w:val="36"/>
          <w:sz w:val="48"/>
          <w:szCs w:val="48"/>
          <w14:ligatures w14:val="none"/>
        </w:rPr>
        <w:t>Weekly Status Submission Template</w:t>
      </w:r>
      <w:r w:rsidR="00CC45B7">
        <w:rPr>
          <w:rFonts w:ascii="Times New Roman" w:eastAsia="Times New Roman" w:hAnsi="Times New Roman" w:cs="Times New Roman"/>
          <w:b/>
          <w:bCs/>
          <w:kern w:val="36"/>
          <w:sz w:val="48"/>
          <w:szCs w:val="48"/>
          <w14:ligatures w14:val="none"/>
        </w:rPr>
        <w:t xml:space="preserve"> </w:t>
      </w:r>
    </w:p>
    <w:p w14:paraId="3F30B42B" w14:textId="2F40807E" w:rsidR="00C22E4B" w:rsidRPr="000D62C6"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22E4B">
        <w:rPr>
          <w:rFonts w:ascii="Times New Roman" w:eastAsia="Times New Roman" w:hAnsi="Times New Roman" w:cs="Times New Roman"/>
          <w:b/>
          <w:bCs/>
          <w:kern w:val="0"/>
          <w:sz w:val="28"/>
          <w:szCs w:val="28"/>
          <w14:ligatures w14:val="none"/>
        </w:rPr>
        <w:t>Week Number:</w:t>
      </w:r>
      <w:r w:rsidR="000E7F5B">
        <w:rPr>
          <w:rFonts w:ascii="Times New Roman" w:eastAsia="Times New Roman" w:hAnsi="Times New Roman" w:cs="Times New Roman"/>
          <w:b/>
          <w:bCs/>
          <w:kern w:val="0"/>
          <w:sz w:val="28"/>
          <w:szCs w:val="28"/>
          <w14:ligatures w14:val="none"/>
        </w:rPr>
        <w:t xml:space="preserve"> Week </w:t>
      </w:r>
      <w:r w:rsidR="003538E0">
        <w:rPr>
          <w:rFonts w:ascii="Times New Roman" w:eastAsia="Times New Roman" w:hAnsi="Times New Roman" w:cs="Times New Roman"/>
          <w:b/>
          <w:bCs/>
          <w:kern w:val="0"/>
          <w:sz w:val="28"/>
          <w:szCs w:val="28"/>
          <w14:ligatures w14:val="none"/>
        </w:rPr>
        <w:t>4</w:t>
      </w:r>
    </w:p>
    <w:p w14:paraId="18267B12" w14:textId="3FEC0A2F" w:rsidR="000D62C6" w:rsidRPr="000D62C6"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Date:</w:t>
      </w:r>
      <w:r w:rsidR="000E7F5B">
        <w:rPr>
          <w:rFonts w:ascii="Times New Roman" w:eastAsia="Times New Roman" w:hAnsi="Times New Roman" w:cs="Times New Roman"/>
          <w:b/>
          <w:bCs/>
          <w:kern w:val="0"/>
          <w:sz w:val="28"/>
          <w:szCs w:val="28"/>
          <w14:ligatures w14:val="none"/>
        </w:rPr>
        <w:t xml:space="preserve"> </w:t>
      </w:r>
      <w:r w:rsidR="003538E0">
        <w:rPr>
          <w:rFonts w:ascii="Times New Roman" w:eastAsia="Times New Roman" w:hAnsi="Times New Roman" w:cs="Times New Roman"/>
          <w:b/>
          <w:bCs/>
          <w:kern w:val="0"/>
          <w:sz w:val="28"/>
          <w:szCs w:val="28"/>
          <w14:ligatures w14:val="none"/>
        </w:rPr>
        <w:t>10/8/2026</w:t>
      </w:r>
    </w:p>
    <w:p w14:paraId="0A7EFCE4" w14:textId="56AAF307" w:rsidR="000D62C6" w:rsidRPr="00C22E4B"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 xml:space="preserve">Student Name: </w:t>
      </w:r>
      <w:r w:rsidR="000E7F5B">
        <w:rPr>
          <w:rFonts w:ascii="Times New Roman" w:eastAsia="Times New Roman" w:hAnsi="Times New Roman" w:cs="Times New Roman"/>
          <w:b/>
          <w:bCs/>
          <w:kern w:val="0"/>
          <w:sz w:val="28"/>
          <w:szCs w:val="28"/>
          <w14:ligatures w14:val="none"/>
        </w:rPr>
        <w:t>Sara Yakubesan</w:t>
      </w:r>
    </w:p>
    <w:p w14:paraId="4A7CB29B" w14:textId="404624A1"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Original Plan for This Week:</w:t>
      </w:r>
      <w:r w:rsidR="00CC45B7">
        <w:rPr>
          <w:rFonts w:ascii="Times New Roman" w:eastAsia="Times New Roman" w:hAnsi="Times New Roman" w:cs="Times New Roman"/>
          <w:b/>
          <w:bCs/>
          <w:kern w:val="0"/>
          <w:sz w:val="36"/>
          <w:szCs w:val="36"/>
          <w14:ligatures w14:val="none"/>
        </w:rPr>
        <w:t xml:space="preserve"> (5 points)</w:t>
      </w:r>
    </w:p>
    <w:p w14:paraId="5D65F3A3" w14:textId="07DA4BCC" w:rsidR="00112E9E" w:rsidRPr="00112E9E" w:rsidRDefault="00112E9E" w:rsidP="00112E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2E9E">
        <w:rPr>
          <w:rFonts w:ascii="Times New Roman" w:eastAsia="Times New Roman" w:hAnsi="Times New Roman" w:cs="Times New Roman"/>
          <w:kern w:val="0"/>
          <w:sz w:val="24"/>
          <w:szCs w:val="24"/>
          <w14:ligatures w14:val="none"/>
        </w:rPr>
        <w:t>According to the project timeline submitted with my proposal, the original Week 4 goal was Weather Feature Engineering. The planned tasks included creating conventional temperature and precipitation summaries for relevant growing-season periods, developing literature-supported extreme-weather indicators, combining the engineered weather features with the county-level yield data, examining the new variables for missing or unreasonable values, and evaluating potential redundancy and high correlation among weather predictors. The intended outcome was an analysis dataset containing historical yield information, conventional weather variables, and selected extreme-weather indicators ready for subsequent modeling.</w:t>
      </w:r>
    </w:p>
    <w:p w14:paraId="665183DC" w14:textId="223A5A2B" w:rsidR="00112E9E" w:rsidRPr="00112E9E" w:rsidRDefault="00112E9E" w:rsidP="00112E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2E9E">
        <w:rPr>
          <w:rFonts w:ascii="Times New Roman" w:eastAsia="Times New Roman" w:hAnsi="Times New Roman" w:cs="Times New Roman"/>
          <w:kern w:val="0"/>
          <w:sz w:val="24"/>
          <w:szCs w:val="24"/>
          <w14:ligatures w14:val="none"/>
        </w:rPr>
        <w:t>Because the original Week 4 feature-engineering work had already been completed ahead of schedule during earlier project work, I followed the accelerated schedule described in my Week 3 status report. After reviewing the first-draft thesis requirements, I determined that the remaining model-development and testing work needed to be completed earlier than originally proposed so that the full analytical results could be incorporated into the complete thesis draft due at the end of Week 5.</w:t>
      </w:r>
    </w:p>
    <w:p w14:paraId="6473021D" w14:textId="603C7E7D" w:rsidR="003430A9" w:rsidRPr="00C22E4B" w:rsidRDefault="00112E9E" w:rsidP="00112E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2E9E">
        <w:rPr>
          <w:rFonts w:ascii="Times New Roman" w:eastAsia="Times New Roman" w:hAnsi="Times New Roman" w:cs="Times New Roman"/>
          <w:kern w:val="0"/>
          <w:sz w:val="24"/>
          <w:szCs w:val="24"/>
          <w14:ligatures w14:val="none"/>
        </w:rPr>
        <w:t>The revised Week 4 plan therefore included completing the gradient-boosting model, comparing Linear Regression, Random Forest, and gradient boosting using the established 2012–2021 expanding-window validation framework, examining the contribution of conventional and extreme-weather predictors across algorithms, finalizing development-stage modeling decisions before accessing the 2022–2025 holdout, continuing thesis-development work, and maintaining the reproducibility files and supporting evidence needed for the final project.</w:t>
      </w:r>
    </w:p>
    <w:p w14:paraId="2DDBCDEE" w14:textId="4C0075A5"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Tasks Accomplished This Week:</w:t>
      </w:r>
      <w:r w:rsidR="00CC45B7">
        <w:rPr>
          <w:rFonts w:ascii="Times New Roman" w:eastAsia="Times New Roman" w:hAnsi="Times New Roman" w:cs="Times New Roman"/>
          <w:b/>
          <w:bCs/>
          <w:kern w:val="0"/>
          <w:sz w:val="36"/>
          <w:szCs w:val="36"/>
          <w14:ligatures w14:val="none"/>
        </w:rPr>
        <w:t xml:space="preserve"> (10 points)</w:t>
      </w:r>
    </w:p>
    <w:p w14:paraId="069A69F5" w14:textId="0A19E9B1"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This week I completed the remaining development-stage model comparison and formally locked the final model specification before evaluation of the 2022–2025 holdout. All analyses continued to use only the 2001–2021 development dataset, and the final holdout remained separate and unused.</w:t>
      </w:r>
    </w:p>
    <w:p w14:paraId="6CDF8B0E" w14:textId="77777777"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I first completed the XGBoost gradient-boosting workflow using the same three finalized predictor groups and the same 2012–2021 expanding-window outer validation structure used for Linear Regression and Random Forest. Hyperparameter tuning was performed separately within the available training data using nested time-aware validation so that future information was not used during tuning.</w:t>
      </w:r>
    </w:p>
    <w:p w14:paraId="56E69AFC" w14:textId="77777777"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27084E8" w14:textId="3528FF41"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lastRenderedPageBreak/>
        <w:t>The historical-only XGBoost model produced a pooled RMSE of approximately 43.0 bushels per acre and MAE of 32.6. Adding the six conventional growing-season weather predictors improved performance substantially, reducing pooled RMSE to approximately 32.5 and MAE to 25.4. The full Group 3 model, which also included the retained extreme-weather indicators E02–E04, produced the strongest XGBoost performance with a pooled RMSE of approximately 28.4, MAE of 22.2, and pooled R² of approximately 0.289.</w:t>
      </w:r>
    </w:p>
    <w:p w14:paraId="6A070299" w14:textId="344C9A9C"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After completing XGBoost, I combined the results from Linear Regression, Random Forest, and XGBoost into one development-stage model-family comparison. This produced nine total model specifications representing the three algorithms crossed with the three finalized predictor groups. Each specification was evaluated using the same 2012–2021 validation years and the same 739 pooled county-year validation observations.</w:t>
      </w:r>
    </w:p>
    <w:p w14:paraId="31D74FF1" w14:textId="555B2F49"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Linear Regression with Group 3 predictors produced the strongest overall development-stage performance. It had a pooled RMSE of approximately 22.6 bushels per acre, MAE of 18.1, and R² of 0.553. This specification ranked first across all nine model specifications for pooled RMSE, MAE, and R² and was the best-performing overall specification in 6 of the 10 individual validation years. A sensitivity analysis excluding the unusually difficult 2012 validation year produced the same overall selection, with Linear Regression Group 3 retaining a mean RMSE of approximately 19.5 and MAE of 16.8.</w:t>
      </w:r>
    </w:p>
    <w:p w14:paraId="4568F89C" w14:textId="1F6EAA71"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The completed model-family comparison also showed that weather information contributed differently across modeling approaches. For the linear model, the largest improvement occurred when the retained extreme-weather indicators were added to the conventional-weather predictors. For Random Forest, most of the improvement over the historical baseline occurred when conventional weather was added, with a smaller additional improvement from the extreme-weather indicators. XGBoost also improved as weather information was added, with Group 3 producing its strongest performance. These differences supported comparing both predictor groups and modeling algorithms rather than assuming the same predictor contribution would appear across all model families.</w:t>
      </w:r>
    </w:p>
    <w:p w14:paraId="5CCA4FE2" w14:textId="2C1F2A84"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I then completed a difficult-year diagnostic to better understand validation years with unusually high prediction error across the completed development-stage models. The difficult years were identified systematically using median RMSE across all nine model specifications. The three highest-error validation years were 2012, 2013, and 2015.</w:t>
      </w:r>
    </w:p>
    <w:p w14:paraId="151F12F7" w14:textId="6E4B5EBC"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The diagnostic showed that the difficult years represented different yield and weather conditions rather than one common prediction problem. The 2012 season was associated with unusually high heat accumulation above 35°C and low early-season precipitation. The 2013 season was characterized by an unusually long July–August dry spell, while 2015 showed unusually high precipitation-related measures. The contribution of conventional and extreme-weather predictors also differed among the three years. Because this analysis was intended to be descriptive, no additional tuning, predictor changes, or model-family changes were made based on the diagnostic findings.</w:t>
      </w:r>
    </w:p>
    <w:p w14:paraId="5022E9C1" w14:textId="6077C2AB"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Finally, I completed a formal development-stage model lock. The selected specification is Linear Regression with Group 3 predictors. The locked predictor set includes county identity, centered year, previous-year county yield, the six conventional weather predictors, and the three retained extreme-</w:t>
      </w:r>
      <w:r w:rsidRPr="00DD09CC">
        <w:rPr>
          <w:rFonts w:ascii="Times New Roman" w:eastAsia="Times New Roman" w:hAnsi="Times New Roman" w:cs="Times New Roman"/>
          <w:kern w:val="0"/>
          <w:sz w:val="24"/>
          <w:szCs w:val="24"/>
          <w14:ligatures w14:val="none"/>
        </w:rPr>
        <w:lastRenderedPageBreak/>
        <w:t>weather indicators E02–E04. E01 hot-day count remains excluded based on the earlier multicollinearity sensitivity analysis.</w:t>
      </w:r>
    </w:p>
    <w:p w14:paraId="35EA1A3A" w14:textId="44B25C61" w:rsidR="00DD09CC" w:rsidRPr="00DD09CC" w:rsidRDefault="00DD09CC" w:rsidP="00DD0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9CC">
        <w:rPr>
          <w:rFonts w:ascii="Times New Roman" w:eastAsia="Times New Roman" w:hAnsi="Times New Roman" w:cs="Times New Roman"/>
          <w:kern w:val="0"/>
          <w:sz w:val="24"/>
          <w:szCs w:val="24"/>
          <w14:ligatures w14:val="none"/>
        </w:rPr>
        <w:t>The lock workflow verified the completed development-stage rankings, recorded the exact predictor definition, confirmed that no new model fitting or tuning occurred during the lock step, and created a pre-holdout checkpoint documenting that the 2022–2025 final holdout remained unused.</w:t>
      </w:r>
    </w:p>
    <w:p w14:paraId="6ADB5D87" w14:textId="5FDB742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Comparison of Planned vs Actual:</w:t>
      </w:r>
      <w:r w:rsidR="00CC45B7">
        <w:rPr>
          <w:rFonts w:ascii="Times New Roman" w:eastAsia="Times New Roman" w:hAnsi="Times New Roman" w:cs="Times New Roman"/>
          <w:b/>
          <w:bCs/>
          <w:kern w:val="0"/>
          <w:sz w:val="36"/>
          <w:szCs w:val="36"/>
          <w14:ligatures w14:val="none"/>
        </w:rPr>
        <w:t xml:space="preserve"> (10 points)</w:t>
      </w:r>
    </w:p>
    <w:tbl>
      <w:tblPr>
        <w:tblStyle w:val="TableGrid"/>
        <w:tblW w:w="0" w:type="auto"/>
        <w:tblLook w:val="04A0" w:firstRow="1" w:lastRow="0" w:firstColumn="1" w:lastColumn="0" w:noHBand="0" w:noVBand="1"/>
      </w:tblPr>
      <w:tblGrid>
        <w:gridCol w:w="5125"/>
        <w:gridCol w:w="5125"/>
      </w:tblGrid>
      <w:tr w:rsidR="00577257" w14:paraId="13F75196" w14:textId="77777777" w:rsidTr="00577257">
        <w:tc>
          <w:tcPr>
            <w:tcW w:w="5125" w:type="dxa"/>
          </w:tcPr>
          <w:p w14:paraId="6E0BC707" w14:textId="59674844"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Planned Task</w:t>
            </w:r>
          </w:p>
        </w:tc>
        <w:tc>
          <w:tcPr>
            <w:tcW w:w="5125" w:type="dxa"/>
          </w:tcPr>
          <w:p w14:paraId="54DF4217" w14:textId="592DB6BC"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Actual Progress</w:t>
            </w:r>
          </w:p>
        </w:tc>
      </w:tr>
      <w:tr w:rsidR="00577257" w14:paraId="115E4966" w14:textId="77777777" w:rsidTr="00577257">
        <w:tc>
          <w:tcPr>
            <w:tcW w:w="5125" w:type="dxa"/>
          </w:tcPr>
          <w:p w14:paraId="1201AA2E" w14:textId="169E800A" w:rsidR="00577257" w:rsidRDefault="00626300" w:rsidP="00C22E4B">
            <w:pPr>
              <w:spacing w:before="100" w:beforeAutospacing="1" w:after="100" w:afterAutospacing="1"/>
              <w:rPr>
                <w:rFonts w:ascii="Times New Roman" w:eastAsia="Times New Roman" w:hAnsi="Times New Roman" w:cs="Times New Roman"/>
                <w:kern w:val="0"/>
                <w:sz w:val="24"/>
                <w:szCs w:val="24"/>
                <w14:ligatures w14:val="none"/>
              </w:rPr>
            </w:pPr>
            <w:r w:rsidRPr="00626300">
              <w:rPr>
                <w:rFonts w:ascii="Times New Roman" w:eastAsia="Times New Roman" w:hAnsi="Times New Roman" w:cs="Times New Roman"/>
                <w:kern w:val="0"/>
                <w:sz w:val="24"/>
                <w:szCs w:val="24"/>
                <w14:ligatures w14:val="none"/>
              </w:rPr>
              <w:t>Create conventional temperature and precipitation summaries for relevant growing-season periods.</w:t>
            </w:r>
          </w:p>
        </w:tc>
        <w:tc>
          <w:tcPr>
            <w:tcW w:w="5125" w:type="dxa"/>
          </w:tcPr>
          <w:p w14:paraId="64EA7383" w14:textId="1381CD99" w:rsidR="00577257" w:rsidRDefault="00C92DE3" w:rsidP="00C22E4B">
            <w:pPr>
              <w:spacing w:before="100" w:beforeAutospacing="1" w:after="100" w:afterAutospacing="1"/>
              <w:rPr>
                <w:rFonts w:ascii="Times New Roman" w:eastAsia="Times New Roman" w:hAnsi="Times New Roman" w:cs="Times New Roman"/>
                <w:kern w:val="0"/>
                <w:sz w:val="24"/>
                <w:szCs w:val="24"/>
                <w14:ligatures w14:val="none"/>
              </w:rPr>
            </w:pPr>
            <w:r w:rsidRPr="00C92DE3">
              <w:rPr>
                <w:rFonts w:ascii="Times New Roman" w:eastAsia="Times New Roman" w:hAnsi="Times New Roman" w:cs="Times New Roman"/>
                <w:kern w:val="0"/>
                <w:sz w:val="24"/>
                <w:szCs w:val="24"/>
                <w14:ligatures w14:val="none"/>
              </w:rPr>
              <w:t>COMPLETED AHEAD OF SCHEDULE – The six conventional weather predictors had already been engineered, manually checked, and audited during earlier project work</w:t>
            </w:r>
            <w:r>
              <w:rPr>
                <w:rFonts w:ascii="Times New Roman" w:eastAsia="Times New Roman" w:hAnsi="Times New Roman" w:cs="Times New Roman"/>
                <w:kern w:val="0"/>
                <w:sz w:val="24"/>
                <w:szCs w:val="24"/>
                <w14:ligatures w14:val="none"/>
              </w:rPr>
              <w:t>.</w:t>
            </w:r>
          </w:p>
        </w:tc>
      </w:tr>
      <w:tr w:rsidR="00577257" w14:paraId="6C4D9A9A" w14:textId="77777777" w:rsidTr="00577257">
        <w:tc>
          <w:tcPr>
            <w:tcW w:w="5125" w:type="dxa"/>
          </w:tcPr>
          <w:p w14:paraId="69329B9A" w14:textId="61E2316A" w:rsidR="00577257" w:rsidRDefault="00626300" w:rsidP="00C22E4B">
            <w:pPr>
              <w:spacing w:before="100" w:beforeAutospacing="1" w:after="100" w:afterAutospacing="1"/>
              <w:rPr>
                <w:rFonts w:ascii="Times New Roman" w:eastAsia="Times New Roman" w:hAnsi="Times New Roman" w:cs="Times New Roman"/>
                <w:kern w:val="0"/>
                <w:sz w:val="24"/>
                <w:szCs w:val="24"/>
                <w14:ligatures w14:val="none"/>
              </w:rPr>
            </w:pPr>
            <w:r w:rsidRPr="00626300">
              <w:rPr>
                <w:rFonts w:ascii="Times New Roman" w:eastAsia="Times New Roman" w:hAnsi="Times New Roman" w:cs="Times New Roman"/>
                <w:kern w:val="0"/>
                <w:sz w:val="24"/>
                <w:szCs w:val="24"/>
                <w14:ligatures w14:val="none"/>
              </w:rPr>
              <w:t>Develop literature-supported extreme-weather indicators.</w:t>
            </w:r>
          </w:p>
        </w:tc>
        <w:tc>
          <w:tcPr>
            <w:tcW w:w="5125" w:type="dxa"/>
          </w:tcPr>
          <w:p w14:paraId="55886312" w14:textId="028C7C22" w:rsidR="00577257" w:rsidRDefault="008A6DF2" w:rsidP="00C22E4B">
            <w:pPr>
              <w:spacing w:before="100" w:beforeAutospacing="1" w:after="100" w:afterAutospacing="1"/>
              <w:rPr>
                <w:rFonts w:ascii="Times New Roman" w:eastAsia="Times New Roman" w:hAnsi="Times New Roman" w:cs="Times New Roman"/>
                <w:kern w:val="0"/>
                <w:sz w:val="24"/>
                <w:szCs w:val="24"/>
                <w14:ligatures w14:val="none"/>
              </w:rPr>
            </w:pPr>
            <w:r w:rsidRPr="008A6DF2">
              <w:rPr>
                <w:rFonts w:ascii="Times New Roman" w:eastAsia="Times New Roman" w:hAnsi="Times New Roman" w:cs="Times New Roman"/>
                <w:kern w:val="0"/>
                <w:sz w:val="24"/>
                <w:szCs w:val="24"/>
                <w14:ligatures w14:val="none"/>
              </w:rPr>
              <w:t>COMPLETED AHEAD OF SCHEDULE – Four extreme-weather indicators were originally engineered and evaluated. E02–E04 were retained in the finalized Group 3 predictor set, while E01 was later excluded following the planned multicollinearity sensitivity analysis.</w:t>
            </w:r>
          </w:p>
        </w:tc>
      </w:tr>
      <w:tr w:rsidR="00577257" w14:paraId="55B0B36D" w14:textId="77777777" w:rsidTr="00577257">
        <w:tc>
          <w:tcPr>
            <w:tcW w:w="5125" w:type="dxa"/>
          </w:tcPr>
          <w:p w14:paraId="783109D1" w14:textId="1022AB47" w:rsidR="00577257" w:rsidRDefault="00626300" w:rsidP="00C22E4B">
            <w:pPr>
              <w:spacing w:before="100" w:beforeAutospacing="1" w:after="100" w:afterAutospacing="1"/>
              <w:rPr>
                <w:rFonts w:ascii="Times New Roman" w:eastAsia="Times New Roman" w:hAnsi="Times New Roman" w:cs="Times New Roman"/>
                <w:kern w:val="0"/>
                <w:sz w:val="24"/>
                <w:szCs w:val="24"/>
                <w14:ligatures w14:val="none"/>
              </w:rPr>
            </w:pPr>
            <w:r w:rsidRPr="00626300">
              <w:rPr>
                <w:rFonts w:ascii="Times New Roman" w:eastAsia="Times New Roman" w:hAnsi="Times New Roman" w:cs="Times New Roman"/>
                <w:kern w:val="0"/>
                <w:sz w:val="24"/>
                <w:szCs w:val="24"/>
                <w14:ligatures w14:val="none"/>
              </w:rPr>
              <w:t>Combine the engineered weather features with the county-level yield data.</w:t>
            </w:r>
          </w:p>
        </w:tc>
        <w:tc>
          <w:tcPr>
            <w:tcW w:w="5125" w:type="dxa"/>
          </w:tcPr>
          <w:p w14:paraId="0C528B25" w14:textId="6017F085" w:rsidR="00577257" w:rsidRDefault="008A6DF2" w:rsidP="00C22E4B">
            <w:pPr>
              <w:spacing w:before="100" w:beforeAutospacing="1" w:after="100" w:afterAutospacing="1"/>
              <w:rPr>
                <w:rFonts w:ascii="Times New Roman" w:eastAsia="Times New Roman" w:hAnsi="Times New Roman" w:cs="Times New Roman"/>
                <w:kern w:val="0"/>
                <w:sz w:val="24"/>
                <w:szCs w:val="24"/>
                <w14:ligatures w14:val="none"/>
              </w:rPr>
            </w:pPr>
            <w:r w:rsidRPr="008A6DF2">
              <w:rPr>
                <w:rFonts w:ascii="Times New Roman" w:eastAsia="Times New Roman" w:hAnsi="Times New Roman" w:cs="Times New Roman"/>
                <w:kern w:val="0"/>
                <w:sz w:val="24"/>
                <w:szCs w:val="24"/>
                <w14:ligatures w14:val="none"/>
              </w:rPr>
              <w:t>COMPLETED AHEAD OF SCHEDULE – Weather and yield data had already been integrated into separate 2001–2021 development and 2022–2025 final holdout modeling datasets.</w:t>
            </w:r>
          </w:p>
        </w:tc>
      </w:tr>
      <w:tr w:rsidR="00577257" w14:paraId="55F5ACE0" w14:textId="77777777" w:rsidTr="00577257">
        <w:tc>
          <w:tcPr>
            <w:tcW w:w="5125" w:type="dxa"/>
          </w:tcPr>
          <w:p w14:paraId="76E04425" w14:textId="60E31686" w:rsidR="00577257" w:rsidRDefault="00626300" w:rsidP="00C22E4B">
            <w:pPr>
              <w:spacing w:before="100" w:beforeAutospacing="1" w:after="100" w:afterAutospacing="1"/>
              <w:rPr>
                <w:rFonts w:ascii="Times New Roman" w:eastAsia="Times New Roman" w:hAnsi="Times New Roman" w:cs="Times New Roman"/>
                <w:kern w:val="0"/>
                <w:sz w:val="24"/>
                <w:szCs w:val="24"/>
                <w14:ligatures w14:val="none"/>
              </w:rPr>
            </w:pPr>
            <w:r w:rsidRPr="00626300">
              <w:rPr>
                <w:rFonts w:ascii="Times New Roman" w:eastAsia="Times New Roman" w:hAnsi="Times New Roman" w:cs="Times New Roman"/>
                <w:kern w:val="0"/>
                <w:sz w:val="24"/>
                <w:szCs w:val="24"/>
                <w14:ligatures w14:val="none"/>
              </w:rPr>
              <w:t>Examine the new variables for missing or unreasonable values.</w:t>
            </w:r>
          </w:p>
        </w:tc>
        <w:tc>
          <w:tcPr>
            <w:tcW w:w="5125" w:type="dxa"/>
          </w:tcPr>
          <w:p w14:paraId="14A340B2" w14:textId="57035F64" w:rsidR="00577257" w:rsidRDefault="008A6DF2" w:rsidP="00C22E4B">
            <w:pPr>
              <w:spacing w:before="100" w:beforeAutospacing="1" w:after="100" w:afterAutospacing="1"/>
              <w:rPr>
                <w:rFonts w:ascii="Times New Roman" w:eastAsia="Times New Roman" w:hAnsi="Times New Roman" w:cs="Times New Roman"/>
                <w:kern w:val="0"/>
                <w:sz w:val="24"/>
                <w:szCs w:val="24"/>
                <w14:ligatures w14:val="none"/>
              </w:rPr>
            </w:pPr>
            <w:r w:rsidRPr="008A6DF2">
              <w:rPr>
                <w:rFonts w:ascii="Times New Roman" w:eastAsia="Times New Roman" w:hAnsi="Times New Roman" w:cs="Times New Roman"/>
                <w:kern w:val="0"/>
                <w:sz w:val="24"/>
                <w:szCs w:val="24"/>
                <w14:ligatures w14:val="none"/>
              </w:rPr>
              <w:t>COMPLETED AHEAD OF SCHEDULE – Weather-feature auditing, modeling-dataset integration checks, and modeling-readiness safeguards were completed before formal model development.</w:t>
            </w:r>
          </w:p>
        </w:tc>
      </w:tr>
      <w:tr w:rsidR="00577257" w14:paraId="476EBEC6" w14:textId="77777777" w:rsidTr="00577257">
        <w:tc>
          <w:tcPr>
            <w:tcW w:w="5125" w:type="dxa"/>
          </w:tcPr>
          <w:p w14:paraId="4CF600C4" w14:textId="3659F7A6" w:rsidR="00577257" w:rsidRDefault="00C92DE3" w:rsidP="00C22E4B">
            <w:pPr>
              <w:spacing w:before="100" w:beforeAutospacing="1" w:after="100" w:afterAutospacing="1"/>
              <w:rPr>
                <w:rFonts w:ascii="Times New Roman" w:eastAsia="Times New Roman" w:hAnsi="Times New Roman" w:cs="Times New Roman"/>
                <w:kern w:val="0"/>
                <w:sz w:val="24"/>
                <w:szCs w:val="24"/>
                <w14:ligatures w14:val="none"/>
              </w:rPr>
            </w:pPr>
            <w:r w:rsidRPr="00C92DE3">
              <w:rPr>
                <w:rFonts w:ascii="Times New Roman" w:eastAsia="Times New Roman" w:hAnsi="Times New Roman" w:cs="Times New Roman"/>
                <w:kern w:val="0"/>
                <w:sz w:val="24"/>
                <w:szCs w:val="24"/>
                <w14:ligatures w14:val="none"/>
              </w:rPr>
              <w:t>Evaluate potential redundancy and high correlation among weather predictors.</w:t>
            </w:r>
          </w:p>
        </w:tc>
        <w:tc>
          <w:tcPr>
            <w:tcW w:w="5125" w:type="dxa"/>
          </w:tcPr>
          <w:p w14:paraId="14882E8E" w14:textId="2613E6A8" w:rsidR="00577257" w:rsidRDefault="00172161" w:rsidP="00C22E4B">
            <w:pPr>
              <w:spacing w:before="100" w:beforeAutospacing="1" w:after="100" w:afterAutospacing="1"/>
              <w:rPr>
                <w:rFonts w:ascii="Times New Roman" w:eastAsia="Times New Roman" w:hAnsi="Times New Roman" w:cs="Times New Roman"/>
                <w:kern w:val="0"/>
                <w:sz w:val="24"/>
                <w:szCs w:val="24"/>
                <w14:ligatures w14:val="none"/>
              </w:rPr>
            </w:pPr>
            <w:r w:rsidRPr="00172161">
              <w:rPr>
                <w:rFonts w:ascii="Times New Roman" w:eastAsia="Times New Roman" w:hAnsi="Times New Roman" w:cs="Times New Roman"/>
                <w:kern w:val="0"/>
                <w:sz w:val="24"/>
                <w:szCs w:val="24"/>
                <w14:ligatures w14:val="none"/>
              </w:rPr>
              <w:t>COMPLETED AHEAD OF SCHEDULE – The W03/E01 relationship was formally evaluated through a multicollinearity sensitivity analysis. W03 July mean temperature was retained and E01 hot-day count was excluded from the primary predictor set.</w:t>
            </w:r>
          </w:p>
        </w:tc>
      </w:tr>
      <w:tr w:rsidR="002C6DD1" w14:paraId="7A3A6B37" w14:textId="77777777" w:rsidTr="00577257">
        <w:tc>
          <w:tcPr>
            <w:tcW w:w="5125" w:type="dxa"/>
          </w:tcPr>
          <w:p w14:paraId="4AABB7D1" w14:textId="2F483215" w:rsidR="002C6DD1" w:rsidRPr="002C6DD1" w:rsidRDefault="00C92DE3" w:rsidP="00C22E4B">
            <w:pPr>
              <w:spacing w:before="100" w:beforeAutospacing="1" w:after="100" w:afterAutospacing="1"/>
              <w:rPr>
                <w:rFonts w:ascii="Times New Roman" w:eastAsia="Times New Roman" w:hAnsi="Times New Roman" w:cs="Times New Roman"/>
                <w:kern w:val="0"/>
                <w:sz w:val="24"/>
                <w:szCs w:val="24"/>
                <w14:ligatures w14:val="none"/>
              </w:rPr>
            </w:pPr>
            <w:r w:rsidRPr="00C92DE3">
              <w:rPr>
                <w:rFonts w:ascii="Times New Roman" w:eastAsia="Times New Roman" w:hAnsi="Times New Roman" w:cs="Times New Roman"/>
                <w:kern w:val="0"/>
                <w:sz w:val="24"/>
                <w:szCs w:val="24"/>
                <w14:ligatures w14:val="none"/>
              </w:rPr>
              <w:t>Additional progress beyond the original Week 4 plan.</w:t>
            </w:r>
          </w:p>
        </w:tc>
        <w:tc>
          <w:tcPr>
            <w:tcW w:w="5125" w:type="dxa"/>
          </w:tcPr>
          <w:p w14:paraId="38B7B228" w14:textId="42C817B0" w:rsidR="002C6DD1" w:rsidRDefault="00172161" w:rsidP="00C22E4B">
            <w:pPr>
              <w:spacing w:before="100" w:beforeAutospacing="1" w:after="100" w:afterAutospacing="1"/>
              <w:rPr>
                <w:rFonts w:ascii="Times New Roman" w:eastAsia="Times New Roman" w:hAnsi="Times New Roman" w:cs="Times New Roman"/>
                <w:kern w:val="0"/>
                <w:sz w:val="24"/>
                <w:szCs w:val="24"/>
                <w14:ligatures w14:val="none"/>
              </w:rPr>
            </w:pPr>
            <w:r w:rsidRPr="00172161">
              <w:rPr>
                <w:rFonts w:ascii="Times New Roman" w:eastAsia="Times New Roman" w:hAnsi="Times New Roman" w:cs="Times New Roman"/>
                <w:kern w:val="0"/>
                <w:sz w:val="24"/>
                <w:szCs w:val="24"/>
                <w14:ligatures w14:val="none"/>
              </w:rPr>
              <w:t>COMPLETED – XGBoost development, the full three-algorithm model-family comparison, sensitivity analysis, difficult-year diagnostic, and formal development-stage model lock were completed. Linear Regression with Group 3 predictors was selected as the final development-stage specification. Reproducibility evidence and repository documentation were also updated.</w:t>
            </w:r>
          </w:p>
        </w:tc>
      </w:tr>
    </w:tbl>
    <w:p w14:paraId="42EBC2E5" w14:textId="266FB0E4" w:rsidR="00C41EDE" w:rsidRPr="00C22E4B" w:rsidRDefault="00931EF2" w:rsidP="00931E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1EF2">
        <w:rPr>
          <w:rFonts w:ascii="Times New Roman" w:eastAsia="Times New Roman" w:hAnsi="Times New Roman" w:cs="Times New Roman"/>
          <w:kern w:val="0"/>
          <w:sz w:val="24"/>
          <w:szCs w:val="24"/>
          <w14:ligatures w14:val="none"/>
        </w:rPr>
        <w:t xml:space="preserve">Because the original Week 4 tasks had already been completed, I was able to focus on the revised modeling schedule established in my previous status report. This moved the project ahead of the original </w:t>
      </w:r>
      <w:r w:rsidRPr="00931EF2">
        <w:rPr>
          <w:rFonts w:ascii="Times New Roman" w:eastAsia="Times New Roman" w:hAnsi="Times New Roman" w:cs="Times New Roman"/>
          <w:kern w:val="0"/>
          <w:sz w:val="24"/>
          <w:szCs w:val="24"/>
          <w14:ligatures w14:val="none"/>
        </w:rPr>
        <w:lastRenderedPageBreak/>
        <w:t>proposal timeline so that final testing and the complete thesis draft can be finished by the end of Week 5. The change affects project timing rather than scope; the research question, datasets, predictor groups, validation strategy, and holdout design remain unchanged.</w:t>
      </w:r>
    </w:p>
    <w:p w14:paraId="22459142" w14:textId="6B6DDC1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Self-Rating of Progress:</w:t>
      </w:r>
      <w:r w:rsidR="00CC45B7">
        <w:rPr>
          <w:rFonts w:ascii="Times New Roman" w:eastAsia="Times New Roman" w:hAnsi="Times New Roman" w:cs="Times New Roman"/>
          <w:b/>
          <w:bCs/>
          <w:kern w:val="0"/>
          <w:sz w:val="36"/>
          <w:szCs w:val="36"/>
          <w14:ligatures w14:val="none"/>
        </w:rPr>
        <w:t xml:space="preserve"> (5 points)</w:t>
      </w:r>
    </w:p>
    <w:p w14:paraId="61E25AEE" w14:textId="1D0E55EB"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 xml:space="preserve">[ </w:t>
      </w:r>
      <w:r w:rsidR="009059A7">
        <w:rPr>
          <w:rFonts w:ascii="Times New Roman" w:eastAsia="Times New Roman" w:hAnsi="Times New Roman" w:cs="Times New Roman"/>
          <w:kern w:val="0"/>
          <w:sz w:val="24"/>
          <w:szCs w:val="24"/>
          <w14:ligatures w14:val="none"/>
        </w:rPr>
        <w:t xml:space="preserve">X </w:t>
      </w:r>
      <w:r w:rsidRPr="00C22E4B">
        <w:rPr>
          <w:rFonts w:ascii="Times New Roman" w:eastAsia="Times New Roman" w:hAnsi="Times New Roman" w:cs="Times New Roman"/>
          <w:kern w:val="0"/>
          <w:sz w:val="24"/>
          <w:szCs w:val="24"/>
          <w14:ligatures w14:val="none"/>
        </w:rPr>
        <w:t>] Met the Planned Tasks</w:t>
      </w:r>
    </w:p>
    <w:p w14:paraId="43C74104" w14:textId="77777777"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 ] Did Not Meet the Planned Tasks</w:t>
      </w:r>
    </w:p>
    <w:p w14:paraId="5ACE12FF" w14:textId="77777777" w:rsidR="008A7D4C" w:rsidRPr="008A7D4C" w:rsidRDefault="008A7D4C" w:rsidP="008A7D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D4C">
        <w:rPr>
          <w:rFonts w:ascii="Times New Roman" w:eastAsia="Times New Roman" w:hAnsi="Times New Roman" w:cs="Times New Roman"/>
          <w:kern w:val="0"/>
          <w:sz w:val="24"/>
          <w:szCs w:val="24"/>
          <w14:ligatures w14:val="none"/>
        </w:rPr>
        <w:t>I met the revised Week 4 objectives and completed the remaining development-stage modeling work. XGBoost, the cross-model comparison, difficult-year diagnostic, and formal model lock were all completed during the week.</w:t>
      </w:r>
    </w:p>
    <w:p w14:paraId="4E160726" w14:textId="2EBBB779" w:rsidR="00C22E4B" w:rsidRPr="00C22E4B" w:rsidRDefault="008A7D4C" w:rsidP="008A7D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7D4C">
        <w:rPr>
          <w:rFonts w:ascii="Times New Roman" w:eastAsia="Times New Roman" w:hAnsi="Times New Roman" w:cs="Times New Roman"/>
          <w:kern w:val="0"/>
          <w:sz w:val="24"/>
          <w:szCs w:val="24"/>
          <w14:ligatures w14:val="none"/>
        </w:rPr>
        <w:t>The most important milestone is that the development-stage model specification is now locked while the 2022–2025 final holdout remains untouched. The project is positioned for final evaluation and completion of the full thesis draft during Week 5.</w:t>
      </w:r>
    </w:p>
    <w:p w14:paraId="3E1D2EB2" w14:textId="5EA0499B"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Plan for Next Week:</w:t>
      </w:r>
      <w:r w:rsidR="00CC45B7">
        <w:rPr>
          <w:rFonts w:ascii="Times New Roman" w:eastAsia="Times New Roman" w:hAnsi="Times New Roman" w:cs="Times New Roman"/>
          <w:b/>
          <w:bCs/>
          <w:kern w:val="0"/>
          <w:sz w:val="36"/>
          <w:szCs w:val="36"/>
          <w14:ligatures w14:val="none"/>
        </w:rPr>
        <w:t xml:space="preserve"> (5 points)</w:t>
      </w:r>
    </w:p>
    <w:p w14:paraId="2B62C621" w14:textId="77777777" w:rsidR="00676B7D" w:rsidRPr="00676B7D" w:rsidRDefault="00676B7D" w:rsidP="00676B7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B7D">
        <w:rPr>
          <w:rFonts w:ascii="Times New Roman" w:eastAsia="Times New Roman" w:hAnsi="Times New Roman" w:cs="Times New Roman"/>
          <w:kern w:val="0"/>
          <w:sz w:val="24"/>
          <w:szCs w:val="24"/>
          <w14:ligatures w14:val="none"/>
        </w:rPr>
        <w:t>Next week I plan to complete the final analytical testing and incorporate the complete project results into the Week 5 thesis draft.</w:t>
      </w:r>
    </w:p>
    <w:p w14:paraId="44AEE45A" w14:textId="497E42D6" w:rsidR="00644085" w:rsidRPr="00644085" w:rsidRDefault="00676B7D" w:rsidP="00676B7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B7D">
        <w:rPr>
          <w:rFonts w:ascii="Times New Roman" w:eastAsia="Times New Roman" w:hAnsi="Times New Roman" w:cs="Times New Roman"/>
          <w:kern w:val="0"/>
          <w:sz w:val="24"/>
          <w:szCs w:val="24"/>
          <w14:ligatures w14:val="none"/>
        </w:rPr>
        <w:t>Because the development-stage model specification is now formally locked, the remaining testing will use the previously untouched 2022–2025 holdout. The holdout results will be used only for final evaluation and will not be used to change predictors, tune parameters, or select a different model.</w:t>
      </w:r>
    </w:p>
    <w:p w14:paraId="047B35B4" w14:textId="6A89C7D3" w:rsidR="00644085" w:rsidRDefault="00644085" w:rsidP="006440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 xml:space="preserve">The main tasks planned for Week </w:t>
      </w:r>
      <w:r w:rsidR="003538E0">
        <w:rPr>
          <w:rFonts w:ascii="Times New Roman" w:eastAsia="Times New Roman" w:hAnsi="Times New Roman" w:cs="Times New Roman"/>
          <w:kern w:val="0"/>
          <w:sz w:val="24"/>
          <w:szCs w:val="24"/>
          <w14:ligatures w14:val="none"/>
        </w:rPr>
        <w:t>5</w:t>
      </w:r>
      <w:r w:rsidRPr="00644085">
        <w:rPr>
          <w:rFonts w:ascii="Times New Roman" w:eastAsia="Times New Roman" w:hAnsi="Times New Roman" w:cs="Times New Roman"/>
          <w:kern w:val="0"/>
          <w:sz w:val="24"/>
          <w:szCs w:val="24"/>
          <w14:ligatures w14:val="none"/>
        </w:rPr>
        <w:t xml:space="preserve"> are:</w:t>
      </w:r>
    </w:p>
    <w:p w14:paraId="320BD930" w14:textId="172E6492" w:rsidR="00783EED" w:rsidRPr="00783EED" w:rsidRDefault="00783EED" w:rsidP="00783EED">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ED">
        <w:rPr>
          <w:rFonts w:ascii="Times New Roman" w:eastAsia="Times New Roman" w:hAnsi="Times New Roman" w:cs="Times New Roman"/>
          <w:kern w:val="0"/>
          <w:sz w:val="24"/>
          <w:szCs w:val="24"/>
          <w14:ligatures w14:val="none"/>
        </w:rPr>
        <w:t>Fit the locked Linear Regression Group 3 specification using the complete 2001–2021 development dataset and evaluate it on the previously untouched 2022–2025 final holdout.</w:t>
      </w:r>
    </w:p>
    <w:p w14:paraId="5D38ED51" w14:textId="753769DB" w:rsidR="00783EED" w:rsidRPr="00783EED" w:rsidRDefault="00783EED" w:rsidP="00783EED">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ED">
        <w:rPr>
          <w:rFonts w:ascii="Times New Roman" w:eastAsia="Times New Roman" w:hAnsi="Times New Roman" w:cs="Times New Roman"/>
          <w:kern w:val="0"/>
          <w:sz w:val="24"/>
          <w:szCs w:val="24"/>
          <w14:ligatures w14:val="none"/>
        </w:rPr>
        <w:t>Calculate final RMSE, MAE, and R², examine performance across the individual holdout years, and compare final performance with the development-stage validation results.</w:t>
      </w:r>
    </w:p>
    <w:p w14:paraId="35A8D1C3" w14:textId="607D6524" w:rsidR="00783EED" w:rsidRPr="00783EED" w:rsidRDefault="00783EED" w:rsidP="00783EED">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ED">
        <w:rPr>
          <w:rFonts w:ascii="Times New Roman" w:eastAsia="Times New Roman" w:hAnsi="Times New Roman" w:cs="Times New Roman"/>
          <w:kern w:val="0"/>
          <w:sz w:val="24"/>
          <w:szCs w:val="24"/>
          <w14:ligatures w14:val="none"/>
        </w:rPr>
        <w:t>Use the final analytical results to evaluate the hypothesis and answer the primary research question.</w:t>
      </w:r>
    </w:p>
    <w:p w14:paraId="6A1A11B6" w14:textId="719450C2" w:rsidR="00783EED" w:rsidRPr="00783EED" w:rsidRDefault="00783EED" w:rsidP="00783EED">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ED">
        <w:rPr>
          <w:rFonts w:ascii="Times New Roman" w:eastAsia="Times New Roman" w:hAnsi="Times New Roman" w:cs="Times New Roman"/>
          <w:kern w:val="0"/>
          <w:sz w:val="24"/>
          <w:szCs w:val="24"/>
          <w14:ligatures w14:val="none"/>
        </w:rPr>
        <w:t>Complete the full thesis draft by incorporating the final Methods, Results, Discussion, Conclusion, figures, tables, citations, and references.</w:t>
      </w:r>
    </w:p>
    <w:p w14:paraId="2A435A97" w14:textId="58FD6D89" w:rsidR="00783EED" w:rsidRPr="00783EED" w:rsidRDefault="00783EED" w:rsidP="00783EED">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ED">
        <w:rPr>
          <w:rFonts w:ascii="Times New Roman" w:eastAsia="Times New Roman" w:hAnsi="Times New Roman" w:cs="Times New Roman"/>
          <w:kern w:val="0"/>
          <w:sz w:val="24"/>
          <w:szCs w:val="24"/>
          <w14:ligatures w14:val="none"/>
        </w:rPr>
        <w:t>Complete and submit the required Week 5 thesis draft.</w:t>
      </w:r>
    </w:p>
    <w:p w14:paraId="1521F39E" w14:textId="74F71DB5" w:rsidR="00783EED" w:rsidRPr="00783EED" w:rsidRDefault="00783EED" w:rsidP="00783EED">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ED">
        <w:rPr>
          <w:rFonts w:ascii="Times New Roman" w:eastAsia="Times New Roman" w:hAnsi="Times New Roman" w:cs="Times New Roman"/>
          <w:kern w:val="0"/>
          <w:sz w:val="24"/>
          <w:szCs w:val="24"/>
          <w14:ligatures w14:val="none"/>
        </w:rPr>
        <w:t>Maintain reproducibility files and supporting evidence for the final thesis submission package.</w:t>
      </w:r>
    </w:p>
    <w:p w14:paraId="40D6C2BF" w14:textId="67D48C19" w:rsidR="00CD38C3" w:rsidRPr="00CD38C3" w:rsidRDefault="00CD38C3" w:rsidP="00CD38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C3">
        <w:rPr>
          <w:rFonts w:ascii="Times New Roman" w:eastAsia="Times New Roman" w:hAnsi="Times New Roman" w:cs="Times New Roman"/>
          <w:kern w:val="0"/>
          <w:sz w:val="24"/>
          <w:szCs w:val="24"/>
          <w14:ligatures w14:val="none"/>
        </w:rPr>
        <w:t>The original proposal identified Week 5 as Exploratory Analysis and Historical Baseline development. Those tasks were completed earlier in the project. Under the revised schedule established during Week 3, the priority for Week 5 is therefore to complete final testing and the full thesis draft so that all analytical results are represented in the manuscript.</w:t>
      </w:r>
    </w:p>
    <w:p w14:paraId="20E073F9" w14:textId="09F9E538" w:rsidR="00CD38C3" w:rsidRPr="00CD38C3" w:rsidRDefault="00CD38C3" w:rsidP="00CD38C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D38C3">
        <w:rPr>
          <w:rFonts w:ascii="Times New Roman" w:eastAsia="Times New Roman" w:hAnsi="Times New Roman" w:cs="Times New Roman"/>
          <w:kern w:val="0"/>
          <w:sz w:val="24"/>
          <w:szCs w:val="24"/>
          <w14:ligatures w14:val="none"/>
        </w:rPr>
        <w:lastRenderedPageBreak/>
        <w:t>By the end of the next work period, the goal is to have the final holdout evaluation completed, the main research question and hypothesis addressed using the complete analysis, and a complete first thesis draft ready for submission.</w:t>
      </w:r>
    </w:p>
    <w:p w14:paraId="78C8EC53" w14:textId="472BAB77"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Evidence of Tasks Completed:</w:t>
      </w:r>
      <w:r w:rsidR="00CC45B7">
        <w:rPr>
          <w:rFonts w:ascii="Times New Roman" w:eastAsia="Times New Roman" w:hAnsi="Times New Roman" w:cs="Times New Roman"/>
          <w:b/>
          <w:bCs/>
          <w:kern w:val="0"/>
          <w:sz w:val="36"/>
          <w:szCs w:val="36"/>
          <w14:ligatures w14:val="none"/>
        </w:rPr>
        <w:t xml:space="preserve"> (15 points)</w:t>
      </w:r>
    </w:p>
    <w:p w14:paraId="4D2F27E4" w14:textId="77777777" w:rsidR="00DE6929" w:rsidRPr="00DE6929" w:rsidRDefault="00DE6929"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6929">
        <w:rPr>
          <w:rFonts w:ascii="Times New Roman" w:eastAsia="Times New Roman" w:hAnsi="Times New Roman" w:cs="Times New Roman"/>
          <w:kern w:val="0"/>
          <w:sz w:val="24"/>
          <w:szCs w:val="24"/>
          <w14:ligatures w14:val="none"/>
        </w:rPr>
        <w:t>Supporting evidence for the work described below is available in my GitHub thesis repository:</w:t>
      </w:r>
    </w:p>
    <w:p w14:paraId="251A39EF" w14:textId="7B6F71B2" w:rsidR="00DE6929" w:rsidRPr="00DE6929" w:rsidRDefault="00E9612A"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 w:history="1">
        <w:r w:rsidRPr="00E9612A">
          <w:rPr>
            <w:rStyle w:val="Hyperlink"/>
            <w:rFonts w:ascii="Times New Roman" w:eastAsia="Times New Roman" w:hAnsi="Times New Roman" w:cs="Times New Roman"/>
            <w:kern w:val="0"/>
            <w:sz w:val="24"/>
            <w:szCs w:val="24"/>
            <w14:ligatures w14:val="none"/>
          </w:rPr>
          <w:t>Sara Yakubesan_GitHub_Repository</w:t>
        </w:r>
      </w:hyperlink>
    </w:p>
    <w:p w14:paraId="550FFA88" w14:textId="0FCE9946" w:rsidR="00977EA5" w:rsidRPr="00977EA5" w:rsidRDefault="00977EA5" w:rsidP="00977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 xml:space="preserve">Relevant Week </w:t>
      </w:r>
      <w:r w:rsidR="003538E0">
        <w:rPr>
          <w:rFonts w:ascii="Times New Roman" w:eastAsia="Times New Roman" w:hAnsi="Times New Roman" w:cs="Times New Roman"/>
          <w:kern w:val="0"/>
          <w:sz w:val="24"/>
          <w:szCs w:val="24"/>
          <w14:ligatures w14:val="none"/>
        </w:rPr>
        <w:t>4</w:t>
      </w:r>
      <w:r w:rsidRPr="00977EA5">
        <w:rPr>
          <w:rFonts w:ascii="Times New Roman" w:eastAsia="Times New Roman" w:hAnsi="Times New Roman" w:cs="Times New Roman"/>
          <w:kern w:val="0"/>
          <w:sz w:val="24"/>
          <w:szCs w:val="24"/>
          <w14:ligatures w14:val="none"/>
        </w:rPr>
        <w:t xml:space="preserve"> evidence includes:</w:t>
      </w:r>
    </w:p>
    <w:p w14:paraId="775B98FF" w14:textId="18A8E629" w:rsidR="00E00557" w:rsidRDefault="00E00557" w:rsidP="00E00557">
      <w:pPr>
        <w:pStyle w:val="ListParagraph"/>
        <w:numPr>
          <w:ilvl w:val="0"/>
          <w:numId w:val="9"/>
        </w:numPr>
      </w:pPr>
      <w:r w:rsidRPr="00E00557">
        <w:rPr>
          <w:highlight w:val="lightGray"/>
        </w:rPr>
        <w:t>19_gradient_boosting_comparison.R</w:t>
      </w:r>
      <w:r>
        <w:t xml:space="preserve"> and selected XGBoost outputs — document the comparison of all three finalized predictor groups using 2012–2021 expanding-window validation and nested time-aware tuning, including pooled and yearly performance, sensitivity analysis excluding 2012, and the RMSE-by-validation-year figure.</w:t>
      </w:r>
    </w:p>
    <w:p w14:paraId="562751AE" w14:textId="0EB69099" w:rsidR="00E00557" w:rsidRDefault="00E00557" w:rsidP="00E00557">
      <w:pPr>
        <w:pStyle w:val="ListParagraph"/>
        <w:numPr>
          <w:ilvl w:val="0"/>
          <w:numId w:val="9"/>
        </w:numPr>
      </w:pPr>
      <w:r w:rsidRPr="00E00557">
        <w:rPr>
          <w:highlight w:val="lightGray"/>
        </w:rPr>
        <w:t>20_model_family_comparison.R</w:t>
      </w:r>
      <w:r>
        <w:t xml:space="preserve"> and model-family comparison outputs — compare all nine Linear Regression, Random Forest, and XGBoost predictor-group specifications using the common development-stage validation framework and include pooled rankings, yearly comparisons, sensitivity results, model-specification win counts, and the cross-model RMSE figure.</w:t>
      </w:r>
    </w:p>
    <w:p w14:paraId="5BA783E6" w14:textId="39E975F6" w:rsidR="00E00557" w:rsidRDefault="00E00557" w:rsidP="00E00557">
      <w:pPr>
        <w:pStyle w:val="ListParagraph"/>
        <w:numPr>
          <w:ilvl w:val="0"/>
          <w:numId w:val="9"/>
        </w:numPr>
      </w:pPr>
      <w:r w:rsidRPr="00E00557">
        <w:rPr>
          <w:highlight w:val="lightGray"/>
        </w:rPr>
        <w:t>21_difficult_year_diagnostic.R</w:t>
      </w:r>
      <w:r>
        <w:t xml:space="preserve"> and diagnostic outputs — identify 2012, 2013, and 2015 as the highest-error development-validation years and summarize their yield conditions, unusual weather characteristics, and predictor-group performance without performing additional model tuning.</w:t>
      </w:r>
    </w:p>
    <w:p w14:paraId="6429F2D9" w14:textId="29105B9B" w:rsidR="00E00557" w:rsidRDefault="00E00557" w:rsidP="00E00557">
      <w:pPr>
        <w:pStyle w:val="ListParagraph"/>
        <w:numPr>
          <w:ilvl w:val="0"/>
          <w:numId w:val="9"/>
        </w:numPr>
      </w:pPr>
      <w:r w:rsidRPr="00E00557">
        <w:rPr>
          <w:highlight w:val="lightGray"/>
        </w:rPr>
        <w:t>22_development_stage_lock.R</w:t>
      </w:r>
      <w:r>
        <w:t xml:space="preserve"> and development-stage lock outputs — document the formal selection of Linear Regression with Group 3 predictors, the overall nine-specification ranking, the exact locked predictor set, and the final pre-holdout checkpoint.</w:t>
      </w:r>
    </w:p>
    <w:p w14:paraId="64173EA9" w14:textId="14F314B9" w:rsidR="00E00557" w:rsidRDefault="00E00557" w:rsidP="00E00557">
      <w:pPr>
        <w:pStyle w:val="ListParagraph"/>
        <w:numPr>
          <w:ilvl w:val="0"/>
          <w:numId w:val="9"/>
        </w:numPr>
      </w:pPr>
      <w:r>
        <w:t>Updated Methodology Decision Table — records the completed model-family comparison, difficult-year diagnostic methodology, final development-stage model selection, and formal pre-holdout model lock.</w:t>
      </w:r>
    </w:p>
    <w:p w14:paraId="093AB15B" w14:textId="163CBBC4" w:rsidR="00E53654" w:rsidRPr="00C22E4B" w:rsidRDefault="00E00557" w:rsidP="00E00557">
      <w:pPr>
        <w:pStyle w:val="ListParagraph"/>
        <w:numPr>
          <w:ilvl w:val="0"/>
          <w:numId w:val="9"/>
        </w:numPr>
      </w:pPr>
      <w:r>
        <w:t>Development-period safeguards — confirm that all Week 4 development and diagnostic decisions used only pre-2022 information and that the 2022–2025 final holdout remained unused for feature selection, tuning, model comparison, difficult-year diagnostics, and final model selection.</w:t>
      </w:r>
    </w:p>
    <w:sectPr w:rsidR="00E53654" w:rsidRPr="00C22E4B" w:rsidSect="00AA5EC2">
      <w:headerReference w:type="default" r:id="rId8"/>
      <w:footerReference w:type="default" r:id="rId9"/>
      <w:pgSz w:w="12240" w:h="15840"/>
      <w:pgMar w:top="144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E9616" w14:textId="77777777" w:rsidR="009D6331" w:rsidRDefault="009D6331" w:rsidP="000D62C6">
      <w:pPr>
        <w:spacing w:after="0" w:line="240" w:lineRule="auto"/>
      </w:pPr>
      <w:r>
        <w:separator/>
      </w:r>
    </w:p>
  </w:endnote>
  <w:endnote w:type="continuationSeparator" w:id="0">
    <w:p w14:paraId="0A91EBC7" w14:textId="77777777" w:rsidR="009D6331" w:rsidRDefault="009D6331" w:rsidP="000D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0B6F" w14:textId="0A73A342" w:rsidR="000D62C6" w:rsidRPr="00354CF2" w:rsidRDefault="000D62C6" w:rsidP="000D62C6">
    <w:pPr>
      <w:pStyle w:val="Footer"/>
      <w:jc w:val="right"/>
      <w:rPr>
        <w:color w:val="0070C0"/>
      </w:rPr>
    </w:pPr>
    <w:r w:rsidRPr="00354CF2">
      <w:rPr>
        <w:color w:val="0070C0"/>
      </w:rPr>
      <w:t xml:space="preserve">Page </w:t>
    </w:r>
    <w:r w:rsidRPr="00354CF2">
      <w:rPr>
        <w:b/>
        <w:bCs/>
        <w:color w:val="0070C0"/>
      </w:rPr>
      <w:fldChar w:fldCharType="begin"/>
    </w:r>
    <w:r w:rsidRPr="00354CF2">
      <w:rPr>
        <w:b/>
        <w:bCs/>
        <w:color w:val="0070C0"/>
      </w:rPr>
      <w:instrText xml:space="preserve"> PAGE  \* Arabic  \* MERGEFORMAT </w:instrText>
    </w:r>
    <w:r w:rsidRPr="00354CF2">
      <w:rPr>
        <w:b/>
        <w:bCs/>
        <w:color w:val="0070C0"/>
      </w:rPr>
      <w:fldChar w:fldCharType="separate"/>
    </w:r>
    <w:r w:rsidRPr="00354CF2">
      <w:rPr>
        <w:b/>
        <w:bCs/>
        <w:noProof/>
        <w:color w:val="0070C0"/>
      </w:rPr>
      <w:t>1</w:t>
    </w:r>
    <w:r w:rsidRPr="00354CF2">
      <w:rPr>
        <w:b/>
        <w:bCs/>
        <w:color w:val="0070C0"/>
      </w:rPr>
      <w:fldChar w:fldCharType="end"/>
    </w:r>
    <w:r w:rsidRPr="00354CF2">
      <w:rPr>
        <w:color w:val="0070C0"/>
      </w:rPr>
      <w:t xml:space="preserve"> of </w:t>
    </w:r>
    <w:r w:rsidRPr="00354CF2">
      <w:rPr>
        <w:b/>
        <w:bCs/>
        <w:color w:val="0070C0"/>
      </w:rPr>
      <w:fldChar w:fldCharType="begin"/>
    </w:r>
    <w:r w:rsidRPr="00354CF2">
      <w:rPr>
        <w:b/>
        <w:bCs/>
        <w:color w:val="0070C0"/>
      </w:rPr>
      <w:instrText xml:space="preserve"> NUMPAGES  \* Arabic  \* MERGEFORMAT </w:instrText>
    </w:r>
    <w:r w:rsidRPr="00354CF2">
      <w:rPr>
        <w:b/>
        <w:bCs/>
        <w:color w:val="0070C0"/>
      </w:rPr>
      <w:fldChar w:fldCharType="separate"/>
    </w:r>
    <w:r w:rsidRPr="00354CF2">
      <w:rPr>
        <w:b/>
        <w:bCs/>
        <w:noProof/>
        <w:color w:val="0070C0"/>
      </w:rPr>
      <w:t>2</w:t>
    </w:r>
    <w:r w:rsidRPr="00354CF2">
      <w:rPr>
        <w:b/>
        <w:bCs/>
        <w:color w:val="0070C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519F0" w14:textId="77777777" w:rsidR="009D6331" w:rsidRDefault="009D6331" w:rsidP="000D62C6">
      <w:pPr>
        <w:spacing w:after="0" w:line="240" w:lineRule="auto"/>
      </w:pPr>
      <w:r>
        <w:separator/>
      </w:r>
    </w:p>
  </w:footnote>
  <w:footnote w:type="continuationSeparator" w:id="0">
    <w:p w14:paraId="3CB226AC" w14:textId="77777777" w:rsidR="009D6331" w:rsidRDefault="009D6331" w:rsidP="000D6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8548" w14:textId="7A6B8E6D" w:rsidR="000D62C6" w:rsidRPr="00354CF2" w:rsidRDefault="000D62C6" w:rsidP="000D62C6">
    <w:pPr>
      <w:pStyle w:val="Header"/>
      <w:jc w:val="right"/>
      <w:rPr>
        <w:rFonts w:ascii="Times New Roman" w:hAnsi="Times New Roman" w:cs="Times New Roman"/>
        <w:color w:val="0070C0"/>
      </w:rPr>
    </w:pPr>
    <w:r w:rsidRPr="00354CF2">
      <w:rPr>
        <w:rFonts w:ascii="Times New Roman" w:hAnsi="Times New Roman" w:cs="Times New Roman"/>
        <w:color w:val="0070C0"/>
      </w:rPr>
      <w:fldChar w:fldCharType="begin"/>
    </w:r>
    <w:r w:rsidRPr="00354CF2">
      <w:rPr>
        <w:rFonts w:ascii="Times New Roman" w:hAnsi="Times New Roman" w:cs="Times New Roman"/>
        <w:color w:val="0070C0"/>
      </w:rPr>
      <w:instrText xml:space="preserve"> DATE \@ "dddd, MMMM d, yyyy" </w:instrText>
    </w:r>
    <w:r w:rsidRPr="00354CF2">
      <w:rPr>
        <w:rFonts w:ascii="Times New Roman" w:hAnsi="Times New Roman" w:cs="Times New Roman"/>
        <w:color w:val="0070C0"/>
      </w:rPr>
      <w:fldChar w:fldCharType="separate"/>
    </w:r>
    <w:r w:rsidR="008A7D4C">
      <w:rPr>
        <w:rFonts w:ascii="Times New Roman" w:hAnsi="Times New Roman" w:cs="Times New Roman"/>
        <w:noProof/>
        <w:color w:val="0070C0"/>
      </w:rPr>
      <w:t>Thursday, October 8, 2026</w:t>
    </w:r>
    <w:r w:rsidRPr="00354CF2">
      <w:rPr>
        <w:rFonts w:ascii="Times New Roman" w:hAnsi="Times New Roman" w:cs="Times New Roman"/>
        <w:color w:val="0070C0"/>
      </w:rPr>
      <w:fldChar w:fldCharType="end"/>
    </w:r>
  </w:p>
  <w:p w14:paraId="3319A0E6" w14:textId="302B4863" w:rsidR="00354CF2" w:rsidRPr="00354CF2" w:rsidRDefault="00354CF2" w:rsidP="000D62C6">
    <w:pPr>
      <w:pStyle w:val="Header"/>
      <w:jc w:val="right"/>
      <w:rPr>
        <w:rFonts w:ascii="Times New Roman" w:hAnsi="Times New Roman" w:cs="Times New Roman"/>
        <w:color w:val="0070C0"/>
      </w:rPr>
    </w:pPr>
    <w:r w:rsidRPr="00354CF2">
      <w:rPr>
        <w:rFonts w:ascii="Times New Roman" w:hAnsi="Times New Roman" w:cs="Times New Roman"/>
        <w:color w:val="0070C0"/>
      </w:rPr>
      <w:t>INFO-I 492 with Dr.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4A0"/>
    <w:multiLevelType w:val="hybridMultilevel"/>
    <w:tmpl w:val="2718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96FE2"/>
    <w:multiLevelType w:val="hybridMultilevel"/>
    <w:tmpl w:val="144A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34CC0"/>
    <w:multiLevelType w:val="hybridMultilevel"/>
    <w:tmpl w:val="5CA6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21518"/>
    <w:multiLevelType w:val="hybridMultilevel"/>
    <w:tmpl w:val="27EE22F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86C74"/>
    <w:multiLevelType w:val="hybridMultilevel"/>
    <w:tmpl w:val="CF4C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4426A7"/>
    <w:multiLevelType w:val="hybridMultilevel"/>
    <w:tmpl w:val="B358BC1E"/>
    <w:lvl w:ilvl="0" w:tplc="04090001">
      <w:start w:val="1"/>
      <w:numFmt w:val="bullet"/>
      <w:lvlText w:val=""/>
      <w:lvlJc w:val="left"/>
      <w:pPr>
        <w:ind w:left="720" w:hanging="360"/>
      </w:pPr>
      <w:rPr>
        <w:rFonts w:ascii="Symbol" w:hAnsi="Symbol" w:hint="default"/>
      </w:rPr>
    </w:lvl>
    <w:lvl w:ilvl="1" w:tplc="547A27F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E62B3A"/>
    <w:multiLevelType w:val="hybridMultilevel"/>
    <w:tmpl w:val="2EA01C5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E31351"/>
    <w:multiLevelType w:val="hybridMultilevel"/>
    <w:tmpl w:val="BAA26DE8"/>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C0EC4"/>
    <w:multiLevelType w:val="hybridMultilevel"/>
    <w:tmpl w:val="4302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A20D66"/>
    <w:multiLevelType w:val="multilevel"/>
    <w:tmpl w:val="842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13994">
    <w:abstractNumId w:val="9"/>
  </w:num>
  <w:num w:numId="2" w16cid:durableId="56972987">
    <w:abstractNumId w:val="1"/>
  </w:num>
  <w:num w:numId="3" w16cid:durableId="670182490">
    <w:abstractNumId w:val="5"/>
  </w:num>
  <w:num w:numId="4" w16cid:durableId="151990177">
    <w:abstractNumId w:val="8"/>
  </w:num>
  <w:num w:numId="5" w16cid:durableId="966163589">
    <w:abstractNumId w:val="7"/>
  </w:num>
  <w:num w:numId="6" w16cid:durableId="915020860">
    <w:abstractNumId w:val="6"/>
  </w:num>
  <w:num w:numId="7" w16cid:durableId="285698779">
    <w:abstractNumId w:val="3"/>
  </w:num>
  <w:num w:numId="8" w16cid:durableId="1763334800">
    <w:abstractNumId w:val="2"/>
  </w:num>
  <w:num w:numId="9" w16cid:durableId="1249389848">
    <w:abstractNumId w:val="4"/>
  </w:num>
  <w:num w:numId="10" w16cid:durableId="57601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4B"/>
    <w:rsid w:val="0000630D"/>
    <w:rsid w:val="000306E5"/>
    <w:rsid w:val="00060630"/>
    <w:rsid w:val="0008419C"/>
    <w:rsid w:val="00096DD6"/>
    <w:rsid w:val="000D62C6"/>
    <w:rsid w:val="000E7F5B"/>
    <w:rsid w:val="00112E9E"/>
    <w:rsid w:val="00114A3B"/>
    <w:rsid w:val="001314DF"/>
    <w:rsid w:val="00167122"/>
    <w:rsid w:val="00172161"/>
    <w:rsid w:val="00172956"/>
    <w:rsid w:val="00177C01"/>
    <w:rsid w:val="00181EFA"/>
    <w:rsid w:val="0019625B"/>
    <w:rsid w:val="001A2500"/>
    <w:rsid w:val="001B70C8"/>
    <w:rsid w:val="001F4AB9"/>
    <w:rsid w:val="002308E1"/>
    <w:rsid w:val="00273A2D"/>
    <w:rsid w:val="00291423"/>
    <w:rsid w:val="002C6DD1"/>
    <w:rsid w:val="003174E7"/>
    <w:rsid w:val="003232FF"/>
    <w:rsid w:val="003430A9"/>
    <w:rsid w:val="003457CE"/>
    <w:rsid w:val="003538E0"/>
    <w:rsid w:val="00354CF2"/>
    <w:rsid w:val="00357FBB"/>
    <w:rsid w:val="0037323B"/>
    <w:rsid w:val="00394492"/>
    <w:rsid w:val="003960AE"/>
    <w:rsid w:val="003A7A64"/>
    <w:rsid w:val="003D4F4C"/>
    <w:rsid w:val="003F6F83"/>
    <w:rsid w:val="00434057"/>
    <w:rsid w:val="00435A58"/>
    <w:rsid w:val="0045154D"/>
    <w:rsid w:val="00451AEB"/>
    <w:rsid w:val="00452C7B"/>
    <w:rsid w:val="00463288"/>
    <w:rsid w:val="004A1111"/>
    <w:rsid w:val="004A5EE9"/>
    <w:rsid w:val="004F6B32"/>
    <w:rsid w:val="00515B00"/>
    <w:rsid w:val="00577257"/>
    <w:rsid w:val="005F23BD"/>
    <w:rsid w:val="005F51AB"/>
    <w:rsid w:val="00626300"/>
    <w:rsid w:val="00631828"/>
    <w:rsid w:val="00644085"/>
    <w:rsid w:val="006637D1"/>
    <w:rsid w:val="0067656F"/>
    <w:rsid w:val="00676B7D"/>
    <w:rsid w:val="0067707D"/>
    <w:rsid w:val="006808FF"/>
    <w:rsid w:val="006A1A06"/>
    <w:rsid w:val="006A359F"/>
    <w:rsid w:val="006A60AA"/>
    <w:rsid w:val="006C0A1E"/>
    <w:rsid w:val="006E2424"/>
    <w:rsid w:val="006F5AF4"/>
    <w:rsid w:val="006F6308"/>
    <w:rsid w:val="007677A0"/>
    <w:rsid w:val="0077602B"/>
    <w:rsid w:val="007823C4"/>
    <w:rsid w:val="00783EED"/>
    <w:rsid w:val="00785624"/>
    <w:rsid w:val="007879DC"/>
    <w:rsid w:val="007C65C9"/>
    <w:rsid w:val="0086568C"/>
    <w:rsid w:val="00880E98"/>
    <w:rsid w:val="008A573D"/>
    <w:rsid w:val="008A6DF2"/>
    <w:rsid w:val="008A7D4C"/>
    <w:rsid w:val="008B2DD7"/>
    <w:rsid w:val="008E47E3"/>
    <w:rsid w:val="008F2AFE"/>
    <w:rsid w:val="008F5B9B"/>
    <w:rsid w:val="009059A7"/>
    <w:rsid w:val="00921E02"/>
    <w:rsid w:val="00931EF2"/>
    <w:rsid w:val="00950C4E"/>
    <w:rsid w:val="00977EA5"/>
    <w:rsid w:val="009842C9"/>
    <w:rsid w:val="009A7BCD"/>
    <w:rsid w:val="009B05D2"/>
    <w:rsid w:val="009D2946"/>
    <w:rsid w:val="009D6331"/>
    <w:rsid w:val="00A075E2"/>
    <w:rsid w:val="00A23F54"/>
    <w:rsid w:val="00A46FF4"/>
    <w:rsid w:val="00A93B50"/>
    <w:rsid w:val="00A948A1"/>
    <w:rsid w:val="00AA5EC2"/>
    <w:rsid w:val="00AA7792"/>
    <w:rsid w:val="00B14A7F"/>
    <w:rsid w:val="00B3385F"/>
    <w:rsid w:val="00B528FD"/>
    <w:rsid w:val="00B608C3"/>
    <w:rsid w:val="00B66B58"/>
    <w:rsid w:val="00B73967"/>
    <w:rsid w:val="00B75683"/>
    <w:rsid w:val="00BA0355"/>
    <w:rsid w:val="00BB1AD7"/>
    <w:rsid w:val="00BC407D"/>
    <w:rsid w:val="00BC5807"/>
    <w:rsid w:val="00BC7F5D"/>
    <w:rsid w:val="00BE2628"/>
    <w:rsid w:val="00BF49C1"/>
    <w:rsid w:val="00C22E4B"/>
    <w:rsid w:val="00C41EDE"/>
    <w:rsid w:val="00C44C94"/>
    <w:rsid w:val="00C92DE3"/>
    <w:rsid w:val="00CC45B7"/>
    <w:rsid w:val="00CD38C3"/>
    <w:rsid w:val="00CD7A5B"/>
    <w:rsid w:val="00CF0ADE"/>
    <w:rsid w:val="00CF59BA"/>
    <w:rsid w:val="00D01D4B"/>
    <w:rsid w:val="00D037CC"/>
    <w:rsid w:val="00D23CC8"/>
    <w:rsid w:val="00D5037E"/>
    <w:rsid w:val="00D52139"/>
    <w:rsid w:val="00DC27BD"/>
    <w:rsid w:val="00DD09CC"/>
    <w:rsid w:val="00DD122E"/>
    <w:rsid w:val="00DE6929"/>
    <w:rsid w:val="00DF49CC"/>
    <w:rsid w:val="00E00557"/>
    <w:rsid w:val="00E126E9"/>
    <w:rsid w:val="00E34A7A"/>
    <w:rsid w:val="00E45105"/>
    <w:rsid w:val="00E53654"/>
    <w:rsid w:val="00E9612A"/>
    <w:rsid w:val="00EC3431"/>
    <w:rsid w:val="00ED333D"/>
    <w:rsid w:val="00EE6ED0"/>
    <w:rsid w:val="00F05F68"/>
    <w:rsid w:val="00F12A97"/>
    <w:rsid w:val="00F3724D"/>
    <w:rsid w:val="00F62622"/>
    <w:rsid w:val="00F638A0"/>
    <w:rsid w:val="00F63C8A"/>
    <w:rsid w:val="00F6581B"/>
    <w:rsid w:val="00F707C2"/>
    <w:rsid w:val="00F82DD5"/>
    <w:rsid w:val="00F93E13"/>
    <w:rsid w:val="00FA677A"/>
    <w:rsid w:val="00FB5C18"/>
    <w:rsid w:val="00FE7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881B"/>
  <w15:chartTrackingRefBased/>
  <w15:docId w15:val="{E30770FC-630D-40FC-ADD5-07F6345D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2E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22E4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4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22E4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22E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D6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C6"/>
  </w:style>
  <w:style w:type="paragraph" w:styleId="Footer">
    <w:name w:val="footer"/>
    <w:basedOn w:val="Normal"/>
    <w:link w:val="FooterChar"/>
    <w:uiPriority w:val="99"/>
    <w:unhideWhenUsed/>
    <w:rsid w:val="000D6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C6"/>
  </w:style>
  <w:style w:type="table" w:styleId="TableGrid">
    <w:name w:val="Table Grid"/>
    <w:basedOn w:val="TableNormal"/>
    <w:uiPriority w:val="39"/>
    <w:rsid w:val="0057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2DD5"/>
    <w:pPr>
      <w:ind w:left="720"/>
      <w:contextualSpacing/>
    </w:pPr>
  </w:style>
  <w:style w:type="character" w:styleId="Hyperlink">
    <w:name w:val="Hyperlink"/>
    <w:basedOn w:val="DefaultParagraphFont"/>
    <w:uiPriority w:val="99"/>
    <w:unhideWhenUsed/>
    <w:rsid w:val="00BB1AD7"/>
    <w:rPr>
      <w:color w:val="0563C1" w:themeColor="hyperlink"/>
      <w:u w:val="single"/>
    </w:rPr>
  </w:style>
  <w:style w:type="character" w:styleId="UnresolvedMention">
    <w:name w:val="Unresolved Mention"/>
    <w:basedOn w:val="DefaultParagraphFont"/>
    <w:uiPriority w:val="99"/>
    <w:semiHidden/>
    <w:unhideWhenUsed/>
    <w:rsid w:val="00BB1AD7"/>
    <w:rPr>
      <w:color w:val="605E5C"/>
      <w:shd w:val="clear" w:color="auto" w:fill="E1DFDD"/>
    </w:rPr>
  </w:style>
  <w:style w:type="character" w:styleId="FollowedHyperlink">
    <w:name w:val="FollowedHyperlink"/>
    <w:basedOn w:val="DefaultParagraphFont"/>
    <w:uiPriority w:val="99"/>
    <w:semiHidden/>
    <w:unhideWhenUsed/>
    <w:rsid w:val="00CF59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84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raYakubesan-hub/weathering-the-yie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1392</TotalTime>
  <Pages>5</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Sridhar</dc:creator>
  <cp:keywords/>
  <dc:description/>
  <cp:lastModifiedBy>Sara Yakubesan</cp:lastModifiedBy>
  <cp:revision>24</cp:revision>
  <dcterms:created xsi:type="dcterms:W3CDTF">2026-10-08T02:06:00Z</dcterms:created>
  <dcterms:modified xsi:type="dcterms:W3CDTF">2026-10-09T01:22:00Z</dcterms:modified>
</cp:coreProperties>
</file>