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103D88">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103D88">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103D88">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103D88">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103D88">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103D88">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103D88">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103D88">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635EFB67" w:rsidR="00D33377" w:rsidRDefault="00D33377" w:rsidP="00D33377">
      <w:pPr>
        <w:pStyle w:val="Body"/>
        <w:numPr>
          <w:ilvl w:val="0"/>
          <w:numId w:val="8"/>
        </w:numPr>
      </w:pPr>
      <w:r w:rsidRPr="00D33377">
        <w:t>History of commands:</w:t>
      </w:r>
      <w:r>
        <w:br/>
      </w:r>
      <w:r w:rsidRPr="00D33377">
        <w:rPr>
          <w:rStyle w:val="CodeChar"/>
        </w:rPr>
        <w:t>$ history</w:t>
      </w:r>
    </w:p>
    <w:p w14:paraId="7A2C4598" w14:textId="77777777" w:rsidR="00A24DAE" w:rsidRPr="00A24DAE" w:rsidRDefault="002F67E3" w:rsidP="00A24DAE">
      <w:pPr>
        <w:pStyle w:val="Heading2"/>
      </w:pPr>
      <w:r>
        <w:t>Linux regular expressions:</w:t>
      </w:r>
    </w:p>
    <w:p w14:paraId="35ABDF2C" w14:textId="4673F1E6" w:rsidR="002F67E3" w:rsidRPr="00DA0D70" w:rsidRDefault="00103D88"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195AB669" w:rsidR="00074871" w:rsidRDefault="00340CD4" w:rsidP="00BC5CC1">
      <w:pPr>
        <w:pStyle w:val="Body"/>
        <w:rPr>
          <w:lang w:val="en-AU"/>
        </w:rPr>
      </w:pPr>
      <w:r>
        <w:rPr>
          <w:lang w:val="en-AU"/>
        </w:rPr>
        <w:t>R</w:t>
      </w:r>
      <w:r w:rsidR="00074871">
        <w:rPr>
          <w:lang w:val="en-AU"/>
        </w:rPr>
        <w:t>eturn all the files in the tree that satisfy the parameters:</w:t>
      </w:r>
    </w:p>
    <w:p w14:paraId="6A22FC43" w14:textId="6AB66324" w:rsidR="00074871" w:rsidRDefault="00074871" w:rsidP="00D52022">
      <w:pPr>
        <w:pStyle w:val="Code"/>
      </w:pPr>
      <w:r>
        <w:rPr>
          <w:b/>
          <w:bCs/>
        </w:rPr>
        <w:t xml:space="preserve">$ find </w:t>
      </w:r>
      <w:r w:rsidR="00A65754" w:rsidRPr="00A65754">
        <w:t>&lt;</w:t>
      </w:r>
      <w:proofErr w:type="spellStart"/>
      <w:r w:rsidR="00A65754" w:rsidRPr="00A65754">
        <w:t>lacation</w:t>
      </w:r>
      <w:proofErr w:type="spellEnd"/>
      <w:r w:rsidR="0045272F">
        <w:t>(s)</w:t>
      </w:r>
      <w:r w:rsidR="00A65754" w:rsidRPr="00A65754">
        <w:t>&gt; &lt;comparison-criteria&gt; &lt;search-term&gt;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04AC1EF3" w:rsidR="00BC5CC1" w:rsidRPr="00BC5CC1" w:rsidRDefault="000B2130" w:rsidP="00BC5CC1">
      <w:pPr>
        <w:pStyle w:val="Body"/>
        <w:rPr>
          <w:lang w:val="en-AU"/>
        </w:rPr>
      </w:pPr>
      <w:r>
        <w:rPr>
          <w:lang w:val="en-AU"/>
        </w:rPr>
        <w:t>0</w:t>
      </w:r>
      <w:r w:rsidR="00BC5CC1">
        <w:rPr>
          <w:lang w:val="en-AU"/>
        </w:rPr>
        <w:t xml:space="preserve">Search </w:t>
      </w:r>
      <w:proofErr w:type="spellStart"/>
      <w:r w:rsidR="00BC5CC1">
        <w:rPr>
          <w:lang w:val="en-AU"/>
        </w:rPr>
        <w:t>Creteria</w:t>
      </w:r>
      <w:proofErr w:type="spellEnd"/>
      <w:r w:rsidR="00BC5CC1">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lastRenderedPageBreak/>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1BE350AB" w14:textId="7FA5BC56" w:rsidR="00465A4D"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t>examples:</w:t>
      </w:r>
      <w:r>
        <w:br/>
      </w:r>
      <w:r>
        <w:tab/>
        <w:t>// remove all .txt files in /</w:t>
      </w:r>
      <w:proofErr w:type="spellStart"/>
      <w:r>
        <w:t>tmp</w:t>
      </w:r>
      <w:proofErr w:type="spellEnd"/>
      <w:r>
        <w:t xml:space="preserve"> (and sub-directories):</w:t>
      </w:r>
      <w:r>
        <w:tab/>
      </w:r>
      <w:r w:rsidRPr="00465A4D">
        <w:t>find /</w:t>
      </w:r>
      <w:proofErr w:type="spellStart"/>
      <w:r w:rsidRPr="00465A4D">
        <w:t>tmp</w:t>
      </w:r>
      <w:proofErr w:type="spellEnd"/>
      <w:r w:rsidRPr="00465A4D">
        <w:t xml:space="preserve"> -type f -name "*.txt" -exec </w:t>
      </w:r>
      <w:proofErr w:type="spellStart"/>
      <w:r w:rsidRPr="00465A4D">
        <w:t>rm</w:t>
      </w:r>
      <w:proofErr w:type="spellEnd"/>
      <w:r w:rsidRPr="00465A4D">
        <w:t xml:space="preserve"> -f {} \;</w:t>
      </w:r>
    </w:p>
    <w:p w14:paraId="6A47F3E1" w14:textId="20D0B3E5" w:rsidR="00465A4D" w:rsidRPr="00465A4D" w:rsidRDefault="00465A4D" w:rsidP="00D52022">
      <w:pPr>
        <w:pStyle w:val="Code"/>
      </w:pPr>
      <w:r>
        <w:t>// run ls on all files in the current directory and then</w:t>
      </w:r>
      <w:r>
        <w:br/>
        <w:t xml:space="preserve">   pipe the result to sort them in reverse order (from large</w:t>
      </w:r>
      <w:r>
        <w:br/>
        <w:t xml:space="preserve">   to small) and display the first 5 (largest files)</w:t>
      </w:r>
      <w:r>
        <w:br/>
      </w:r>
      <w:proofErr w:type="spellStart"/>
      <w:r w:rsidR="0037642F">
        <w:t>mtime</w:t>
      </w:r>
      <w:proofErr w:type="spellEnd"/>
      <w:r w:rsidRPr="00465A4D">
        <w:t xml:space="preserve">$ </w:t>
      </w:r>
      <w:proofErr w:type="gramStart"/>
      <w:r w:rsidRPr="00465A4D">
        <w:t>find .</w:t>
      </w:r>
      <w:proofErr w:type="gramEnd"/>
      <w:r w:rsidRPr="00465A4D">
        <w:t xml:space="preserve"> -type f -exec ls -s {} \; | sort -n -r | head -5</w:t>
      </w:r>
    </w:p>
    <w:p w14:paraId="14373D4F" w14:textId="76F48C08" w:rsidR="00465A4D" w:rsidRPr="00465A4D" w:rsidRDefault="00465A4D" w:rsidP="00D52022">
      <w:pPr>
        <w:pStyle w:val="Code"/>
      </w:pPr>
    </w:p>
    <w:p w14:paraId="24323454" w14:textId="013FDED0" w:rsidR="00465A4D" w:rsidRDefault="00465A4D" w:rsidP="00D52022">
      <w:pPr>
        <w:pStyle w:val="Code"/>
      </w:pPr>
    </w:p>
    <w:p w14:paraId="11D0DF52" w14:textId="1513FC5F" w:rsidR="00725D87" w:rsidRDefault="00725D87" w:rsidP="00D52022">
      <w:pPr>
        <w:pStyle w:val="Code"/>
      </w:pPr>
      <w:r>
        <w:tab/>
      </w:r>
    </w:p>
    <w:p w14:paraId="5DA542C9" w14:textId="77777777" w:rsidR="00725D87" w:rsidRDefault="00725D87" w:rsidP="00D52022">
      <w:pPr>
        <w:pStyle w:val="Code"/>
      </w:pPr>
    </w:p>
    <w:p w14:paraId="52444FFC" w14:textId="77777777" w:rsidR="0045272F" w:rsidRDefault="0045272F" w:rsidP="00D52022">
      <w:pPr>
        <w:pStyle w:val="Code"/>
      </w:pPr>
    </w:p>
    <w:p w14:paraId="64E4D89D" w14:textId="77777777" w:rsidR="0045272F" w:rsidRDefault="0045272F" w:rsidP="00D52022">
      <w:pPr>
        <w:pStyle w:val="Code"/>
      </w:pPr>
    </w:p>
    <w:p w14:paraId="0784C4B7" w14:textId="77777777" w:rsidR="004C2596" w:rsidRDefault="004C2596" w:rsidP="00D52022">
      <w:pPr>
        <w:pStyle w:val="Code"/>
      </w:pPr>
    </w:p>
    <w:p w14:paraId="1E6F4028" w14:textId="77777777" w:rsidR="00A65754" w:rsidRDefault="00A65754" w:rsidP="00D52022">
      <w:pPr>
        <w:pStyle w:val="Code"/>
      </w:pPr>
    </w:p>
    <w:p w14:paraId="6A7C0FCF" w14:textId="77777777" w:rsidR="00BC5CC1" w:rsidRDefault="00B35A6D" w:rsidP="00BC5CC1">
      <w:pPr>
        <w:pStyle w:val="Heading2"/>
      </w:pPr>
      <w:bookmarkStart w:id="7" w:name="_Toc471277026"/>
      <w:r>
        <w:t>Grep</w:t>
      </w:r>
      <w:bookmarkEnd w:id="7"/>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0"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lastRenderedPageBreak/>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bookmarkStart w:id="8" w:name="_GoBack"/>
      <w:bookmarkEnd w:id="8"/>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39EB9ECE" w:rsidR="00AA4434" w:rsidRDefault="00AA4434" w:rsidP="00572E2F">
      <w:pPr>
        <w:pStyle w:val="Heading1"/>
        <w:rPr>
          <w:lang w:val="en-AU"/>
        </w:rPr>
      </w:pPr>
      <w:bookmarkStart w:id="9" w:name="_Toc471277027"/>
      <w:r>
        <w:rPr>
          <w:lang w:val="en-AU"/>
        </w:rPr>
        <w:lastRenderedPageBreak/>
        <w:t>Archives</w:t>
      </w:r>
      <w:bookmarkEnd w:id="9"/>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78606AD0" w:rsidR="00572E2F" w:rsidRDefault="00572E2F" w:rsidP="00572E2F">
      <w:pPr>
        <w:pStyle w:val="Heading1"/>
        <w:rPr>
          <w:lang w:val="en-AU"/>
        </w:rPr>
      </w:pPr>
      <w:bookmarkStart w:id="10" w:name="_Toc471277028"/>
      <w:r>
        <w:rPr>
          <w:lang w:val="en-AU"/>
        </w:rPr>
        <w:lastRenderedPageBreak/>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0F7CD4AA"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CE254FD" w:rsidR="00B0581F" w:rsidRDefault="00B0581F" w:rsidP="00D224C7">
      <w:pPr>
        <w:pStyle w:val="Heading1"/>
        <w:rPr>
          <w:lang w:val="en-AU"/>
        </w:rPr>
      </w:pPr>
      <w:r>
        <w:rPr>
          <w:lang w:val="en-AU"/>
        </w:rPr>
        <w:lastRenderedPageBreak/>
        <w:t>SSH</w:t>
      </w:r>
      <w:bookmarkEnd w:id="12"/>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103D88" w:rsidP="00207DF5">
      <w:pPr>
        <w:pStyle w:val="Body"/>
        <w:rPr>
          <w:lang w:val="en-AU"/>
        </w:rPr>
      </w:pPr>
      <w:hyperlink r:id="rId11"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103D88" w:rsidP="004B09AF">
      <w:pPr>
        <w:pStyle w:val="Body"/>
        <w:rPr>
          <w:lang w:val="en-AU"/>
        </w:rPr>
      </w:pPr>
      <w:hyperlink r:id="rId12"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w:t>
            </w:r>
            <w:proofErr w:type="gramStart"/>
            <w:r w:rsidR="00063EF8" w:rsidRPr="00C32B27">
              <w:rPr>
                <w:rFonts w:asciiTheme="minorHAnsi" w:hAnsiTheme="minorHAnsi"/>
                <w:sz w:val="20"/>
                <w:lang w:val="en-AU"/>
              </w:rPr>
              <w:t>&gt;</w:t>
            </w:r>
            <w:r>
              <w:rPr>
                <w:rFonts w:asciiTheme="minorHAnsi" w:hAnsiTheme="minorHAnsi"/>
                <w:sz w:val="20"/>
                <w:lang w:val="en-AU"/>
              </w:rPr>
              <w:t xml:space="preserve"> </w:t>
            </w:r>
            <w:r w:rsidR="00E71955" w:rsidRPr="00C32B27">
              <w:rPr>
                <w:rFonts w:asciiTheme="minorHAnsi" w:hAnsiTheme="minorHAnsi"/>
                <w:sz w:val="20"/>
                <w:lang w:val="en-AU"/>
              </w:rPr>
              <w:t>]</w:t>
            </w:r>
            <w:proofErr w:type="gramEnd"/>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lastRenderedPageBreak/>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lastRenderedPageBreak/>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1842A49" w14:textId="7647223E" w:rsidR="009D2B15" w:rsidRDefault="009D2B15" w:rsidP="009D2B15">
      <w:pPr>
        <w:pStyle w:val="Heading1"/>
        <w:rPr>
          <w:lang w:val="en-AU"/>
        </w:rPr>
      </w:pPr>
      <w:bookmarkStart w:id="20" w:name="_Toc471277038"/>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3" w:tooltip="Job scheduler" w:history="1">
        <w:r>
          <w:rPr>
            <w:rStyle w:val="Hyperlink"/>
          </w:rPr>
          <w:t>job scheduler</w:t>
        </w:r>
      </w:hyperlink>
      <w:r>
        <w:t xml:space="preserve"> in </w:t>
      </w:r>
      <w:hyperlink r:id="rId14" w:tooltip="Unix-like" w:history="1">
        <w:r>
          <w:rPr>
            <w:rStyle w:val="Hyperlink"/>
          </w:rPr>
          <w:t>Unix-like</w:t>
        </w:r>
      </w:hyperlink>
      <w:r>
        <w:t xml:space="preserve"> computer </w:t>
      </w:r>
      <w:hyperlink r:id="rId15"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6"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7" w:tooltip="Internet" w:history="1">
        <w:r>
          <w:rPr>
            <w:rStyle w:val="Hyperlink"/>
          </w:rPr>
          <w:t>Internet</w:t>
        </w:r>
      </w:hyperlink>
      <w:r>
        <w:t xml:space="preserve"> and downloading </w:t>
      </w:r>
      <w:hyperlink r:id="rId18"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19"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103D88" w:rsidP="003F5F10">
      <w:pPr>
        <w:pStyle w:val="Body"/>
        <w:rPr>
          <w:lang w:val="en-AU"/>
        </w:rPr>
      </w:pPr>
      <w:hyperlink r:id="rId20" w:history="1">
        <w:r w:rsidR="003F5F10" w:rsidRPr="00987DDF">
          <w:rPr>
            <w:rStyle w:val="Hyperlink"/>
            <w:lang w:val="en-AU"/>
          </w:rPr>
          <w:t>https://github.com/michaeltreat/Windows-Subsystem-For-Linux-Setup-Guide</w:t>
        </w:r>
      </w:hyperlink>
    </w:p>
    <w:p w14:paraId="48555F95" w14:textId="13E1E780" w:rsidR="0043030C" w:rsidRDefault="00103D88" w:rsidP="003F5F10">
      <w:pPr>
        <w:pStyle w:val="Body"/>
        <w:rPr>
          <w:lang w:val="en-AU"/>
        </w:rPr>
      </w:pPr>
      <w:hyperlink r:id="rId21"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103D88" w:rsidP="003F5F10">
      <w:pPr>
        <w:pStyle w:val="Body"/>
        <w:rPr>
          <w:lang w:val="en-AU"/>
        </w:rPr>
      </w:pPr>
      <w:hyperlink r:id="rId22"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103D88" w:rsidP="003F5F10">
      <w:pPr>
        <w:pStyle w:val="Body"/>
        <w:rPr>
          <w:lang w:val="en-AU"/>
        </w:rPr>
      </w:pPr>
      <w:hyperlink r:id="rId23"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24CC044A"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369BD3B8"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8A6D3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4"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5"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68D10D6"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6"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7777777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7"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D0D0B"/>
    <w:rsid w:val="000E50E9"/>
    <w:rsid w:val="000F004D"/>
    <w:rsid w:val="000F0535"/>
    <w:rsid w:val="000F120C"/>
    <w:rsid w:val="000F38B7"/>
    <w:rsid w:val="000F3D90"/>
    <w:rsid w:val="00100228"/>
    <w:rsid w:val="001018FD"/>
    <w:rsid w:val="00103D88"/>
    <w:rsid w:val="00112C87"/>
    <w:rsid w:val="00123A4B"/>
    <w:rsid w:val="00136C97"/>
    <w:rsid w:val="001500E0"/>
    <w:rsid w:val="001517D7"/>
    <w:rsid w:val="00163941"/>
    <w:rsid w:val="001706A1"/>
    <w:rsid w:val="001706B3"/>
    <w:rsid w:val="00185DE9"/>
    <w:rsid w:val="00190BB1"/>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4A02"/>
    <w:rsid w:val="007942AC"/>
    <w:rsid w:val="007A0B0F"/>
    <w:rsid w:val="007A1E20"/>
    <w:rsid w:val="007A7053"/>
    <w:rsid w:val="007B2826"/>
    <w:rsid w:val="007C4D05"/>
    <w:rsid w:val="007C75CC"/>
    <w:rsid w:val="007D1CE0"/>
    <w:rsid w:val="007D5AC1"/>
    <w:rsid w:val="007E31EB"/>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33377"/>
    <w:rsid w:val="00D4184B"/>
    <w:rsid w:val="00D52022"/>
    <w:rsid w:val="00D601F4"/>
    <w:rsid w:val="00D75934"/>
    <w:rsid w:val="00D8197F"/>
    <w:rsid w:val="00D82627"/>
    <w:rsid w:val="00D82987"/>
    <w:rsid w:val="00D91ADA"/>
    <w:rsid w:val="00DA0D70"/>
    <w:rsid w:val="00DA3A4A"/>
    <w:rsid w:val="00DC2A19"/>
    <w:rsid w:val="00DC5C22"/>
    <w:rsid w:val="00DD74CF"/>
    <w:rsid w:val="00DE188F"/>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Job_scheduler" TargetMode="External"/><Relationship Id="rId18" Type="http://schemas.openxmlformats.org/officeDocument/2006/relationships/hyperlink" Target="https://en.wikipedia.org/wiki/Email" TargetMode="External"/><Relationship Id="rId26" Type="http://schemas.openxmlformats.org/officeDocument/2006/relationships/hyperlink" Target="http://www.fsf.org/licensing/licenses/gpl.html" TargetMode="External"/><Relationship Id="rId3" Type="http://schemas.openxmlformats.org/officeDocument/2006/relationships/customXml" Target="../customXml/item3.xml"/><Relationship Id="rId21" Type="http://schemas.openxmlformats.org/officeDocument/2006/relationships/hyperlink" Target="http://wsl-guide.org/en/latest/index.html" TargetMode="External"/><Relationship Id="rId7" Type="http://schemas.openxmlformats.org/officeDocument/2006/relationships/settings" Target="settings.xml"/><Relationship Id="rId12" Type="http://schemas.openxmlformats.org/officeDocument/2006/relationships/hyperlink" Target="https://devhints.io/bash" TargetMode="External"/><Relationship Id="rId17" Type="http://schemas.openxmlformats.org/officeDocument/2006/relationships/hyperlink" Target="https://en.wikipedia.org/wiki/Internet" TargetMode="External"/><Relationship Id="rId25" Type="http://schemas.openxmlformats.org/officeDocument/2006/relationships/hyperlink" Target="http://www.barrgroup.com/Embedded-Systems/How-To/Embedded-Linux-Open-Source" TargetMode="External"/><Relationship Id="rId2" Type="http://schemas.openxmlformats.org/officeDocument/2006/relationships/customXml" Target="../customXml/item2.xml"/><Relationship Id="rId16" Type="http://schemas.openxmlformats.org/officeDocument/2006/relationships/hyperlink" Target="https://en.wikipedia.org/wiki/Shell_script" TargetMode="External"/><Relationship Id="rId20" Type="http://schemas.openxmlformats.org/officeDocument/2006/relationships/hyperlink" Target="https://github.com/michaeltreat/Windows-Subsystem-For-Linux-Setup-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wtogeek.com/176471/how-to-share-files-between-windows-and-linux/" TargetMode="External"/><Relationship Id="rId24" Type="http://schemas.openxmlformats.org/officeDocument/2006/relationships/hyperlink" Target="http://www.barrgroup.com/Embedded-Systems/Experts/Barr" TargetMode="External"/><Relationship Id="rId5" Type="http://schemas.openxmlformats.org/officeDocument/2006/relationships/numbering" Target="numbering.xml"/><Relationship Id="rId15" Type="http://schemas.openxmlformats.org/officeDocument/2006/relationships/hyperlink" Target="https://en.wikipedia.org/wiki/Operating_system" TargetMode="External"/><Relationship Id="rId23" Type="http://schemas.openxmlformats.org/officeDocument/2006/relationships/hyperlink" Target="https://docs.microsoft.com/en-us/windows/wsl" TargetMode="External"/><Relationship Id="rId28" Type="http://schemas.openxmlformats.org/officeDocument/2006/relationships/fontTable" Target="fontTable.xml"/><Relationship Id="rId10" Type="http://schemas.openxmlformats.org/officeDocument/2006/relationships/hyperlink" Target="http://ryanstutorials.net/linuxtutorial/grep.php" TargetMode="External"/><Relationship Id="rId19" Type="http://schemas.openxmlformats.org/officeDocument/2006/relationships/hyperlink" Target="https://en.wikipedia.org/wiki/At_%28Unix%29"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Unix-like" TargetMode="External"/><Relationship Id="rId22" Type="http://schemas.openxmlformats.org/officeDocument/2006/relationships/hyperlink" Target="https://www.hanselman.com/blog/TheYearOfLinuxOnTheWindowsDesktopWSLTipsAndTricks.aspx" TargetMode="External"/><Relationship Id="rId27" Type="http://schemas.openxmlformats.org/officeDocument/2006/relationships/hyperlink" Target="http://www.fsf.org/licensing/licenses/lgp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E54E1C34-AE20-4143-A979-2233ED57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47</TotalTime>
  <Pages>26</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21</cp:revision>
  <dcterms:created xsi:type="dcterms:W3CDTF">2018-08-27T18:33:00Z</dcterms:created>
  <dcterms:modified xsi:type="dcterms:W3CDTF">2020-03-01T21:43:00Z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