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37928">
      <w:pPr>
        <w:spacing w:line="360" w:lineRule="auto"/>
        <w:ind w:left="260" w:hanging="260" w:hangingChars="50"/>
        <w:rPr>
          <w:rFonts w:hint="default" w:ascii="Times New Roman" w:hAnsi="Times New Roman"/>
          <w:b/>
          <w:bCs/>
          <w:sz w:val="52"/>
          <w:szCs w:val="52"/>
          <w:u w:val="none"/>
          <w:lang w:val="en-GB"/>
        </w:rPr>
      </w:pPr>
      <w:r>
        <w:rPr>
          <w:rFonts w:hint="default" w:ascii="Times New Roman" w:hAnsi="Times New Roman"/>
          <w:b/>
          <w:bCs/>
          <w:sz w:val="52"/>
          <w:szCs w:val="52"/>
          <w:u w:val="none"/>
        </w:rPr>
        <w:t>ACCOUNTING AND FINANCE</w:t>
      </w:r>
      <w:r>
        <w:rPr>
          <w:rFonts w:hint="default" w:ascii="Times New Roman" w:hAnsi="Times New Roman"/>
          <w:b/>
          <w:bCs/>
          <w:sz w:val="52"/>
          <w:szCs w:val="52"/>
          <w:u w:val="none"/>
          <w:lang w:val="en-GB"/>
        </w:rPr>
        <w:t xml:space="preserve"> -ACF768 ( 64787 ) </w:t>
      </w:r>
    </w:p>
    <w:p w14:paraId="53777EFB">
      <w:pPr>
        <w:spacing w:line="360" w:lineRule="auto"/>
        <w:rPr>
          <w:rFonts w:hint="default" w:ascii="Times New Roman" w:hAnsi="Times New Roman"/>
          <w:b/>
          <w:bCs/>
          <w:sz w:val="52"/>
          <w:szCs w:val="52"/>
          <w:u w:val="none"/>
          <w:lang w:val="en-GB"/>
        </w:rPr>
      </w:pPr>
      <w:r>
        <w:rPr>
          <w:rFonts w:hint="default" w:ascii="Times New Roman" w:hAnsi="Times New Roman"/>
          <w:b/>
          <w:bCs/>
          <w:sz w:val="52"/>
          <w:szCs w:val="52"/>
          <w:u w:val="none"/>
        </w:rPr>
        <w:t xml:space="preserve">CORE ANALYSIS </w:t>
      </w:r>
      <w:r>
        <w:rPr>
          <w:rFonts w:hint="default" w:ascii="Times New Roman" w:hAnsi="Times New Roman"/>
          <w:b/>
          <w:bCs/>
          <w:sz w:val="52"/>
          <w:szCs w:val="52"/>
          <w:u w:val="none"/>
          <w:lang w:val="en-GB"/>
        </w:rPr>
        <w:t>COCA-COLA LIMITED</w:t>
      </w:r>
    </w:p>
    <w:p w14:paraId="74E328DB">
      <w:pPr>
        <w:spacing w:line="360" w:lineRule="auto"/>
        <w:rPr>
          <w:rFonts w:hint="default" w:ascii="Times New Roman" w:hAnsi="Times New Roman"/>
          <w:b/>
          <w:bCs/>
          <w:sz w:val="52"/>
          <w:szCs w:val="52"/>
          <w:u w:val="none"/>
          <w:lang w:val="en-GB"/>
        </w:rPr>
      </w:pPr>
      <w:r>
        <w:rPr>
          <w:rFonts w:hint="default" w:ascii="Times New Roman" w:hAnsi="Times New Roman"/>
          <w:b/>
          <w:bCs/>
          <w:sz w:val="52"/>
          <w:szCs w:val="52"/>
          <w:u w:val="none"/>
        </w:rPr>
        <w:t xml:space="preserve">STUDENT NAME: </w:t>
      </w:r>
      <w:r>
        <w:rPr>
          <w:rFonts w:hint="default" w:ascii="Times New Roman" w:hAnsi="Times New Roman"/>
          <w:b/>
          <w:bCs/>
          <w:sz w:val="52"/>
          <w:szCs w:val="52"/>
          <w:u w:val="none"/>
          <w:lang w:val="en-GB"/>
        </w:rPr>
        <w:t>SARAH EBABHIOSE ABHULIMHEN</w:t>
      </w:r>
    </w:p>
    <w:p w14:paraId="035FE8C9">
      <w:pPr>
        <w:spacing w:line="360" w:lineRule="auto"/>
        <w:rPr>
          <w:rFonts w:hint="default" w:ascii="Times New Roman" w:hAnsi="Times New Roman"/>
          <w:b/>
          <w:bCs/>
          <w:sz w:val="52"/>
          <w:szCs w:val="52"/>
          <w:u w:val="none"/>
          <w:lang w:val="en-GB"/>
        </w:rPr>
      </w:pPr>
      <w:r>
        <w:rPr>
          <w:rFonts w:hint="default" w:ascii="Times New Roman" w:hAnsi="Times New Roman"/>
          <w:b/>
          <w:bCs/>
          <w:sz w:val="52"/>
          <w:szCs w:val="52"/>
          <w:u w:val="none"/>
        </w:rPr>
        <w:t>STUDENT ID: 200</w:t>
      </w:r>
      <w:r>
        <w:rPr>
          <w:rFonts w:hint="default" w:ascii="Times New Roman" w:hAnsi="Times New Roman"/>
          <w:b/>
          <w:bCs/>
          <w:sz w:val="52"/>
          <w:szCs w:val="52"/>
          <w:u w:val="none"/>
          <w:lang w:val="en-GB"/>
        </w:rPr>
        <w:t>48570</w:t>
      </w:r>
    </w:p>
    <w:p w14:paraId="6357EDE5">
      <w:pPr>
        <w:spacing w:line="360" w:lineRule="auto"/>
        <w:rPr>
          <w:rFonts w:hint="default" w:ascii="Times New Roman" w:hAnsi="Times New Roman" w:cs="Times New Roman"/>
          <w:b/>
          <w:bCs/>
          <w:sz w:val="52"/>
          <w:szCs w:val="52"/>
          <w:u w:val="none"/>
          <w:lang w:val="en-GB"/>
        </w:rPr>
      </w:pPr>
      <w:r>
        <w:rPr>
          <w:rFonts w:hint="default" w:ascii="Times New Roman" w:hAnsi="Times New Roman"/>
          <w:b/>
          <w:bCs/>
          <w:sz w:val="52"/>
          <w:szCs w:val="52"/>
          <w:u w:val="none"/>
        </w:rPr>
        <w:t xml:space="preserve">WORD COUNT (EXCLUDING </w:t>
      </w:r>
      <w:bookmarkStart w:id="0" w:name="_GoBack"/>
      <w:bookmarkEnd w:id="0"/>
      <w:r>
        <w:rPr>
          <w:rFonts w:hint="default" w:ascii="Times New Roman" w:hAnsi="Times New Roman"/>
          <w:b/>
          <w:bCs/>
          <w:sz w:val="52"/>
          <w:szCs w:val="52"/>
          <w:u w:val="none"/>
        </w:rPr>
        <w:t xml:space="preserve">APPENDICES)- </w:t>
      </w:r>
      <w:r>
        <w:rPr>
          <w:rFonts w:hint="default" w:ascii="Times New Roman" w:hAnsi="Times New Roman"/>
          <w:b/>
          <w:bCs/>
          <w:sz w:val="52"/>
          <w:szCs w:val="52"/>
          <w:u w:val="none"/>
          <w:lang w:val="en-GB"/>
        </w:rPr>
        <w:t>2227</w:t>
      </w:r>
    </w:p>
    <w:p w14:paraId="58967805">
      <w:pPr>
        <w:spacing w:line="360" w:lineRule="auto"/>
        <w:rPr>
          <w:rFonts w:hint="default" w:ascii="Times New Roman" w:hAnsi="Times New Roman" w:cs="Times New Roman"/>
          <w:b/>
          <w:bCs/>
          <w:sz w:val="24"/>
          <w:szCs w:val="24"/>
          <w:u w:val="single"/>
        </w:rPr>
      </w:pPr>
    </w:p>
    <w:p w14:paraId="774B3611">
      <w:pPr>
        <w:spacing w:line="360" w:lineRule="auto"/>
        <w:rPr>
          <w:rFonts w:hint="default" w:ascii="Times New Roman" w:hAnsi="Times New Roman" w:cs="Times New Roman"/>
          <w:b/>
          <w:bCs/>
          <w:sz w:val="24"/>
          <w:szCs w:val="24"/>
          <w:u w:val="single"/>
        </w:rPr>
      </w:pPr>
    </w:p>
    <w:p w14:paraId="7E98D11C">
      <w:pPr>
        <w:spacing w:line="360" w:lineRule="auto"/>
        <w:rPr>
          <w:rFonts w:hint="default" w:ascii="Times New Roman" w:hAnsi="Times New Roman" w:cs="Times New Roman"/>
          <w:b/>
          <w:bCs/>
          <w:sz w:val="24"/>
          <w:szCs w:val="24"/>
          <w:u w:val="single"/>
        </w:rPr>
      </w:pPr>
    </w:p>
    <w:p w14:paraId="2C03031D">
      <w:pPr>
        <w:spacing w:line="360" w:lineRule="auto"/>
        <w:rPr>
          <w:rFonts w:hint="default" w:ascii="Times New Roman" w:hAnsi="Times New Roman" w:cs="Times New Roman"/>
          <w:b/>
          <w:bCs/>
          <w:sz w:val="24"/>
          <w:szCs w:val="24"/>
          <w:u w:val="single"/>
        </w:rPr>
      </w:pPr>
    </w:p>
    <w:p w14:paraId="27789103">
      <w:pPr>
        <w:spacing w:line="360" w:lineRule="auto"/>
        <w:rPr>
          <w:rFonts w:hint="default" w:ascii="Times New Roman" w:hAnsi="Times New Roman" w:cs="Times New Roman"/>
          <w:b/>
          <w:bCs/>
          <w:sz w:val="24"/>
          <w:szCs w:val="24"/>
          <w:u w:val="single"/>
        </w:rPr>
      </w:pPr>
    </w:p>
    <w:p w14:paraId="1F354CD5">
      <w:pPr>
        <w:spacing w:line="360" w:lineRule="auto"/>
        <w:rPr>
          <w:rFonts w:hint="default" w:ascii="Times New Roman" w:hAnsi="Times New Roman" w:cs="Times New Roman"/>
          <w:b/>
          <w:bCs/>
          <w:sz w:val="24"/>
          <w:szCs w:val="24"/>
          <w:u w:val="single"/>
        </w:rPr>
      </w:pPr>
    </w:p>
    <w:p w14:paraId="54B77B48">
      <w:pPr>
        <w:spacing w:line="360" w:lineRule="auto"/>
        <w:rPr>
          <w:rFonts w:hint="default" w:ascii="Times New Roman" w:hAnsi="Times New Roman" w:cs="Times New Roman"/>
          <w:b/>
          <w:bCs/>
          <w:sz w:val="24"/>
          <w:szCs w:val="24"/>
          <w:u w:val="single"/>
        </w:rPr>
      </w:pPr>
    </w:p>
    <w:p w14:paraId="0CD6EDE3">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EXECUTIVE SUMMARY</w:t>
      </w:r>
    </w:p>
    <w:p w14:paraId="6651CBE8">
      <w:pPr>
        <w:spacing w:line="360" w:lineRule="auto"/>
        <w:rPr>
          <w:rFonts w:hint="default" w:ascii="Times New Roman" w:hAnsi="Times New Roman"/>
          <w:b w:val="0"/>
          <w:bCs w:val="0"/>
          <w:sz w:val="24"/>
          <w:szCs w:val="24"/>
          <w:u w:val="none"/>
        </w:rPr>
      </w:pPr>
      <w:r>
        <w:rPr>
          <w:rFonts w:hint="default" w:ascii="Times New Roman" w:hAnsi="Times New Roman"/>
          <w:b w:val="0"/>
          <w:bCs w:val="0"/>
          <w:sz w:val="24"/>
          <w:szCs w:val="24"/>
          <w:u w:val="none"/>
        </w:rPr>
        <w:t>This report presents a trend analysis of the Coca-Cola Company's income statement and balance sheet for the years 2020 through 2023. The purpose is to evaluate the company’s financial performance using historical data and contextual explanations informed by internal company disclosures and external market conditions.</w:t>
      </w:r>
    </w:p>
    <w:p w14:paraId="558A7C44">
      <w:pPr>
        <w:spacing w:line="360" w:lineRule="auto"/>
        <w:rPr>
          <w:rFonts w:hint="default" w:ascii="Times New Roman" w:hAnsi="Times New Roman"/>
          <w:b w:val="0"/>
          <w:bCs w:val="0"/>
          <w:sz w:val="24"/>
          <w:szCs w:val="24"/>
          <w:u w:val="none"/>
        </w:rPr>
      </w:pPr>
      <w:r>
        <w:rPr>
          <w:rFonts w:hint="default" w:ascii="Times New Roman" w:hAnsi="Times New Roman"/>
          <w:b w:val="0"/>
          <w:bCs w:val="0"/>
          <w:sz w:val="24"/>
          <w:szCs w:val="24"/>
          <w:u w:val="none"/>
        </w:rPr>
        <w:t>This report evaluates the Coca-Cola Company (2020–2023) to assess its suitability as an investment. The objective was to analyse Coca-Cola’s strategic and financial performance using a trend analysis of the income statement and balance sheet. We used the CORE framework (Context, Overview, Ratios, Evaluation) to interpret internal and external factors, alongside financial ratio analysis for profitability, efficiency, liquidity and solvency.</w:t>
      </w:r>
    </w:p>
    <w:p w14:paraId="7EC64A7D">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INTRODUCTION</w:t>
      </w:r>
    </w:p>
    <w:p w14:paraId="20C6EE39">
      <w:pPr>
        <w:spacing w:line="360" w:lineRule="auto"/>
        <w:rPr>
          <w:rFonts w:hint="default" w:ascii="Times New Roman" w:hAnsi="Times New Roman"/>
          <w:b w:val="0"/>
          <w:bCs w:val="0"/>
          <w:i w:val="0"/>
          <w:iCs w:val="0"/>
          <w:sz w:val="24"/>
          <w:szCs w:val="24"/>
          <w:u w:val="none"/>
          <w:lang w:val="en-GB"/>
        </w:rPr>
      </w:pPr>
      <w:r>
        <w:rPr>
          <w:rFonts w:hint="default" w:ascii="Times New Roman" w:hAnsi="Times New Roman" w:cs="Times New Roman"/>
          <w:b w:val="0"/>
          <w:bCs w:val="0"/>
          <w:i w:val="0"/>
          <w:iCs w:val="0"/>
          <w:sz w:val="24"/>
          <w:szCs w:val="24"/>
          <w:u w:val="none"/>
          <w:lang w:val="en-GB"/>
        </w:rPr>
        <w:t xml:space="preserve">Coca-Cola is a globally recognized billion dollar company, it is seen as the leader of non-alcoholic beverage industry. It was founded </w:t>
      </w:r>
      <w:r>
        <w:rPr>
          <w:rFonts w:hint="default" w:ascii="Times New Roman" w:hAnsi="Times New Roman"/>
          <w:b w:val="0"/>
          <w:bCs w:val="0"/>
          <w:i w:val="0"/>
          <w:iCs w:val="0"/>
          <w:sz w:val="24"/>
          <w:szCs w:val="24"/>
          <w:u w:val="none"/>
          <w:lang w:val="en-GB"/>
        </w:rPr>
        <w:t xml:space="preserve">on May 8th, </w:t>
      </w:r>
      <w:r>
        <w:rPr>
          <w:rFonts w:hint="default" w:ascii="Times New Roman" w:hAnsi="Times New Roman" w:cs="Times New Roman"/>
          <w:b w:val="0"/>
          <w:bCs w:val="0"/>
          <w:i w:val="0"/>
          <w:iCs w:val="0"/>
          <w:sz w:val="24"/>
          <w:szCs w:val="24"/>
          <w:u w:val="none"/>
          <w:lang w:val="en-GB"/>
        </w:rPr>
        <w:t xml:space="preserve">1886 </w:t>
      </w:r>
      <w:r>
        <w:rPr>
          <w:rFonts w:hint="default" w:ascii="Times New Roman" w:hAnsi="Times New Roman"/>
          <w:b w:val="0"/>
          <w:bCs w:val="0"/>
          <w:i w:val="0"/>
          <w:iCs w:val="0"/>
          <w:sz w:val="24"/>
          <w:szCs w:val="24"/>
          <w:u w:val="none"/>
          <w:lang w:val="en-GB"/>
        </w:rPr>
        <w:t xml:space="preserve">by  Dr. John Stith Pemberton and  headquartered </w:t>
      </w:r>
      <w:r>
        <w:rPr>
          <w:rFonts w:hint="default" w:ascii="Times New Roman" w:hAnsi="Times New Roman" w:cs="Times New Roman"/>
          <w:b w:val="0"/>
          <w:bCs w:val="0"/>
          <w:i w:val="0"/>
          <w:iCs w:val="0"/>
          <w:sz w:val="24"/>
          <w:szCs w:val="24"/>
          <w:u w:val="none"/>
          <w:lang w:val="en-GB"/>
        </w:rPr>
        <w:t xml:space="preserve">in </w:t>
      </w:r>
      <w:r>
        <w:rPr>
          <w:rFonts w:hint="default" w:ascii="Times New Roman" w:hAnsi="Times New Roman"/>
          <w:b w:val="0"/>
          <w:bCs w:val="0"/>
          <w:i w:val="0"/>
          <w:iCs w:val="0"/>
          <w:sz w:val="24"/>
          <w:szCs w:val="24"/>
          <w:u w:val="none"/>
          <w:lang w:val="en-GB"/>
        </w:rPr>
        <w:t xml:space="preserve">Atlanta, Georgia. The company has grown to become one of the most valuable and iconic brands in the world, with operations in over 200 countries and a diverse portfolio of more than 500 brands. </w:t>
      </w:r>
    </w:p>
    <w:p w14:paraId="0B693E41">
      <w:pPr>
        <w:spacing w:line="360" w:lineRule="auto"/>
        <w:rPr>
          <w:rFonts w:hint="default" w:ascii="Times New Roman" w:hAnsi="Times New Roman"/>
          <w:b w:val="0"/>
          <w:bCs w:val="0"/>
          <w:i w:val="0"/>
          <w:iCs w:val="0"/>
          <w:sz w:val="24"/>
          <w:szCs w:val="24"/>
          <w:u w:val="none"/>
          <w:lang w:val="en-GB"/>
        </w:rPr>
      </w:pPr>
      <w:r>
        <w:rPr>
          <w:rFonts w:hint="default" w:ascii="Times New Roman" w:hAnsi="Times New Roman"/>
          <w:b w:val="0"/>
          <w:bCs w:val="0"/>
          <w:i w:val="0"/>
          <w:iCs w:val="0"/>
          <w:sz w:val="24"/>
          <w:szCs w:val="24"/>
          <w:u w:val="none"/>
          <w:lang w:val="en-GB"/>
        </w:rPr>
        <w:t xml:space="preserve">This report analyses the  financial performance of Coca-Cola to see if it will be a suitable investment choice for software solutions. The evaluation is grounded in a comprehensive analysis of strategic and financial performance, it covers the years 2021 to 2024. This report will be conducted by using Context, Overview, Ratios and  Evaluation (CORE) framework(Moon and Bates, 1993) to analysis the internal and external environment of Coca-Cola using data found in the companies annual report. </w:t>
      </w:r>
    </w:p>
    <w:p w14:paraId="451A20AF">
      <w:pPr>
        <w:spacing w:line="360" w:lineRule="auto"/>
        <w:rPr>
          <w:rFonts w:hint="default" w:ascii="Times New Roman" w:hAnsi="Times New Roman"/>
          <w:b w:val="0"/>
          <w:bCs w:val="0"/>
          <w:i w:val="0"/>
          <w:iCs w:val="0"/>
          <w:sz w:val="24"/>
          <w:szCs w:val="24"/>
          <w:u w:val="none"/>
          <w:lang w:val="en-GB"/>
        </w:rPr>
      </w:pPr>
    </w:p>
    <w:p w14:paraId="34004709">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CONTEXT(EXTERNAL)</w:t>
      </w:r>
    </w:p>
    <w:p w14:paraId="609DB6A3">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POTER’S 5 FORCES</w:t>
      </w:r>
    </w:p>
    <w:p w14:paraId="71806DAD">
      <w:pPr>
        <w:spacing w:line="360" w:lineRule="auto"/>
        <w:rPr>
          <w:rFonts w:hint="default" w:ascii="Times New Roman" w:hAnsi="Times New Roman"/>
          <w:sz w:val="24"/>
          <w:szCs w:val="24"/>
        </w:rPr>
      </w:pPr>
      <w:r>
        <w:rPr>
          <w:rFonts w:hint="default" w:ascii="Times New Roman" w:hAnsi="Times New Roman"/>
          <w:sz w:val="24"/>
          <w:szCs w:val="24"/>
        </w:rPr>
        <w:t xml:space="preserve">Porter’s Five Forces </w:t>
      </w:r>
      <w:r>
        <w:rPr>
          <w:rFonts w:hint="default" w:ascii="Times New Roman" w:hAnsi="Times New Roman"/>
          <w:sz w:val="24"/>
          <w:szCs w:val="24"/>
          <w:lang w:val="en-GB"/>
        </w:rPr>
        <w:t>will be used to</w:t>
      </w:r>
      <w:r>
        <w:rPr>
          <w:rFonts w:hint="default" w:ascii="Times New Roman" w:hAnsi="Times New Roman"/>
          <w:sz w:val="24"/>
          <w:szCs w:val="24"/>
        </w:rPr>
        <w:t xml:space="preserve"> </w:t>
      </w:r>
      <w:r>
        <w:rPr>
          <w:rFonts w:hint="default" w:ascii="Times New Roman" w:hAnsi="Times New Roman"/>
          <w:sz w:val="24"/>
          <w:szCs w:val="24"/>
          <w:lang w:val="en-GB"/>
        </w:rPr>
        <w:t xml:space="preserve">analyse and </w:t>
      </w:r>
      <w:r>
        <w:rPr>
          <w:rFonts w:hint="default" w:ascii="Times New Roman" w:hAnsi="Times New Roman"/>
          <w:sz w:val="24"/>
          <w:szCs w:val="24"/>
        </w:rPr>
        <w:t xml:space="preserve"> examine the external context of the company.</w:t>
      </w:r>
      <w:r>
        <w:rPr>
          <w:rFonts w:hint="default" w:ascii="Times New Roman" w:hAnsi="Times New Roman"/>
          <w:sz w:val="24"/>
          <w:szCs w:val="24"/>
          <w:lang w:val="en-GB"/>
        </w:rPr>
        <w:t xml:space="preserve"> </w:t>
      </w:r>
      <w:r>
        <w:rPr>
          <w:rFonts w:hint="default" w:ascii="Times New Roman" w:hAnsi="Times New Roman"/>
          <w:sz w:val="24"/>
          <w:szCs w:val="24"/>
        </w:rPr>
        <w:t xml:space="preserve"> </w:t>
      </w:r>
      <w:r>
        <w:rPr>
          <w:rFonts w:hint="default" w:ascii="Times New Roman" w:hAnsi="Times New Roman"/>
          <w:sz w:val="24"/>
          <w:szCs w:val="24"/>
          <w:lang w:val="en-GB"/>
        </w:rPr>
        <w:t>(</w:t>
      </w:r>
      <w:r>
        <w:rPr>
          <w:rFonts w:hint="default" w:ascii="Times New Roman" w:hAnsi="Times New Roman"/>
          <w:sz w:val="24"/>
          <w:szCs w:val="24"/>
        </w:rPr>
        <w:t>Michael E. Porter</w:t>
      </w:r>
      <w:r>
        <w:rPr>
          <w:rFonts w:hint="default" w:ascii="Times New Roman" w:hAnsi="Times New Roman"/>
          <w:sz w:val="24"/>
          <w:szCs w:val="24"/>
          <w:lang w:val="en-GB"/>
        </w:rPr>
        <w:t>,</w:t>
      </w:r>
      <w:r>
        <w:rPr>
          <w:rFonts w:hint="default" w:ascii="Times New Roman" w:hAnsi="Times New Roman"/>
          <w:sz w:val="24"/>
          <w:szCs w:val="24"/>
        </w:rPr>
        <w:t xml:space="preserve"> 1979) . It identifies five key elements that determine the intensity of competition and, therefore, the profitability potential of a business environment.</w:t>
      </w:r>
    </w:p>
    <w:p w14:paraId="774A0C6F">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COMPETITIVE RIVARY</w:t>
      </w:r>
    </w:p>
    <w:p w14:paraId="03AF81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competitive rivalry of </w:t>
      </w:r>
      <w:r>
        <w:rPr>
          <w:rFonts w:hint="default" w:ascii="Times New Roman" w:hAnsi="Times New Roman" w:cs="Times New Roman"/>
          <w:sz w:val="24"/>
          <w:szCs w:val="24"/>
          <w:lang w:val="en-GB"/>
        </w:rPr>
        <w:t xml:space="preserve">Coca-Cola </w:t>
      </w:r>
      <w:r>
        <w:rPr>
          <w:rFonts w:hint="default" w:ascii="Times New Roman" w:hAnsi="Times New Roman" w:cs="Times New Roman"/>
          <w:sz w:val="24"/>
          <w:szCs w:val="24"/>
        </w:rPr>
        <w:t xml:space="preserve">is relatively high. In </w:t>
      </w:r>
      <w:r>
        <w:rPr>
          <w:rFonts w:hint="default" w:ascii="Times New Roman" w:hAnsi="Times New Roman" w:cs="Times New Roman"/>
          <w:sz w:val="24"/>
          <w:szCs w:val="24"/>
          <w:lang w:val="en-GB"/>
        </w:rPr>
        <w:t>2022,</w:t>
      </w:r>
      <w:r>
        <w:rPr>
          <w:rFonts w:hint="default" w:ascii="Times New Roman" w:hAnsi="Times New Roman" w:cs="Times New Roman"/>
          <w:sz w:val="24"/>
          <w:szCs w:val="24"/>
        </w:rPr>
        <w:t xml:space="preserve"> Coca</w:t>
      </w:r>
      <w:r>
        <w:rPr>
          <w:rFonts w:hint="default" w:ascii="Times New Roman" w:hAnsi="Times New Roman" w:cs="Times New Roman"/>
          <w:sz w:val="24"/>
          <w:szCs w:val="24"/>
          <w:lang w:val="en-GB"/>
        </w:rPr>
        <w:t>-Cola</w:t>
      </w:r>
      <w:r>
        <w:rPr>
          <w:rFonts w:hint="default" w:ascii="Times New Roman" w:hAnsi="Times New Roman" w:cs="Times New Roman"/>
          <w:sz w:val="24"/>
          <w:szCs w:val="24"/>
        </w:rPr>
        <w:t xml:space="preserve"> had a market share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of roughly 46%</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 xml:space="preserve">(Beverage Digest, 2023), </w:t>
      </w:r>
      <w:r>
        <w:rPr>
          <w:rFonts w:hint="default" w:ascii="Times New Roman" w:hAnsi="Times New Roman" w:cs="Times New Roman"/>
          <w:sz w:val="24"/>
          <w:szCs w:val="24"/>
        </w:rPr>
        <w:t>making it the most sort after beverage company in the world. The most notable rivalry for Coca cola is Pepsi, offering very similar products to Coca</w:t>
      </w:r>
      <w:r>
        <w:rPr>
          <w:rFonts w:hint="default" w:ascii="Times New Roman" w:hAnsi="Times New Roman" w:cs="Times New Roman"/>
          <w:sz w:val="24"/>
          <w:szCs w:val="24"/>
          <w:lang w:val="en-GB"/>
        </w:rPr>
        <w:t>-Cola</w:t>
      </w:r>
      <w:r>
        <w:rPr>
          <w:rFonts w:hint="default" w:ascii="Times New Roman" w:hAnsi="Times New Roman" w:cs="Times New Roman"/>
          <w:sz w:val="24"/>
          <w:szCs w:val="24"/>
        </w:rPr>
        <w:t xml:space="preserve">. Both Coca cola and Pepsi invest heavily </w:t>
      </w:r>
      <w:r>
        <w:rPr>
          <w:rFonts w:hint="default" w:ascii="Times New Roman" w:hAnsi="Times New Roman" w:cs="Times New Roman"/>
          <w:sz w:val="24"/>
          <w:szCs w:val="24"/>
          <w:lang w:val="en-GB"/>
        </w:rPr>
        <w:t>in</w:t>
      </w:r>
      <w:r>
        <w:rPr>
          <w:rFonts w:hint="default" w:ascii="Times New Roman" w:hAnsi="Times New Roman" w:cs="Times New Roman"/>
          <w:sz w:val="24"/>
          <w:szCs w:val="24"/>
        </w:rPr>
        <w:t xml:space="preserve"> innovation, advertisements and promotional </w:t>
      </w:r>
      <w:r>
        <w:rPr>
          <w:rFonts w:hint="default" w:ascii="Times New Roman" w:hAnsi="Times New Roman" w:cs="Times New Roman"/>
          <w:sz w:val="24"/>
          <w:szCs w:val="24"/>
          <w:lang w:val="en-GB"/>
        </w:rPr>
        <w:t>campaigns (</w:t>
      </w:r>
      <w:r>
        <w:rPr>
          <w:rFonts w:hint="default" w:ascii="Times New Roman" w:hAnsi="Times New Roman"/>
          <w:sz w:val="24"/>
          <w:szCs w:val="24"/>
          <w:lang w:val="en-GB"/>
        </w:rPr>
        <w:t>The Coca-Cola Annual Report, 2024, p. 11)</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Internationally </w:t>
      </w:r>
      <w:r>
        <w:rPr>
          <w:rFonts w:hint="default" w:ascii="Times New Roman" w:hAnsi="Times New Roman" w:cs="Times New Roman"/>
          <w:sz w:val="24"/>
          <w:szCs w:val="24"/>
          <w:lang w:val="en-GB"/>
        </w:rPr>
        <w:t>Coca-Cola</w:t>
      </w:r>
      <w:r>
        <w:rPr>
          <w:rFonts w:hint="default" w:ascii="Times New Roman" w:hAnsi="Times New Roman" w:cs="Times New Roman"/>
          <w:sz w:val="24"/>
          <w:szCs w:val="24"/>
        </w:rPr>
        <w:t xml:space="preserve"> only have a few competitors that can match </w:t>
      </w:r>
      <w:r>
        <w:rPr>
          <w:rFonts w:hint="default" w:ascii="Times New Roman" w:hAnsi="Times New Roman" w:cs="Times New Roman"/>
          <w:sz w:val="24"/>
          <w:szCs w:val="24"/>
          <w:lang w:val="en-GB"/>
        </w:rPr>
        <w:t>them,</w:t>
      </w:r>
      <w:r>
        <w:rPr>
          <w:rFonts w:hint="default" w:ascii="Times New Roman" w:hAnsi="Times New Roman" w:cs="Times New Roman"/>
          <w:sz w:val="24"/>
          <w:szCs w:val="24"/>
        </w:rPr>
        <w:t xml:space="preserve"> but in some cases in other countries</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competition is notable. For </w:t>
      </w:r>
      <w:r>
        <w:rPr>
          <w:rFonts w:hint="default" w:ascii="Times New Roman" w:hAnsi="Times New Roman" w:cs="Times New Roman"/>
          <w:sz w:val="24"/>
          <w:szCs w:val="24"/>
          <w:lang w:val="en-GB"/>
        </w:rPr>
        <w:t>example,</w:t>
      </w:r>
      <w:r>
        <w:rPr>
          <w:rFonts w:hint="default" w:ascii="Times New Roman" w:hAnsi="Times New Roman" w:cs="Times New Roman"/>
          <w:sz w:val="24"/>
          <w:szCs w:val="24"/>
        </w:rPr>
        <w:t xml:space="preserve"> in Asian countries, Latin America and </w:t>
      </w:r>
      <w:r>
        <w:rPr>
          <w:rFonts w:hint="default" w:ascii="Times New Roman" w:hAnsi="Times New Roman" w:cs="Times New Roman"/>
          <w:sz w:val="24"/>
          <w:szCs w:val="24"/>
          <w:lang w:val="en-GB"/>
        </w:rPr>
        <w:t>Africa,</w:t>
      </w:r>
      <w:r>
        <w:rPr>
          <w:rFonts w:hint="default" w:ascii="Times New Roman" w:hAnsi="Times New Roman" w:cs="Times New Roman"/>
          <w:sz w:val="24"/>
          <w:szCs w:val="24"/>
        </w:rPr>
        <w:t xml:space="preserve"> emerging brands disrupt Coca</w:t>
      </w:r>
      <w:r>
        <w:rPr>
          <w:rFonts w:hint="default" w:ascii="Times New Roman" w:hAnsi="Times New Roman" w:cs="Times New Roman"/>
          <w:sz w:val="24"/>
          <w:szCs w:val="24"/>
          <w:lang w:val="en-GB"/>
        </w:rPr>
        <w:t>-C</w:t>
      </w:r>
      <w:r>
        <w:rPr>
          <w:rFonts w:hint="default" w:ascii="Times New Roman" w:hAnsi="Times New Roman" w:cs="Times New Roman"/>
          <w:sz w:val="24"/>
          <w:szCs w:val="24"/>
        </w:rPr>
        <w:t>ola’s market dominance</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11)</w:t>
      </w:r>
      <w:r>
        <w:rPr>
          <w:rFonts w:hint="default" w:ascii="Times New Roman" w:hAnsi="Times New Roman" w:cs="Times New Roman"/>
          <w:sz w:val="24"/>
          <w:szCs w:val="24"/>
        </w:rPr>
        <w:t xml:space="preserve">. Generally, it is more reasonable to compete with Coca cola on a </w:t>
      </w:r>
      <w:r>
        <w:rPr>
          <w:rFonts w:hint="default" w:ascii="Times New Roman" w:hAnsi="Times New Roman" w:cs="Times New Roman"/>
          <w:sz w:val="24"/>
          <w:szCs w:val="24"/>
          <w:lang w:val="en-GB"/>
        </w:rPr>
        <w:t>small-scale,</w:t>
      </w:r>
      <w:r>
        <w:rPr>
          <w:rFonts w:hint="default" w:ascii="Times New Roman" w:hAnsi="Times New Roman" w:cs="Times New Roman"/>
          <w:sz w:val="24"/>
          <w:szCs w:val="24"/>
        </w:rPr>
        <w:t xml:space="preserve"> but </w:t>
      </w:r>
      <w:r>
        <w:rPr>
          <w:rFonts w:hint="default" w:ascii="Times New Roman" w:hAnsi="Times New Roman" w:cs="Times New Roman"/>
          <w:sz w:val="24"/>
          <w:szCs w:val="24"/>
          <w:lang w:val="en-GB"/>
        </w:rPr>
        <w:t xml:space="preserve">it is </w:t>
      </w:r>
      <w:r>
        <w:rPr>
          <w:rFonts w:hint="default" w:ascii="Times New Roman" w:hAnsi="Times New Roman" w:cs="Times New Roman"/>
          <w:sz w:val="24"/>
          <w:szCs w:val="24"/>
        </w:rPr>
        <w:t xml:space="preserve">also quite </w:t>
      </w:r>
      <w:r>
        <w:rPr>
          <w:rFonts w:hint="default" w:ascii="Times New Roman" w:hAnsi="Times New Roman" w:cs="Times New Roman"/>
          <w:sz w:val="24"/>
          <w:szCs w:val="24"/>
          <w:lang w:val="en-GB"/>
        </w:rPr>
        <w:t>difficult,</w:t>
      </w:r>
      <w:r>
        <w:rPr>
          <w:rFonts w:hint="default" w:ascii="Times New Roman" w:hAnsi="Times New Roman" w:cs="Times New Roman"/>
          <w:sz w:val="24"/>
          <w:szCs w:val="24"/>
        </w:rPr>
        <w:t xml:space="preserve"> and with statistics showing that soda consumption is declining in previous years, as people are opting for</w:t>
      </w:r>
      <w:r>
        <w:rPr>
          <w:rFonts w:hint="default" w:ascii="Times New Roman" w:hAnsi="Times New Roman" w:cs="Times New Roman"/>
          <w:sz w:val="24"/>
          <w:szCs w:val="24"/>
          <w:lang w:val="en-GB"/>
        </w:rPr>
        <w:t xml:space="preserve"> healthier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options,</w:t>
      </w:r>
      <w:r>
        <w:rPr>
          <w:rFonts w:hint="default" w:ascii="Times New Roman" w:hAnsi="Times New Roman" w:cs="Times New Roman"/>
          <w:sz w:val="24"/>
          <w:szCs w:val="24"/>
        </w:rPr>
        <w:t xml:space="preserve"> it intensifies the fight for market share</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20)</w:t>
      </w:r>
      <w:r>
        <w:rPr>
          <w:rFonts w:hint="default" w:ascii="Times New Roman" w:hAnsi="Times New Roman" w:cs="Times New Roman"/>
          <w:sz w:val="24"/>
          <w:szCs w:val="24"/>
        </w:rPr>
        <w:t>.</w:t>
      </w:r>
    </w:p>
    <w:p w14:paraId="46ED3FF5">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BARGA</w:t>
      </w:r>
      <w:r>
        <w:rPr>
          <w:rFonts w:hint="default" w:ascii="Times New Roman" w:hAnsi="Times New Roman" w:cs="Times New Roman"/>
          <w:b/>
          <w:bCs/>
          <w:sz w:val="24"/>
          <w:szCs w:val="24"/>
          <w:u w:val="single"/>
          <w:lang w:val="en-GB"/>
        </w:rPr>
        <w:t>I</w:t>
      </w:r>
      <w:r>
        <w:rPr>
          <w:rFonts w:hint="default" w:ascii="Times New Roman" w:hAnsi="Times New Roman" w:cs="Times New Roman"/>
          <w:b/>
          <w:bCs/>
          <w:sz w:val="24"/>
          <w:szCs w:val="24"/>
          <w:u w:val="single"/>
        </w:rPr>
        <w:t>NING POWER OF SUPPLIERS</w:t>
      </w:r>
    </w:p>
    <w:p w14:paraId="3420AD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bargaining power of suppliers is low to moderate. </w:t>
      </w:r>
      <w:r>
        <w:rPr>
          <w:rFonts w:hint="default" w:ascii="Times New Roman" w:hAnsi="Times New Roman" w:cs="Times New Roman"/>
          <w:sz w:val="24"/>
          <w:szCs w:val="24"/>
          <w:lang w:val="en-GB"/>
        </w:rPr>
        <w:t xml:space="preserve">Coca-Cola, </w:t>
      </w:r>
      <w:r>
        <w:rPr>
          <w:rFonts w:hint="default" w:ascii="Times New Roman" w:hAnsi="Times New Roman" w:cs="Times New Roman"/>
          <w:sz w:val="24"/>
          <w:szCs w:val="24"/>
        </w:rPr>
        <w:t xml:space="preserve">being a huge </w:t>
      </w:r>
      <w:r>
        <w:rPr>
          <w:rFonts w:hint="default" w:ascii="Times New Roman" w:hAnsi="Times New Roman" w:cs="Times New Roman"/>
          <w:sz w:val="24"/>
          <w:szCs w:val="24"/>
          <w:lang w:val="en-GB"/>
        </w:rPr>
        <w:t>brand,</w:t>
      </w:r>
      <w:r>
        <w:rPr>
          <w:rFonts w:hint="default" w:ascii="Times New Roman" w:hAnsi="Times New Roman" w:cs="Times New Roman"/>
          <w:sz w:val="24"/>
          <w:szCs w:val="24"/>
        </w:rPr>
        <w:t xml:space="preserve"> has over the years gathered multiple </w:t>
      </w:r>
      <w:r>
        <w:rPr>
          <w:rFonts w:hint="default" w:ascii="Times New Roman" w:hAnsi="Times New Roman" w:cs="Times New Roman"/>
          <w:sz w:val="24"/>
          <w:szCs w:val="24"/>
          <w:lang w:val="en-GB"/>
        </w:rPr>
        <w:t>suppliers,</w:t>
      </w:r>
      <w:r>
        <w:rPr>
          <w:rFonts w:hint="default" w:ascii="Times New Roman" w:hAnsi="Times New Roman" w:cs="Times New Roman"/>
          <w:sz w:val="24"/>
          <w:szCs w:val="24"/>
        </w:rPr>
        <w:t xml:space="preserve"> sourcing </w:t>
      </w:r>
      <w:r>
        <w:rPr>
          <w:rFonts w:hint="default" w:ascii="Times New Roman" w:hAnsi="Times New Roman" w:cs="Times New Roman"/>
          <w:sz w:val="24"/>
          <w:szCs w:val="24"/>
          <w:lang w:val="en-GB"/>
        </w:rPr>
        <w:t>options,</w:t>
      </w:r>
      <w:r>
        <w:rPr>
          <w:rFonts w:hint="default" w:ascii="Times New Roman" w:hAnsi="Times New Roman" w:cs="Times New Roman"/>
          <w:sz w:val="24"/>
          <w:szCs w:val="24"/>
        </w:rPr>
        <w:t xml:space="preserve"> reducing dependency on one supplier. They also have </w:t>
      </w:r>
      <w:r>
        <w:rPr>
          <w:rFonts w:hint="default" w:ascii="Times New Roman" w:hAnsi="Times New Roman" w:cs="Times New Roman"/>
          <w:sz w:val="24"/>
          <w:szCs w:val="24"/>
          <w:lang w:val="en-GB"/>
        </w:rPr>
        <w:t>long-term</w:t>
      </w:r>
      <w:r>
        <w:rPr>
          <w:rFonts w:hint="default" w:ascii="Times New Roman" w:hAnsi="Times New Roman" w:cs="Times New Roman"/>
          <w:sz w:val="24"/>
          <w:szCs w:val="24"/>
        </w:rPr>
        <w:t xml:space="preserve"> contracts with these </w:t>
      </w:r>
      <w:r>
        <w:rPr>
          <w:rFonts w:hint="default" w:ascii="Times New Roman" w:hAnsi="Times New Roman" w:cs="Times New Roman"/>
          <w:sz w:val="24"/>
          <w:szCs w:val="24"/>
          <w:lang w:val="en-GB"/>
        </w:rPr>
        <w:t>companies,</w:t>
      </w:r>
      <w:r>
        <w:rPr>
          <w:rFonts w:hint="default" w:ascii="Times New Roman" w:hAnsi="Times New Roman" w:cs="Times New Roman"/>
          <w:sz w:val="24"/>
          <w:szCs w:val="24"/>
        </w:rPr>
        <w:t xml:space="preserve"> and Coca cola being a large </w:t>
      </w:r>
      <w:r>
        <w:rPr>
          <w:rFonts w:hint="default" w:ascii="Times New Roman" w:hAnsi="Times New Roman" w:cs="Times New Roman"/>
          <w:sz w:val="24"/>
          <w:szCs w:val="24"/>
          <w:lang w:val="en-GB"/>
        </w:rPr>
        <w:t>company,</w:t>
      </w:r>
      <w:r>
        <w:rPr>
          <w:rFonts w:hint="default" w:ascii="Times New Roman" w:hAnsi="Times New Roman" w:cs="Times New Roman"/>
          <w:sz w:val="24"/>
          <w:szCs w:val="24"/>
        </w:rPr>
        <w:t xml:space="preserve"> has the power to negotiate bulk purchases</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18)</w:t>
      </w:r>
      <w:r>
        <w:rPr>
          <w:rFonts w:hint="default" w:ascii="Times New Roman" w:hAnsi="Times New Roman" w:cs="Times New Roman"/>
          <w:sz w:val="24"/>
          <w:szCs w:val="24"/>
        </w:rPr>
        <w:t xml:space="preserve">. They have also invested in bottling </w:t>
      </w:r>
      <w:r>
        <w:rPr>
          <w:rFonts w:hint="default" w:ascii="Times New Roman" w:hAnsi="Times New Roman" w:cs="Times New Roman"/>
          <w:sz w:val="24"/>
          <w:szCs w:val="24"/>
          <w:lang w:val="en-GB"/>
        </w:rPr>
        <w:t>plants,</w:t>
      </w:r>
      <w:r>
        <w:rPr>
          <w:rFonts w:hint="default" w:ascii="Times New Roman" w:hAnsi="Times New Roman" w:cs="Times New Roman"/>
          <w:sz w:val="24"/>
          <w:szCs w:val="24"/>
        </w:rPr>
        <w:t xml:space="preserve"> reducing </w:t>
      </w:r>
      <w:r>
        <w:rPr>
          <w:rFonts w:hint="default" w:ascii="Times New Roman" w:hAnsi="Times New Roman" w:cs="Times New Roman"/>
          <w:sz w:val="24"/>
          <w:szCs w:val="24"/>
          <w:lang w:val="en-GB"/>
        </w:rPr>
        <w:t>suppliers'</w:t>
      </w:r>
      <w:r>
        <w:rPr>
          <w:rFonts w:hint="default" w:ascii="Times New Roman" w:hAnsi="Times New Roman" w:cs="Times New Roman"/>
          <w:sz w:val="24"/>
          <w:szCs w:val="24"/>
        </w:rPr>
        <w:t xml:space="preserve"> influence</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Company, 2025)</w:t>
      </w:r>
      <w:r>
        <w:rPr>
          <w:rFonts w:hint="default" w:ascii="Times New Roman" w:hAnsi="Times New Roman" w:cs="Times New Roman"/>
          <w:sz w:val="24"/>
          <w:szCs w:val="24"/>
        </w:rPr>
        <w:t xml:space="preserve">. Occasionally, global economic fluctuations can increase </w:t>
      </w:r>
      <w:r>
        <w:rPr>
          <w:rFonts w:hint="default" w:ascii="Times New Roman" w:hAnsi="Times New Roman" w:cs="Times New Roman"/>
          <w:sz w:val="24"/>
          <w:szCs w:val="24"/>
          <w:lang w:val="en-GB"/>
        </w:rPr>
        <w:t>suppliers'</w:t>
      </w:r>
      <w:r>
        <w:rPr>
          <w:rFonts w:hint="default" w:ascii="Times New Roman" w:hAnsi="Times New Roman" w:cs="Times New Roman"/>
          <w:sz w:val="24"/>
          <w:szCs w:val="24"/>
        </w:rPr>
        <w:t xml:space="preserve"> power</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18)</w:t>
      </w:r>
      <w:r>
        <w:rPr>
          <w:rFonts w:hint="default" w:ascii="Times New Roman" w:hAnsi="Times New Roman" w:cs="Times New Roman"/>
          <w:sz w:val="24"/>
          <w:szCs w:val="24"/>
        </w:rPr>
        <w:t xml:space="preserve">. </w:t>
      </w:r>
    </w:p>
    <w:p w14:paraId="626546F7">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BARGARNING POWER OF BUYERS</w:t>
      </w:r>
    </w:p>
    <w:p w14:paraId="48C2E6DE">
      <w:p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bargaining power of buyers is low to moderate. Buyers of the brand </w:t>
      </w:r>
      <w:r>
        <w:rPr>
          <w:rFonts w:hint="default" w:ascii="Times New Roman" w:hAnsi="Times New Roman" w:cs="Times New Roman"/>
          <w:b w:val="0"/>
          <w:bCs w:val="0"/>
          <w:sz w:val="24"/>
          <w:szCs w:val="24"/>
          <w:lang w:val="en-GB"/>
        </w:rPr>
        <w:t>include</w:t>
      </w:r>
      <w:r>
        <w:rPr>
          <w:rFonts w:hint="default" w:ascii="Times New Roman" w:hAnsi="Times New Roman" w:cs="Times New Roman"/>
          <w:b w:val="0"/>
          <w:bCs w:val="0"/>
          <w:sz w:val="24"/>
          <w:szCs w:val="24"/>
        </w:rPr>
        <w:t xml:space="preserve"> individual consumers, retailers and franchises. </w:t>
      </w:r>
      <w:r>
        <w:rPr>
          <w:rFonts w:hint="default" w:ascii="Times New Roman" w:hAnsi="Times New Roman" w:cs="Times New Roman"/>
          <w:b w:val="0"/>
          <w:bCs w:val="0"/>
          <w:sz w:val="24"/>
          <w:szCs w:val="24"/>
          <w:lang w:val="en-GB"/>
        </w:rPr>
        <w:t xml:space="preserve">Coca-Cola </w:t>
      </w:r>
      <w:r>
        <w:rPr>
          <w:rFonts w:hint="default" w:ascii="Times New Roman" w:hAnsi="Times New Roman" w:cs="Times New Roman"/>
          <w:b w:val="0"/>
          <w:bCs w:val="0"/>
          <w:sz w:val="24"/>
          <w:szCs w:val="24"/>
        </w:rPr>
        <w:t xml:space="preserve">has a huge consumer base and global </w:t>
      </w:r>
      <w:r>
        <w:rPr>
          <w:rFonts w:hint="default" w:ascii="Times New Roman" w:hAnsi="Times New Roman" w:cs="Times New Roman"/>
          <w:b w:val="0"/>
          <w:bCs w:val="0"/>
          <w:sz w:val="24"/>
          <w:szCs w:val="24"/>
          <w:lang w:val="en-GB"/>
        </w:rPr>
        <w:t>recognition,</w:t>
      </w:r>
      <w:r>
        <w:rPr>
          <w:rFonts w:hint="default" w:ascii="Times New Roman" w:hAnsi="Times New Roman" w:cs="Times New Roman"/>
          <w:b w:val="0"/>
          <w:bCs w:val="0"/>
          <w:sz w:val="24"/>
          <w:szCs w:val="24"/>
        </w:rPr>
        <w:t xml:space="preserve"> which makes it a highly sort after brand</w:t>
      </w:r>
      <w:r>
        <w:rPr>
          <w:rFonts w:hint="default" w:ascii="Times New Roman" w:hAnsi="Times New Roman" w:cs="Times New Roman"/>
          <w:b w:val="0"/>
          <w:bCs w:val="0"/>
          <w:sz w:val="24"/>
          <w:szCs w:val="24"/>
          <w:lang w:val="en-GB"/>
        </w:rPr>
        <w:t xml:space="preserve"> </w:t>
      </w:r>
      <w:r>
        <w:rPr>
          <w:rFonts w:hint="default" w:ascii="Times New Roman" w:hAnsi="Times New Roman"/>
          <w:b w:val="0"/>
          <w:bCs w:val="0"/>
          <w:sz w:val="24"/>
          <w:szCs w:val="24"/>
          <w:lang w:val="en-GB"/>
        </w:rPr>
        <w:t>(Beverage Digest, 2023; The Coca-Cola Company, 2025 )</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A</w:t>
      </w:r>
      <w:r>
        <w:rPr>
          <w:rFonts w:hint="default" w:ascii="Times New Roman" w:hAnsi="Times New Roman" w:cs="Times New Roman"/>
          <w:sz w:val="24"/>
          <w:szCs w:val="24"/>
        </w:rPr>
        <w:t>nd as a result</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has strong brand loyalty. This drives consumers to purchase it despite available alternatives and low switching costs, making consumer power low. On the other hand, retailers and franchises such </w:t>
      </w:r>
      <w:r>
        <w:rPr>
          <w:rFonts w:hint="default" w:ascii="Times New Roman" w:hAnsi="Times New Roman" w:cs="Times New Roman"/>
          <w:sz w:val="24"/>
          <w:szCs w:val="24"/>
          <w:lang w:val="en-GB"/>
        </w:rPr>
        <w:t>as</w:t>
      </w:r>
      <w:r>
        <w:rPr>
          <w:rFonts w:hint="default" w:ascii="Times New Roman" w:hAnsi="Times New Roman" w:cs="Times New Roman"/>
          <w:sz w:val="24"/>
          <w:szCs w:val="24"/>
        </w:rPr>
        <w:t xml:space="preserve"> supermarkets, Mac Donald’s, cinemas and so on have some bargaining power because they buy in large quantity and can demand discounts or better terms</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17 - 20)</w:t>
      </w:r>
      <w:r>
        <w:rPr>
          <w:rFonts w:hint="default" w:ascii="Times New Roman" w:hAnsi="Times New Roman" w:cs="Times New Roman"/>
          <w:sz w:val="24"/>
          <w:szCs w:val="24"/>
        </w:rPr>
        <w:t>.</w:t>
      </w:r>
    </w:p>
    <w:p w14:paraId="6055EFA7">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THREAT OF NEW ENTRANTS</w:t>
      </w:r>
    </w:p>
    <w:p w14:paraId="6E5B28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The threat </w:t>
      </w:r>
      <w:r>
        <w:rPr>
          <w:rFonts w:hint="default" w:ascii="Times New Roman" w:hAnsi="Times New Roman" w:cs="Times New Roman"/>
          <w:sz w:val="24"/>
          <w:szCs w:val="24"/>
        </w:rPr>
        <w:t xml:space="preserve">of new entry for Coca cola is moderate. It is the leading beverage brand having </w:t>
      </w:r>
      <w:r>
        <w:rPr>
          <w:rFonts w:hint="default" w:ascii="Times New Roman" w:hAnsi="Times New Roman" w:cs="Times New Roman"/>
          <w:sz w:val="24"/>
          <w:szCs w:val="24"/>
          <w:lang w:val="en-GB"/>
        </w:rPr>
        <w:t>a global</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customer</w:t>
      </w:r>
      <w:r>
        <w:rPr>
          <w:rFonts w:hint="default" w:ascii="Times New Roman" w:hAnsi="Times New Roman" w:cs="Times New Roman"/>
          <w:sz w:val="24"/>
          <w:szCs w:val="24"/>
        </w:rPr>
        <w:t xml:space="preserve"> base and worldwide recognition and </w:t>
      </w:r>
      <w:r>
        <w:rPr>
          <w:rFonts w:hint="default" w:ascii="Times New Roman" w:hAnsi="Times New Roman" w:cs="Times New Roman"/>
          <w:sz w:val="24"/>
          <w:szCs w:val="24"/>
          <w:lang w:val="en-GB"/>
        </w:rPr>
        <w:t>distribution,</w:t>
      </w:r>
      <w:r>
        <w:rPr>
          <w:rFonts w:hint="default" w:ascii="Times New Roman" w:hAnsi="Times New Roman" w:cs="Times New Roman"/>
          <w:sz w:val="24"/>
          <w:szCs w:val="24"/>
        </w:rPr>
        <w:t xml:space="preserve"> and a very prominent brand presence</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 xml:space="preserve"> (Beverage Digest, 2023; The Coca-Cola Company, 2025 )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 xml:space="preserve">Coca-Cola </w:t>
      </w:r>
      <w:r>
        <w:rPr>
          <w:rFonts w:hint="default" w:ascii="Times New Roman" w:hAnsi="Times New Roman" w:cs="Times New Roman"/>
          <w:sz w:val="24"/>
          <w:szCs w:val="24"/>
        </w:rPr>
        <w:t>has built a large brand recognition and strong customer loyalty with a brand value of over $</w:t>
      </w:r>
      <w:r>
        <w:rPr>
          <w:rFonts w:hint="default" w:ascii="Times New Roman" w:hAnsi="Times New Roman" w:cs="Times New Roman"/>
          <w:sz w:val="24"/>
          <w:szCs w:val="24"/>
          <w:lang w:val="en-GB"/>
        </w:rPr>
        <w:t>106.45</w:t>
      </w:r>
      <w:r>
        <w:rPr>
          <w:rFonts w:hint="default" w:ascii="Times New Roman" w:hAnsi="Times New Roman" w:cs="Times New Roman"/>
          <w:sz w:val="24"/>
          <w:szCs w:val="24"/>
        </w:rPr>
        <w:t xml:space="preserve"> billion in </w:t>
      </w:r>
      <w:r>
        <w:rPr>
          <w:rFonts w:hint="default" w:ascii="Times New Roman" w:hAnsi="Times New Roman" w:cs="Times New Roman"/>
          <w:sz w:val="24"/>
          <w:szCs w:val="24"/>
          <w:lang w:val="en-GB"/>
        </w:rPr>
        <w:t>2024 (Statista, 2024),</w:t>
      </w:r>
      <w:r>
        <w:rPr>
          <w:rFonts w:hint="default" w:ascii="Times New Roman" w:hAnsi="Times New Roman" w:cs="Times New Roman"/>
          <w:sz w:val="24"/>
          <w:szCs w:val="24"/>
        </w:rPr>
        <w:t xml:space="preserve"> making it difficult for new entrants to gain consumer trust and establish a comparable consumer base. Moreover, Coca cola has a massive distribution network reaching over 200 countries</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Company, 2025)</w:t>
      </w:r>
      <w:r>
        <w:rPr>
          <w:rFonts w:hint="default" w:ascii="Times New Roman" w:hAnsi="Times New Roman" w:cs="Times New Roman"/>
          <w:sz w:val="24"/>
          <w:szCs w:val="24"/>
        </w:rPr>
        <w:t xml:space="preserve">, having contracts with restaurants, retailers and vending </w:t>
      </w:r>
      <w:r>
        <w:rPr>
          <w:rFonts w:hint="default" w:ascii="Times New Roman" w:hAnsi="Times New Roman" w:cs="Times New Roman"/>
          <w:sz w:val="24"/>
          <w:szCs w:val="24"/>
          <w:lang w:val="en-GB"/>
        </w:rPr>
        <w:t>machines,</w:t>
      </w:r>
      <w:r>
        <w:rPr>
          <w:rFonts w:hint="default" w:ascii="Times New Roman" w:hAnsi="Times New Roman" w:cs="Times New Roman"/>
          <w:sz w:val="24"/>
          <w:szCs w:val="24"/>
        </w:rPr>
        <w:t xml:space="preserve"> creating a strong distribution channel. These are factors that </w:t>
      </w:r>
      <w:r>
        <w:rPr>
          <w:rFonts w:hint="default" w:ascii="Times New Roman" w:hAnsi="Times New Roman" w:cs="Times New Roman"/>
          <w:sz w:val="24"/>
          <w:szCs w:val="24"/>
          <w:lang w:val="en-GB"/>
        </w:rPr>
        <w:t>make</w:t>
      </w:r>
      <w:r>
        <w:rPr>
          <w:rFonts w:hint="default" w:ascii="Times New Roman" w:hAnsi="Times New Roman" w:cs="Times New Roman"/>
          <w:sz w:val="24"/>
          <w:szCs w:val="24"/>
        </w:rPr>
        <w:t xml:space="preserve"> the barrier of entry high. Furthermore, consumers have low switching </w:t>
      </w:r>
      <w:r>
        <w:rPr>
          <w:rFonts w:hint="default" w:ascii="Times New Roman" w:hAnsi="Times New Roman" w:cs="Times New Roman"/>
          <w:sz w:val="24"/>
          <w:szCs w:val="24"/>
          <w:lang w:val="en-GB"/>
        </w:rPr>
        <w:t>costs,</w:t>
      </w:r>
      <w:r>
        <w:rPr>
          <w:rFonts w:hint="default" w:ascii="Times New Roman" w:hAnsi="Times New Roman" w:cs="Times New Roman"/>
          <w:sz w:val="24"/>
          <w:szCs w:val="24"/>
        </w:rPr>
        <w:t xml:space="preserve"> making it easier to switch to other beverages. Additionally, the rise of health </w:t>
      </w:r>
      <w:r>
        <w:rPr>
          <w:rFonts w:hint="default" w:ascii="Times New Roman" w:hAnsi="Times New Roman" w:cs="Times New Roman"/>
          <w:sz w:val="24"/>
          <w:szCs w:val="24"/>
          <w:lang w:val="en-GB"/>
        </w:rPr>
        <w:t>niches</w:t>
      </w:r>
      <w:r>
        <w:rPr>
          <w:rFonts w:hint="default" w:ascii="Times New Roman" w:hAnsi="Times New Roman" w:cs="Times New Roman"/>
          <w:sz w:val="24"/>
          <w:szCs w:val="24"/>
        </w:rPr>
        <w:t xml:space="preserve"> and smaller brands </w:t>
      </w:r>
      <w:r>
        <w:rPr>
          <w:rFonts w:hint="default" w:ascii="Times New Roman" w:hAnsi="Times New Roman" w:cs="Times New Roman"/>
          <w:sz w:val="24"/>
          <w:szCs w:val="24"/>
          <w:lang w:val="en-GB"/>
        </w:rPr>
        <w:t>specializing</w:t>
      </w:r>
      <w:r>
        <w:rPr>
          <w:rFonts w:hint="default" w:ascii="Times New Roman" w:hAnsi="Times New Roman" w:cs="Times New Roman"/>
          <w:sz w:val="24"/>
          <w:szCs w:val="24"/>
        </w:rPr>
        <w:t xml:space="preserve"> in organic, gluten free, sugar free drinks have disrupted the market</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(Rigik, 2014, p. 22)</w:t>
      </w:r>
      <w:r>
        <w:rPr>
          <w:rFonts w:hint="default" w:ascii="Times New Roman" w:hAnsi="Times New Roman" w:cs="Times New Roman"/>
          <w:sz w:val="24"/>
          <w:szCs w:val="24"/>
        </w:rPr>
        <w:t xml:space="preserve">. Factors such as these lower the barrier of entry. </w:t>
      </w:r>
    </w:p>
    <w:p w14:paraId="78FC4D17">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THREAT OF SUBUBSTITUTE PRODUCTS</w:t>
      </w:r>
    </w:p>
    <w:p w14:paraId="4488CF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Threat of substitution is high. In today’s world there are a countless number of beverages circulating the market, which makes for easy substitution. Factors like health concerns and low switching costs can affect consumer preference</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20)</w:t>
      </w:r>
      <w:r>
        <w:rPr>
          <w:rFonts w:hint="default" w:ascii="Times New Roman" w:hAnsi="Times New Roman" w:cs="Times New Roman"/>
          <w:sz w:val="24"/>
          <w:szCs w:val="24"/>
        </w:rPr>
        <w:t xml:space="preserve">. People are pulling back on </w:t>
      </w:r>
      <w:r>
        <w:rPr>
          <w:rFonts w:hint="default" w:ascii="Times New Roman" w:hAnsi="Times New Roman" w:cs="Times New Roman"/>
          <w:sz w:val="24"/>
          <w:szCs w:val="24"/>
          <w:lang w:val="en-GB"/>
        </w:rPr>
        <w:t>sugary</w:t>
      </w:r>
      <w:r>
        <w:rPr>
          <w:rFonts w:hint="default" w:ascii="Times New Roman" w:hAnsi="Times New Roman" w:cs="Times New Roman"/>
          <w:sz w:val="24"/>
          <w:szCs w:val="24"/>
        </w:rPr>
        <w:t xml:space="preserve"> drinks because of obesity and diabetes risks also, with brands like Monster, Red Bull and Gatorade attracting the younger consumers</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20)</w:t>
      </w:r>
      <w:r>
        <w:rPr>
          <w:rFonts w:hint="default" w:ascii="Times New Roman" w:hAnsi="Times New Roman" w:cs="Times New Roman"/>
          <w:sz w:val="24"/>
          <w:szCs w:val="24"/>
        </w:rPr>
        <w:t xml:space="preserve">. Also, in places like Nigeria where fake Coca cola products have become an issue, people prefer to substitute for </w:t>
      </w:r>
      <w:r>
        <w:rPr>
          <w:rFonts w:hint="default" w:ascii="Times New Roman" w:hAnsi="Times New Roman" w:cs="Times New Roman"/>
          <w:sz w:val="24"/>
          <w:szCs w:val="24"/>
          <w:lang w:val="en-GB"/>
        </w:rPr>
        <w:t>other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products</w:t>
      </w:r>
      <w:r>
        <w:rPr>
          <w:rFonts w:hint="default" w:ascii="Times New Roman" w:hAnsi="Times New Roman" w:cs="Times New Roman"/>
          <w:sz w:val="24"/>
          <w:szCs w:val="24"/>
        </w:rPr>
        <w:t xml:space="preserve"> rather than exposing themselves to the risk of buying a counterfeit with ingredients that might be detrimental to their health</w:t>
      </w:r>
      <w:r>
        <w:rPr>
          <w:rFonts w:hint="default" w:ascii="Times New Roman" w:hAnsi="Times New Roman" w:cs="Times New Roman"/>
          <w:sz w:val="24"/>
          <w:szCs w:val="24"/>
          <w:lang w:val="en-GB"/>
        </w:rPr>
        <w:t xml:space="preserve"> </w:t>
      </w:r>
      <w:r>
        <w:rPr>
          <w:rFonts w:hint="default" w:ascii="Times New Roman" w:hAnsi="Times New Roman"/>
          <w:sz w:val="24"/>
          <w:szCs w:val="24"/>
          <w:lang w:val="en-GB"/>
        </w:rPr>
        <w:t>(The Coca-Cola Annual Report, 2024, p. 21)</w:t>
      </w:r>
      <w:r>
        <w:rPr>
          <w:rFonts w:hint="default" w:ascii="Times New Roman" w:hAnsi="Times New Roman" w:cs="Times New Roman"/>
          <w:sz w:val="24"/>
          <w:szCs w:val="24"/>
        </w:rPr>
        <w:t xml:space="preserve">. </w:t>
      </w:r>
    </w:p>
    <w:p w14:paraId="2DC1FEFD">
      <w:pPr>
        <w:spacing w:line="360" w:lineRule="auto"/>
        <w:rPr>
          <w:rFonts w:hint="default" w:ascii="Times New Roman" w:hAnsi="Times New Roman" w:cs="Times New Roman"/>
          <w:sz w:val="24"/>
          <w:szCs w:val="24"/>
        </w:rPr>
      </w:pPr>
    </w:p>
    <w:p w14:paraId="5DED26FF">
      <w:pPr>
        <w:spacing w:line="360" w:lineRule="auto"/>
        <w:rPr>
          <w:rFonts w:hint="default" w:ascii="Times New Roman" w:hAnsi="Times New Roman" w:cs="Times New Roman"/>
          <w:b/>
          <w:bCs/>
          <w:sz w:val="24"/>
          <w:szCs w:val="24"/>
          <w:u w:val="single"/>
        </w:rPr>
      </w:pPr>
    </w:p>
    <w:p w14:paraId="07F110BE">
      <w:pPr>
        <w:spacing w:line="360" w:lineRule="auto"/>
        <w:rPr>
          <w:rFonts w:hint="default" w:ascii="Times New Roman" w:hAnsi="Times New Roman" w:cs="Times New Roman"/>
          <w:b/>
          <w:bCs/>
          <w:sz w:val="24"/>
          <w:szCs w:val="24"/>
          <w:u w:val="single"/>
        </w:rPr>
      </w:pPr>
    </w:p>
    <w:p w14:paraId="43F073A0">
      <w:pPr>
        <w:spacing w:line="360" w:lineRule="auto"/>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rPr>
        <w:t>CONTEXT(INTERNAL</w:t>
      </w:r>
      <w:r>
        <w:rPr>
          <w:rFonts w:hint="default" w:ascii="Times New Roman" w:hAnsi="Times New Roman" w:cs="Times New Roman"/>
          <w:b/>
          <w:bCs/>
          <w:sz w:val="24"/>
          <w:szCs w:val="24"/>
          <w:u w:val="single"/>
          <w:lang w:val="en-GB"/>
        </w:rPr>
        <w:t>)</w:t>
      </w:r>
    </w:p>
    <w:p w14:paraId="77119F04">
      <w:pPr>
        <w:spacing w:line="360" w:lineRule="auto"/>
        <w:rPr>
          <w:rFonts w:hint="default" w:ascii="Times New Roman" w:hAnsi="Times New Roman" w:cs="Times New Roman"/>
          <w:b w:val="0"/>
          <w:bCs w:val="0"/>
          <w:sz w:val="24"/>
          <w:szCs w:val="24"/>
          <w:u w:val="none"/>
          <w:lang w:val="en-GB"/>
        </w:rPr>
      </w:pPr>
      <w:r>
        <w:rPr>
          <w:rFonts w:hint="default" w:ascii="Times New Roman" w:hAnsi="Times New Roman"/>
          <w:b w:val="0"/>
          <w:bCs w:val="0"/>
          <w:sz w:val="24"/>
          <w:szCs w:val="24"/>
          <w:u w:val="none"/>
          <w:lang w:val="en-GB"/>
        </w:rPr>
        <w:t>Coca-Cola’s business model has evolved from a single‐product soft drink to a “total beverage company” spanning over 500 brands, yet its core activities still revolve around three pillars: concentrate production, brand marketing, and a franchised bottling system. Strategically, Coca-Cola pursues portfolio diversification, optimization, and sustainability leadership to drive growth amid shifting consumer preferences and regulatory pressures. In recent years, it has executed major changes including streamlining its brand portfolio, acquiring then scaling health and wellness brands, and setting aggressive environmental targets to future-proof its global beverage empire.</w:t>
      </w:r>
    </w:p>
    <w:p w14:paraId="1840FA23">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GB"/>
        </w:rPr>
        <w:t>S</w:t>
      </w:r>
      <w:r>
        <w:rPr>
          <w:rFonts w:hint="default" w:ascii="Times New Roman" w:hAnsi="Times New Roman" w:cs="Times New Roman"/>
          <w:b/>
          <w:bCs/>
          <w:sz w:val="24"/>
          <w:szCs w:val="24"/>
          <w:u w:val="single"/>
        </w:rPr>
        <w:t xml:space="preserve">WOT ANALYSIS </w:t>
      </w:r>
    </w:p>
    <w:p w14:paraId="7AEE1E57">
      <w:pPr>
        <w:spacing w:line="360" w:lineRule="auto"/>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drawing>
          <wp:inline distT="0" distB="0" distL="114300" distR="114300">
            <wp:extent cx="6068695" cy="9963150"/>
            <wp:effectExtent l="0" t="0" r="1905" b="6350"/>
            <wp:docPr id="5" name="Picture 5" descr="IMG_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3621"/>
                    <pic:cNvPicPr>
                      <a:picLocks noChangeAspect="1"/>
                    </pic:cNvPicPr>
                  </pic:nvPicPr>
                  <pic:blipFill>
                    <a:blip r:embed="rId6"/>
                    <a:stretch>
                      <a:fillRect/>
                    </a:stretch>
                  </pic:blipFill>
                  <pic:spPr>
                    <a:xfrm>
                      <a:off x="0" y="0"/>
                      <a:ext cx="6068695" cy="9963150"/>
                    </a:xfrm>
                    <a:prstGeom prst="rect">
                      <a:avLst/>
                    </a:prstGeom>
                  </pic:spPr>
                </pic:pic>
              </a:graphicData>
            </a:graphic>
          </wp:inline>
        </w:drawing>
      </w:r>
    </w:p>
    <w:p w14:paraId="79BA6149">
      <w:pPr>
        <w:spacing w:line="360" w:lineRule="auto"/>
        <w:rPr>
          <w:rFonts w:hint="default" w:ascii="Times New Roman" w:hAnsi="Times New Roman" w:cs="Times New Roman"/>
          <w:b/>
          <w:bCs/>
          <w:sz w:val="24"/>
          <w:szCs w:val="24"/>
          <w:u w:val="single"/>
        </w:rPr>
      </w:pPr>
    </w:p>
    <w:p w14:paraId="0426878F">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OVERVIEW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931"/>
        <w:gridCol w:w="822"/>
        <w:gridCol w:w="822"/>
        <w:gridCol w:w="1423"/>
        <w:gridCol w:w="822"/>
        <w:gridCol w:w="1438"/>
        <w:gridCol w:w="822"/>
        <w:gridCol w:w="1496"/>
      </w:tblGrid>
      <w:tr w14:paraId="286C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5000" w:type="pct"/>
            <w:gridSpan w:val="8"/>
            <w:vMerge w:val="restart"/>
            <w:tcBorders>
              <w:top w:val="single" w:color="000000" w:sz="4" w:space="0"/>
              <w:left w:val="single" w:color="000000" w:sz="4" w:space="0"/>
              <w:bottom w:val="single" w:color="000000" w:sz="4" w:space="0"/>
              <w:right w:val="single" w:color="000000" w:sz="4" w:space="0"/>
            </w:tcBorders>
            <w:shd w:val="clear"/>
            <w:noWrap/>
            <w:vAlign w:val="bottom"/>
          </w:tcPr>
          <w:p w14:paraId="15D4E9F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Income statement</w:t>
            </w:r>
          </w:p>
        </w:tc>
      </w:tr>
      <w:tr w14:paraId="01244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5000" w:type="pct"/>
            <w:gridSpan w:val="8"/>
            <w:vMerge w:val="continue"/>
            <w:tcBorders>
              <w:top w:val="single" w:color="000000" w:sz="4" w:space="0"/>
              <w:left w:val="single" w:color="000000" w:sz="4" w:space="0"/>
              <w:bottom w:val="single" w:color="000000" w:sz="4" w:space="0"/>
              <w:right w:val="single" w:color="000000" w:sz="4" w:space="0"/>
            </w:tcBorders>
            <w:shd w:val="clear"/>
            <w:noWrap/>
            <w:vAlign w:val="bottom"/>
          </w:tcPr>
          <w:p w14:paraId="3EBA50C3">
            <w:pPr>
              <w:spacing w:line="360" w:lineRule="auto"/>
              <w:rPr>
                <w:rFonts w:hint="default" w:ascii="Times New Roman" w:hAnsi="Times New Roman" w:cs="Times New Roman"/>
                <w:b/>
                <w:bCs/>
                <w:sz w:val="24"/>
                <w:szCs w:val="24"/>
                <w:u w:val="none"/>
              </w:rPr>
            </w:pPr>
          </w:p>
        </w:tc>
      </w:tr>
      <w:tr w14:paraId="2539E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09" w:type="pct"/>
            <w:tcBorders>
              <w:top w:val="single" w:color="000000" w:sz="4" w:space="0"/>
              <w:left w:val="single" w:color="000000" w:sz="4" w:space="0"/>
              <w:bottom w:val="single" w:color="000000" w:sz="4" w:space="0"/>
              <w:right w:val="single" w:color="000000" w:sz="4" w:space="0"/>
            </w:tcBorders>
            <w:shd w:val="clear"/>
            <w:noWrap/>
            <w:vAlign w:val="bottom"/>
          </w:tcPr>
          <w:p w14:paraId="6C0F65AA">
            <w:pPr>
              <w:spacing w:line="360" w:lineRule="auto"/>
              <w:rPr>
                <w:rFonts w:hint="default" w:ascii="Times New Roman" w:hAnsi="Times New Roman" w:cs="Times New Roman"/>
                <w:b/>
                <w:bCs/>
                <w:sz w:val="24"/>
                <w:szCs w:val="24"/>
                <w:u w:val="none"/>
              </w:rPr>
            </w:pPr>
          </w:p>
        </w:tc>
        <w:tc>
          <w:tcPr>
            <w:tcW w:w="429"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4117F2F6">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2020</w:t>
            </w:r>
          </w:p>
        </w:tc>
        <w:tc>
          <w:tcPr>
            <w:tcW w:w="429"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73F9E53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2021</w:t>
            </w:r>
          </w:p>
        </w:tc>
        <w:tc>
          <w:tcPr>
            <w:tcW w:w="743" w:type="pct"/>
            <w:tcBorders>
              <w:top w:val="single" w:color="000000" w:sz="4" w:space="0"/>
              <w:left w:val="single" w:color="000000" w:sz="4" w:space="0"/>
              <w:bottom w:val="single" w:color="000000" w:sz="4" w:space="0"/>
              <w:right w:val="single" w:color="000000" w:sz="4" w:space="0"/>
            </w:tcBorders>
            <w:shd w:val="clear" w:color="auto" w:fill="FFE699"/>
            <w:vAlign w:val="top"/>
          </w:tcPr>
          <w:p w14:paraId="084B133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 change </w:t>
            </w:r>
          </w:p>
        </w:tc>
        <w:tc>
          <w:tcPr>
            <w:tcW w:w="429"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1B1F8394">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2022</w:t>
            </w:r>
          </w:p>
        </w:tc>
        <w:tc>
          <w:tcPr>
            <w:tcW w:w="751" w:type="pct"/>
            <w:tcBorders>
              <w:top w:val="single" w:color="000000" w:sz="4" w:space="0"/>
              <w:left w:val="single" w:color="000000" w:sz="4" w:space="0"/>
              <w:bottom w:val="single" w:color="000000" w:sz="4" w:space="0"/>
              <w:right w:val="single" w:color="000000" w:sz="4" w:space="0"/>
            </w:tcBorders>
            <w:shd w:val="clear" w:color="auto" w:fill="FFE699"/>
            <w:vAlign w:val="top"/>
          </w:tcPr>
          <w:p w14:paraId="3793AC1B">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 change </w:t>
            </w:r>
          </w:p>
        </w:tc>
        <w:tc>
          <w:tcPr>
            <w:tcW w:w="429"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177D21C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2023</w:t>
            </w:r>
          </w:p>
        </w:tc>
        <w:tc>
          <w:tcPr>
            <w:tcW w:w="777" w:type="pct"/>
            <w:tcBorders>
              <w:top w:val="single" w:color="000000" w:sz="4" w:space="0"/>
              <w:left w:val="single" w:color="000000" w:sz="4" w:space="0"/>
              <w:bottom w:val="single" w:color="000000" w:sz="4" w:space="0"/>
              <w:right w:val="single" w:color="000000" w:sz="4" w:space="0"/>
            </w:tcBorders>
            <w:shd w:val="clear" w:color="auto" w:fill="FFE699"/>
            <w:vAlign w:val="top"/>
          </w:tcPr>
          <w:p w14:paraId="7BF8BABB">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 change </w:t>
            </w:r>
          </w:p>
        </w:tc>
      </w:tr>
      <w:tr w14:paraId="6AE6F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09" w:type="pct"/>
            <w:tcBorders>
              <w:top w:val="single" w:color="000000" w:sz="4" w:space="0"/>
              <w:left w:val="single" w:color="000000" w:sz="4" w:space="0"/>
              <w:bottom w:val="single" w:color="000000" w:sz="4" w:space="0"/>
              <w:right w:val="single" w:color="000000" w:sz="4" w:space="0"/>
            </w:tcBorders>
            <w:shd w:val="clear"/>
            <w:noWrap/>
            <w:vAlign w:val="bottom"/>
          </w:tcPr>
          <w:p w14:paraId="5505C40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Revenue </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63BC940E">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33014</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0969611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38655</w:t>
            </w:r>
          </w:p>
        </w:tc>
        <w:tc>
          <w:tcPr>
            <w:tcW w:w="743"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0585961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17.09%</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1B9BE96B">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43004</w:t>
            </w:r>
          </w:p>
        </w:tc>
        <w:tc>
          <w:tcPr>
            <w:tcW w:w="75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02EC8966">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11.25%</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4B3B50FB">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45754</w:t>
            </w:r>
          </w:p>
        </w:tc>
        <w:tc>
          <w:tcPr>
            <w:tcW w:w="777"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21CA992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6.39%</w:t>
            </w:r>
          </w:p>
        </w:tc>
      </w:tr>
      <w:tr w14:paraId="54A25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1009" w:type="pct"/>
            <w:tcBorders>
              <w:top w:val="single" w:color="000000" w:sz="4" w:space="0"/>
              <w:left w:val="single" w:color="000000" w:sz="4" w:space="0"/>
              <w:bottom w:val="single" w:color="000000" w:sz="4" w:space="0"/>
              <w:right w:val="single" w:color="000000" w:sz="4" w:space="0"/>
            </w:tcBorders>
            <w:shd w:val="clear"/>
            <w:noWrap/>
            <w:vAlign w:val="bottom"/>
          </w:tcPr>
          <w:p w14:paraId="0EA12EA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Operating profit </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3794753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8997</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63D76BA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10308</w:t>
            </w:r>
          </w:p>
        </w:tc>
        <w:tc>
          <w:tcPr>
            <w:tcW w:w="743"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75D1486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14.57%</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3D1A12B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10909</w:t>
            </w:r>
          </w:p>
        </w:tc>
        <w:tc>
          <w:tcPr>
            <w:tcW w:w="75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6F00886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5.83%</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7A82C46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11311</w:t>
            </w:r>
          </w:p>
        </w:tc>
        <w:tc>
          <w:tcPr>
            <w:tcW w:w="777"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3C83C9BF">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3.69%</w:t>
            </w:r>
          </w:p>
        </w:tc>
      </w:tr>
      <w:tr w14:paraId="5E2C4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1009" w:type="pct"/>
            <w:tcBorders>
              <w:top w:val="single" w:color="000000" w:sz="4" w:space="0"/>
              <w:left w:val="single" w:color="000000" w:sz="4" w:space="0"/>
              <w:bottom w:val="single" w:color="000000" w:sz="4" w:space="0"/>
              <w:right w:val="single" w:color="000000" w:sz="4" w:space="0"/>
            </w:tcBorders>
            <w:shd w:val="clear"/>
            <w:noWrap/>
            <w:vAlign w:val="bottom"/>
          </w:tcPr>
          <w:p w14:paraId="5AF0522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GB" w:eastAsia="zh-CN"/>
              </w:rPr>
              <w:t>Financial</w:t>
            </w:r>
            <w:r>
              <w:rPr>
                <w:rFonts w:hint="default" w:ascii="Times New Roman" w:hAnsi="Times New Roman" w:cs="Times New Roman"/>
                <w:b/>
                <w:bCs/>
                <w:sz w:val="24"/>
                <w:szCs w:val="24"/>
                <w:u w:val="none"/>
                <w:lang w:val="en-US" w:eastAsia="zh-CN"/>
              </w:rPr>
              <w:t xml:space="preserve"> costs</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47FAA77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1437</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6228496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1597</w:t>
            </w:r>
          </w:p>
        </w:tc>
        <w:tc>
          <w:tcPr>
            <w:tcW w:w="743"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7348004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11.13%</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260BA664">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882</w:t>
            </w:r>
          </w:p>
        </w:tc>
        <w:tc>
          <w:tcPr>
            <w:tcW w:w="75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668A17E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-44.77%</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3ADC1299">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1527</w:t>
            </w:r>
          </w:p>
        </w:tc>
        <w:tc>
          <w:tcPr>
            <w:tcW w:w="777"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48F25AC4">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73.13%</w:t>
            </w:r>
          </w:p>
        </w:tc>
      </w:tr>
      <w:tr w14:paraId="30689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1009" w:type="pct"/>
            <w:tcBorders>
              <w:top w:val="single" w:color="000000" w:sz="4" w:space="0"/>
              <w:left w:val="single" w:color="000000" w:sz="4" w:space="0"/>
              <w:bottom w:val="single" w:color="000000" w:sz="4" w:space="0"/>
              <w:right w:val="single" w:color="000000" w:sz="4" w:space="0"/>
            </w:tcBorders>
            <w:shd w:val="clear"/>
            <w:noWrap/>
            <w:vAlign w:val="bottom"/>
          </w:tcPr>
          <w:p w14:paraId="0E05E17D">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net profit </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75F474A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9804</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7B783E3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7768</w:t>
            </w:r>
          </w:p>
        </w:tc>
        <w:tc>
          <w:tcPr>
            <w:tcW w:w="743"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38EAEEB7">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-20.77%</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755BCDD7">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9571</w:t>
            </w:r>
          </w:p>
        </w:tc>
        <w:tc>
          <w:tcPr>
            <w:tcW w:w="75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52438E5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23.21%</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2CB014B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10703</w:t>
            </w:r>
          </w:p>
        </w:tc>
        <w:tc>
          <w:tcPr>
            <w:tcW w:w="777"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314722D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11.83%</w:t>
            </w:r>
          </w:p>
        </w:tc>
      </w:tr>
      <w:tr w14:paraId="5E1BB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1009" w:type="pct"/>
            <w:tcBorders>
              <w:top w:val="single" w:color="000000" w:sz="4" w:space="0"/>
              <w:left w:val="single" w:color="000000" w:sz="4" w:space="0"/>
              <w:bottom w:val="single" w:color="000000" w:sz="4" w:space="0"/>
              <w:right w:val="single" w:color="000000" w:sz="4" w:space="0"/>
            </w:tcBorders>
            <w:shd w:val="clear"/>
            <w:noWrap/>
            <w:vAlign w:val="bottom"/>
          </w:tcPr>
          <w:p w14:paraId="64723CCE">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Cost of sales </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2EE2559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13433</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7C1FC6A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15357</w:t>
            </w:r>
          </w:p>
        </w:tc>
        <w:tc>
          <w:tcPr>
            <w:tcW w:w="743"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683B462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14.32%</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43437F6E">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18000</w:t>
            </w:r>
          </w:p>
        </w:tc>
        <w:tc>
          <w:tcPr>
            <w:tcW w:w="75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2CD797D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17.21%</w:t>
            </w:r>
          </w:p>
        </w:tc>
        <w:tc>
          <w:tcPr>
            <w:tcW w:w="429" w:type="pct"/>
            <w:tcBorders>
              <w:top w:val="single" w:color="000000" w:sz="4" w:space="0"/>
              <w:left w:val="single" w:color="000000" w:sz="4" w:space="0"/>
              <w:bottom w:val="single" w:color="000000" w:sz="4" w:space="0"/>
              <w:right w:val="single" w:color="000000" w:sz="4" w:space="0"/>
            </w:tcBorders>
            <w:shd w:val="clear"/>
            <w:noWrap/>
            <w:vAlign w:val="top"/>
          </w:tcPr>
          <w:p w14:paraId="78436637">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18520</w:t>
            </w:r>
          </w:p>
        </w:tc>
        <w:tc>
          <w:tcPr>
            <w:tcW w:w="777"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0FD4969B">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2.89%</w:t>
            </w:r>
          </w:p>
        </w:tc>
      </w:tr>
    </w:tbl>
    <w:p w14:paraId="54218D26">
      <w:pPr>
        <w:spacing w:line="360" w:lineRule="auto"/>
        <w:rPr>
          <w:rFonts w:hint="default" w:ascii="Times New Roman" w:hAnsi="Times New Roman" w:cs="Times New Roman"/>
          <w:b/>
          <w:bCs/>
          <w:sz w:val="24"/>
          <w:szCs w:val="24"/>
          <w:u w:val="none"/>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30"/>
        <w:gridCol w:w="816"/>
        <w:gridCol w:w="816"/>
        <w:gridCol w:w="1257"/>
        <w:gridCol w:w="816"/>
        <w:gridCol w:w="1254"/>
        <w:gridCol w:w="816"/>
        <w:gridCol w:w="1371"/>
      </w:tblGrid>
      <w:tr w14:paraId="65C3C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5000" w:type="pct"/>
            <w:gridSpan w:val="8"/>
            <w:vMerge w:val="restart"/>
            <w:tcBorders>
              <w:top w:val="single" w:color="000000" w:sz="4" w:space="0"/>
              <w:left w:val="single" w:color="000000" w:sz="4" w:space="0"/>
              <w:bottom w:val="single" w:color="000000" w:sz="4" w:space="0"/>
              <w:right w:val="single" w:color="000000" w:sz="4" w:space="0"/>
            </w:tcBorders>
            <w:shd w:val="clear"/>
            <w:noWrap/>
            <w:vAlign w:val="bottom"/>
          </w:tcPr>
          <w:p w14:paraId="2F5FB25B">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Balance sheet </w:t>
            </w:r>
          </w:p>
        </w:tc>
      </w:tr>
      <w:tr w14:paraId="12D72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90" w:hRule="atLeast"/>
        </w:trPr>
        <w:tc>
          <w:tcPr>
            <w:tcW w:w="5000" w:type="pct"/>
            <w:gridSpan w:val="8"/>
            <w:vMerge w:val="continue"/>
            <w:tcBorders>
              <w:top w:val="single" w:color="000000" w:sz="4" w:space="0"/>
              <w:left w:val="single" w:color="000000" w:sz="4" w:space="0"/>
              <w:bottom w:val="single" w:color="000000" w:sz="4" w:space="0"/>
              <w:right w:val="single" w:color="000000" w:sz="4" w:space="0"/>
            </w:tcBorders>
            <w:shd w:val="clear"/>
            <w:noWrap/>
            <w:vAlign w:val="bottom"/>
          </w:tcPr>
          <w:p w14:paraId="7F710544">
            <w:pPr>
              <w:spacing w:line="360" w:lineRule="auto"/>
              <w:rPr>
                <w:rFonts w:hint="default" w:ascii="Times New Roman" w:hAnsi="Times New Roman" w:cs="Times New Roman"/>
                <w:b/>
                <w:bCs/>
                <w:sz w:val="24"/>
                <w:szCs w:val="24"/>
                <w:u w:val="none"/>
              </w:rPr>
            </w:pPr>
          </w:p>
        </w:tc>
      </w:tr>
      <w:tr w14:paraId="10D88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226" w:type="pct"/>
            <w:tcBorders>
              <w:top w:val="single" w:color="000000" w:sz="4" w:space="0"/>
              <w:left w:val="single" w:color="000000" w:sz="4" w:space="0"/>
              <w:bottom w:val="single" w:color="000000" w:sz="4" w:space="0"/>
              <w:right w:val="single" w:color="000000" w:sz="4" w:space="0"/>
            </w:tcBorders>
            <w:shd w:val="clear"/>
            <w:noWrap/>
            <w:vAlign w:val="bottom"/>
          </w:tcPr>
          <w:p w14:paraId="4477C267">
            <w:pPr>
              <w:spacing w:line="360" w:lineRule="auto"/>
              <w:rPr>
                <w:rFonts w:hint="default" w:ascii="Times New Roman" w:hAnsi="Times New Roman" w:cs="Times New Roman"/>
                <w:b/>
                <w:bCs/>
                <w:sz w:val="24"/>
                <w:szCs w:val="24"/>
                <w:u w:val="none"/>
              </w:rPr>
            </w:pPr>
          </w:p>
        </w:tc>
        <w:tc>
          <w:tcPr>
            <w:tcW w:w="411"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592F4F61">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2020</w:t>
            </w:r>
          </w:p>
        </w:tc>
        <w:tc>
          <w:tcPr>
            <w:tcW w:w="411"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46ABA06E">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2021</w:t>
            </w:r>
          </w:p>
        </w:tc>
        <w:tc>
          <w:tcPr>
            <w:tcW w:w="691" w:type="pct"/>
            <w:tcBorders>
              <w:top w:val="single" w:color="000000" w:sz="4" w:space="0"/>
              <w:left w:val="single" w:color="000000" w:sz="4" w:space="0"/>
              <w:bottom w:val="single" w:color="000000" w:sz="4" w:space="0"/>
              <w:right w:val="single" w:color="000000" w:sz="4" w:space="0"/>
            </w:tcBorders>
            <w:shd w:val="clear" w:color="auto" w:fill="FFE699"/>
            <w:vAlign w:val="top"/>
          </w:tcPr>
          <w:p w14:paraId="5F42ADC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 change </w:t>
            </w:r>
          </w:p>
        </w:tc>
        <w:tc>
          <w:tcPr>
            <w:tcW w:w="411"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7E478C9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2022</w:t>
            </w:r>
          </w:p>
        </w:tc>
        <w:tc>
          <w:tcPr>
            <w:tcW w:w="689" w:type="pct"/>
            <w:tcBorders>
              <w:top w:val="single" w:color="000000" w:sz="4" w:space="0"/>
              <w:left w:val="single" w:color="000000" w:sz="4" w:space="0"/>
              <w:bottom w:val="single" w:color="000000" w:sz="4" w:space="0"/>
              <w:right w:val="single" w:color="000000" w:sz="4" w:space="0"/>
            </w:tcBorders>
            <w:shd w:val="clear" w:color="auto" w:fill="FFE699"/>
            <w:vAlign w:val="top"/>
          </w:tcPr>
          <w:p w14:paraId="7604EF11">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 change </w:t>
            </w:r>
          </w:p>
        </w:tc>
        <w:tc>
          <w:tcPr>
            <w:tcW w:w="411" w:type="pct"/>
            <w:tcBorders>
              <w:top w:val="single" w:color="000000" w:sz="4" w:space="0"/>
              <w:left w:val="single" w:color="000000" w:sz="4" w:space="0"/>
              <w:bottom w:val="single" w:color="000000" w:sz="4" w:space="0"/>
              <w:right w:val="single" w:color="000000" w:sz="4" w:space="0"/>
            </w:tcBorders>
            <w:shd w:val="clear" w:color="auto" w:fill="C6E0B4"/>
            <w:noWrap/>
            <w:vAlign w:val="top"/>
          </w:tcPr>
          <w:p w14:paraId="6236D35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2023</w:t>
            </w:r>
          </w:p>
        </w:tc>
        <w:tc>
          <w:tcPr>
            <w:tcW w:w="744" w:type="pct"/>
            <w:tcBorders>
              <w:top w:val="single" w:color="000000" w:sz="4" w:space="0"/>
              <w:left w:val="single" w:color="000000" w:sz="4" w:space="0"/>
              <w:bottom w:val="single" w:color="000000" w:sz="4" w:space="0"/>
              <w:right w:val="single" w:color="000000" w:sz="4" w:space="0"/>
            </w:tcBorders>
            <w:shd w:val="clear" w:color="auto" w:fill="FFE699"/>
            <w:vAlign w:val="top"/>
          </w:tcPr>
          <w:p w14:paraId="174934F9">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 change </w:t>
            </w:r>
          </w:p>
        </w:tc>
      </w:tr>
      <w:tr w14:paraId="503C9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1226" w:type="pct"/>
            <w:tcBorders>
              <w:top w:val="single" w:color="000000" w:sz="4" w:space="0"/>
              <w:left w:val="single" w:color="000000" w:sz="4" w:space="0"/>
              <w:bottom w:val="single" w:color="000000" w:sz="4" w:space="0"/>
              <w:right w:val="single" w:color="000000" w:sz="4" w:space="0"/>
            </w:tcBorders>
            <w:shd w:val="clear"/>
            <w:noWrap/>
            <w:vAlign w:val="bottom"/>
          </w:tcPr>
          <w:p w14:paraId="5FC12C5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Current assets</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5092949D">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19240</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2DC6D017">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22545</w:t>
            </w:r>
          </w:p>
        </w:tc>
        <w:tc>
          <w:tcPr>
            <w:tcW w:w="69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0D8BA82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17.18%</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397B30E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22591</w:t>
            </w:r>
          </w:p>
        </w:tc>
        <w:tc>
          <w:tcPr>
            <w:tcW w:w="689"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1021273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0.20%</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088FC867">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26732</w:t>
            </w:r>
          </w:p>
        </w:tc>
        <w:tc>
          <w:tcPr>
            <w:tcW w:w="744"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62EBFD6E">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18.33%</w:t>
            </w:r>
          </w:p>
        </w:tc>
      </w:tr>
      <w:tr w14:paraId="63AFE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226" w:type="pct"/>
            <w:tcBorders>
              <w:top w:val="single" w:color="000000" w:sz="4" w:space="0"/>
              <w:left w:val="single" w:color="000000" w:sz="4" w:space="0"/>
              <w:bottom w:val="single" w:color="000000" w:sz="4" w:space="0"/>
              <w:right w:val="single" w:color="000000" w:sz="4" w:space="0"/>
            </w:tcBorders>
            <w:shd w:val="clear"/>
            <w:noWrap/>
            <w:vAlign w:val="bottom"/>
          </w:tcPr>
          <w:p w14:paraId="30F9AF4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Non</w:t>
            </w:r>
            <w:r>
              <w:rPr>
                <w:rFonts w:hint="default" w:ascii="Times New Roman" w:hAnsi="Times New Roman" w:cs="Times New Roman"/>
                <w:b/>
                <w:bCs/>
                <w:sz w:val="24"/>
                <w:szCs w:val="24"/>
                <w:u w:val="none"/>
                <w:lang w:val="en-GB" w:eastAsia="zh-CN"/>
              </w:rPr>
              <w:t>-</w:t>
            </w:r>
            <w:r>
              <w:rPr>
                <w:rFonts w:hint="default" w:ascii="Times New Roman" w:hAnsi="Times New Roman" w:cs="Times New Roman"/>
                <w:b/>
                <w:bCs/>
                <w:sz w:val="24"/>
                <w:szCs w:val="24"/>
                <w:u w:val="none"/>
                <w:lang w:val="en-US" w:eastAsia="zh-CN"/>
              </w:rPr>
              <w:t xml:space="preserve">current </w:t>
            </w:r>
            <w:r>
              <w:rPr>
                <w:rFonts w:hint="default" w:ascii="Times New Roman" w:hAnsi="Times New Roman" w:cs="Times New Roman"/>
                <w:b/>
                <w:bCs/>
                <w:sz w:val="24"/>
                <w:szCs w:val="24"/>
                <w:u w:val="none"/>
                <w:lang w:val="en-GB" w:eastAsia="zh-CN"/>
              </w:rPr>
              <w:t>assets</w:t>
            </w:r>
            <w:r>
              <w:rPr>
                <w:rFonts w:hint="default" w:ascii="Times New Roman" w:hAnsi="Times New Roman" w:cs="Times New Roman"/>
                <w:b/>
                <w:bCs/>
                <w:sz w:val="24"/>
                <w:szCs w:val="24"/>
                <w:u w:val="none"/>
                <w:lang w:val="en-US" w:eastAsia="zh-CN"/>
              </w:rPr>
              <w:t xml:space="preserve"> </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2847D98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68054</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5496719D">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71809</w:t>
            </w:r>
          </w:p>
        </w:tc>
        <w:tc>
          <w:tcPr>
            <w:tcW w:w="69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02FB7914">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5.52%</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6FF3B65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70172</w:t>
            </w:r>
          </w:p>
        </w:tc>
        <w:tc>
          <w:tcPr>
            <w:tcW w:w="689"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2CE4141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-2.28%</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13E108F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70971</w:t>
            </w:r>
          </w:p>
        </w:tc>
        <w:tc>
          <w:tcPr>
            <w:tcW w:w="744"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3B45F6B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1.14%</w:t>
            </w:r>
          </w:p>
        </w:tc>
      </w:tr>
      <w:tr w14:paraId="1DDB8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1226" w:type="pct"/>
            <w:tcBorders>
              <w:top w:val="single" w:color="000000" w:sz="4" w:space="0"/>
              <w:left w:val="single" w:color="000000" w:sz="4" w:space="0"/>
              <w:bottom w:val="single" w:color="000000" w:sz="4" w:space="0"/>
              <w:right w:val="single" w:color="000000" w:sz="4" w:space="0"/>
            </w:tcBorders>
            <w:shd w:val="clear"/>
            <w:noWrap/>
            <w:vAlign w:val="bottom"/>
          </w:tcPr>
          <w:p w14:paraId="2AA7B3B8">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current liabilities </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003D03AD">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14601</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713B477F">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19950</w:t>
            </w:r>
          </w:p>
        </w:tc>
        <w:tc>
          <w:tcPr>
            <w:tcW w:w="69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690C9F4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36.63%</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0336005D">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19724</w:t>
            </w:r>
          </w:p>
        </w:tc>
        <w:tc>
          <w:tcPr>
            <w:tcW w:w="689"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56398D3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-1.13%</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0DFF89D4">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23571</w:t>
            </w:r>
          </w:p>
        </w:tc>
        <w:tc>
          <w:tcPr>
            <w:tcW w:w="744"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6D4C6EB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19.50%</w:t>
            </w:r>
          </w:p>
        </w:tc>
      </w:tr>
      <w:tr w14:paraId="5E82C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1226" w:type="pct"/>
            <w:tcBorders>
              <w:top w:val="single" w:color="000000" w:sz="4" w:space="0"/>
              <w:left w:val="single" w:color="000000" w:sz="4" w:space="0"/>
              <w:bottom w:val="single" w:color="000000" w:sz="4" w:space="0"/>
              <w:right w:val="single" w:color="000000" w:sz="4" w:space="0"/>
            </w:tcBorders>
            <w:shd w:val="clear"/>
            <w:noWrap/>
            <w:vAlign w:val="bottom"/>
          </w:tcPr>
          <w:p w14:paraId="13B981E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non current liabilities</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63D1EFDF">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51411</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43EBD645">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49544</w:t>
            </w:r>
          </w:p>
        </w:tc>
        <w:tc>
          <w:tcPr>
            <w:tcW w:w="69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0F127CFC">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-3.63%</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2862B717">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47213</w:t>
            </w:r>
          </w:p>
        </w:tc>
        <w:tc>
          <w:tcPr>
            <w:tcW w:w="689"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74393BC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-4.70%</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261116CD">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46649</w:t>
            </w:r>
          </w:p>
        </w:tc>
        <w:tc>
          <w:tcPr>
            <w:tcW w:w="744"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10527516">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-1.19%</w:t>
            </w:r>
          </w:p>
        </w:tc>
      </w:tr>
      <w:tr w14:paraId="54602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0" w:hRule="atLeast"/>
        </w:trPr>
        <w:tc>
          <w:tcPr>
            <w:tcW w:w="1226" w:type="pct"/>
            <w:tcBorders>
              <w:top w:val="single" w:color="000000" w:sz="4" w:space="0"/>
              <w:left w:val="single" w:color="000000" w:sz="4" w:space="0"/>
              <w:bottom w:val="single" w:color="000000" w:sz="4" w:space="0"/>
              <w:right w:val="single" w:color="000000" w:sz="4" w:space="0"/>
            </w:tcBorders>
            <w:shd w:val="clear"/>
            <w:noWrap/>
            <w:vAlign w:val="bottom"/>
          </w:tcPr>
          <w:p w14:paraId="1A7C5F8A">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 xml:space="preserve">equity </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3F0C8399">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21284</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461D8772">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24860</w:t>
            </w:r>
          </w:p>
        </w:tc>
        <w:tc>
          <w:tcPr>
            <w:tcW w:w="691"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4BFA0C9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16.80%</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58000EA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25826</w:t>
            </w:r>
          </w:p>
        </w:tc>
        <w:tc>
          <w:tcPr>
            <w:tcW w:w="689"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76ADF883">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3.89%</w:t>
            </w:r>
          </w:p>
        </w:tc>
        <w:tc>
          <w:tcPr>
            <w:tcW w:w="411" w:type="pct"/>
            <w:tcBorders>
              <w:top w:val="single" w:color="000000" w:sz="4" w:space="0"/>
              <w:left w:val="single" w:color="000000" w:sz="4" w:space="0"/>
              <w:bottom w:val="single" w:color="000000" w:sz="4" w:space="0"/>
              <w:right w:val="single" w:color="000000" w:sz="4" w:space="0"/>
            </w:tcBorders>
            <w:shd w:val="clear"/>
            <w:noWrap/>
            <w:vAlign w:val="top"/>
          </w:tcPr>
          <w:p w14:paraId="3A8C84D9">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27480</w:t>
            </w:r>
          </w:p>
        </w:tc>
        <w:tc>
          <w:tcPr>
            <w:tcW w:w="744" w:type="pct"/>
            <w:tcBorders>
              <w:top w:val="single" w:color="000000" w:sz="4" w:space="0"/>
              <w:left w:val="single" w:color="000000" w:sz="4" w:space="0"/>
              <w:bottom w:val="single" w:color="000000" w:sz="4" w:space="0"/>
              <w:right w:val="single" w:color="000000" w:sz="4" w:space="0"/>
            </w:tcBorders>
            <w:shd w:val="clear" w:color="auto" w:fill="FFE699"/>
            <w:noWrap/>
            <w:vAlign w:val="top"/>
          </w:tcPr>
          <w:p w14:paraId="4BD92430">
            <w:pPr>
              <w:spacing w:line="360" w:lineRule="auto"/>
              <w:rPr>
                <w:rFonts w:hint="default" w:ascii="Times New Roman" w:hAnsi="Times New Roman" w:cs="Times New Roman"/>
                <w:b/>
                <w:bCs/>
                <w:sz w:val="24"/>
                <w:szCs w:val="24"/>
                <w:u w:val="none"/>
              </w:rPr>
            </w:pPr>
            <w:r>
              <w:rPr>
                <w:rFonts w:hint="default" w:ascii="Times New Roman" w:hAnsi="Times New Roman" w:cs="Times New Roman"/>
                <w:b/>
                <w:bCs/>
                <w:sz w:val="24"/>
                <w:szCs w:val="24"/>
                <w:u w:val="none"/>
                <w:lang w:val="en-US" w:eastAsia="zh-CN"/>
              </w:rPr>
              <w:t>6.40%</w:t>
            </w:r>
          </w:p>
        </w:tc>
      </w:tr>
    </w:tbl>
    <w:p w14:paraId="6D13C483">
      <w:pPr>
        <w:spacing w:line="360" w:lineRule="auto"/>
        <w:rPr>
          <w:rFonts w:hint="default" w:ascii="Times New Roman" w:hAnsi="Times New Roman" w:cs="Times New Roman"/>
          <w:b/>
          <w:bCs/>
          <w:sz w:val="24"/>
          <w:szCs w:val="24"/>
          <w:u w:val="single"/>
        </w:rPr>
      </w:pPr>
    </w:p>
    <w:p w14:paraId="7EF48C0E">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REVENUE GROWTH</w:t>
      </w:r>
    </w:p>
    <w:p w14:paraId="2634A45E">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Coca-Cola’s revenue grew significantly from $33.01 billion in 2020 to $45.75 in 2023, reflecting an increase of nearly 39% over the four year period. The biggest increase happened between 2020 and 2021, with 17.09%  increase. This was due to the company’s recovery from the pandemic, which previously decreased sales as a result of businesses closing during lockdown (The Coca-Cola Company, 2022, p. 60; 2024, p. 61). the growth was also motivated by new product launch and expansion into global markets. However, from 2022 to 2023, growth slowed down to 6.4%, this was the effect of global inflation and changing consumer habits</w:t>
      </w:r>
      <w:r>
        <w:rPr>
          <w:rFonts w:hint="default" w:ascii="Times New Roman" w:hAnsi="Times New Roman"/>
          <w:b w:val="0"/>
          <w:bCs w:val="0"/>
          <w:sz w:val="24"/>
          <w:szCs w:val="24"/>
          <w:u w:val="none"/>
          <w:lang w:val="en-GB"/>
        </w:rPr>
        <w:t xml:space="preserve"> (The Coca-Cola Company, 2023). </w:t>
      </w:r>
    </w:p>
    <w:p w14:paraId="4006E164">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PROFITABILITY</w:t>
      </w:r>
    </w:p>
    <w:p w14:paraId="5F2A9FC8">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Operating profit rose steadily from $8.99 billion in 2020 to $11.31 billion in 2023, a 26% rise, driven by higher gross margins (from $19,581 billion to $27,234 billion) and disciplined SG&amp;A control despite rising input costs (The Coca-Cola Company, 2022, pp. 59–60; 2024, p. 61), Though the growth rate slowed down after 2021. Net profit however, dropped by -20.77% in 2021 due to post pandemic supply chain challenges and higher financial costs but quickly rebounded in 2022 and 2023 (The Coca-Cola Company, 2022, p. 60; 2024, p. 61). </w:t>
      </w:r>
    </w:p>
    <w:p w14:paraId="1B99F5D9">
      <w:pPr>
        <w:spacing w:line="360" w:lineRule="auto"/>
        <w:rPr>
          <w:rFonts w:hint="default" w:ascii="Times New Roman" w:hAnsi="Times New Roman"/>
          <w:b w:val="0"/>
          <w:bCs w:val="0"/>
          <w:sz w:val="24"/>
          <w:szCs w:val="24"/>
          <w:u w:val="none"/>
          <w:lang w:val="en-GB"/>
        </w:rPr>
      </w:pPr>
    </w:p>
    <w:p w14:paraId="23740D9C">
      <w:pPr>
        <w:spacing w:line="360" w:lineRule="auto"/>
        <w:rPr>
          <w:rFonts w:hint="default" w:ascii="Times New Roman" w:hAnsi="Times New Roman"/>
          <w:b/>
          <w:bCs/>
          <w:sz w:val="24"/>
          <w:szCs w:val="24"/>
          <w:u w:val="none"/>
          <w:lang w:val="en-GB"/>
        </w:rPr>
      </w:pPr>
    </w:p>
    <w:p w14:paraId="05F7FFF5">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ASSETS</w:t>
      </w:r>
    </w:p>
    <w:p w14:paraId="6047E9AF">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Coca-Cola’s current assets increase from $19.24 billion in 2020 to $26.73 billion in 2023, indicating a growth of 18.33%. the growth was primarily  driven by higher receivables and increased cash reserves (The Coca-Cola Company, 2024). non-current assets remained stable, fluctuating between $70 billion and $72 billion over the same period. It’s stability suggests Coca-Cola followed a steady investment approach during this period. The asset growth aligns with Coca-Cola’s modernization of supply chain, sustained investment in digital technologies and reflecting strategic initiative targeted at improving efficiency and innovation (Coca-Cola Company, 2024).</w:t>
      </w:r>
    </w:p>
    <w:p w14:paraId="7F8C8301">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LIABILITIES</w:t>
      </w:r>
    </w:p>
    <w:p w14:paraId="07D23841">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Current liabilities increased drastically from $14.60 billion in 2020 to $23.57 billion in 2023,  in line with higher payable and short term borrowing. Non-current liabilities has declined over the four year period, from $51 billion in 2020 to $46.65 billion in 2023, showing a deliberate effort to reduce long-term debt exposure (The Coca-Cola Company, 2022, p. 63; 2024, p. 63).</w:t>
      </w:r>
    </w:p>
    <w:p w14:paraId="605438DB">
      <w:pPr>
        <w:spacing w:line="360" w:lineRule="auto"/>
        <w:rPr>
          <w:rFonts w:hint="default" w:ascii="Times New Roman" w:hAnsi="Times New Roman"/>
          <w:b/>
          <w:bCs/>
          <w:sz w:val="24"/>
          <w:szCs w:val="24"/>
          <w:u w:val="none"/>
          <w:lang w:val="en-GB"/>
        </w:rPr>
      </w:pPr>
    </w:p>
    <w:p w14:paraId="4976B1E0">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EQUITY</w:t>
      </w:r>
    </w:p>
    <w:p w14:paraId="75F97891">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Shareholder’s equity increased from $21.28 billion in 2020 to $27.48 billion in 2023. this shows a rise of roughly $6.2 billion over the period, Indicating that the company’s net worth has grown.  The fundamental reason for this increase is strong retained earnings (The Coca-Cola Company, 2022, p. 64; 2024, p. 63). </w:t>
      </w:r>
    </w:p>
    <w:p w14:paraId="12D8D9B2">
      <w:pPr>
        <w:spacing w:line="360" w:lineRule="auto"/>
        <w:rPr>
          <w:rFonts w:hint="default" w:ascii="Times New Roman" w:hAnsi="Times New Roman"/>
          <w:b w:val="0"/>
          <w:bCs w:val="0"/>
          <w:sz w:val="24"/>
          <w:szCs w:val="24"/>
          <w:u w:val="none"/>
          <w:lang w:val="en-GB"/>
        </w:rPr>
      </w:pPr>
    </w:p>
    <w:p w14:paraId="6CD8D8D0">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ACCOUNTING POLICIES CHANGES</w:t>
      </w:r>
    </w:p>
    <w:p w14:paraId="4E9D7E1C">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Coca-Cola did not adopt any major change in it’s accounting policies between 2020 to 2023. the company maintained it’s compliance to U.S GAAP, there was no indication of restatement or changes in accounting methods(The Coca-Cola Company, 2024). </w:t>
      </w:r>
    </w:p>
    <w:p w14:paraId="7D30E3BC">
      <w:pPr>
        <w:spacing w:line="360" w:lineRule="auto"/>
        <w:rPr>
          <w:rFonts w:hint="default" w:ascii="Times New Roman" w:hAnsi="Times New Roman"/>
          <w:b w:val="0"/>
          <w:bCs w:val="0"/>
          <w:sz w:val="24"/>
          <w:szCs w:val="24"/>
          <w:u w:val="none"/>
        </w:rPr>
      </w:pPr>
    </w:p>
    <w:p w14:paraId="59E6A2DC">
      <w:pPr>
        <w:spacing w:line="360" w:lineRule="auto"/>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RATIOS</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4"/>
        <w:gridCol w:w="2490"/>
        <w:gridCol w:w="1684"/>
        <w:gridCol w:w="1306"/>
        <w:gridCol w:w="1368"/>
      </w:tblGrid>
      <w:tr w14:paraId="7717F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9D08E"/>
            <w:noWrap/>
            <w:vAlign w:val="bottom"/>
          </w:tcPr>
          <w:p w14:paraId="5B3E20FF">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Summary of ratios</w:t>
            </w:r>
          </w:p>
        </w:tc>
        <w:tc>
          <w:tcPr>
            <w:tcW w:w="1300" w:type="pct"/>
            <w:tcBorders>
              <w:top w:val="single" w:color="000000" w:sz="4" w:space="0"/>
              <w:left w:val="single" w:color="000000" w:sz="4" w:space="0"/>
              <w:bottom w:val="single" w:color="000000" w:sz="4" w:space="0"/>
              <w:right w:val="single" w:color="000000" w:sz="4" w:space="0"/>
            </w:tcBorders>
            <w:shd w:val="clear" w:color="auto" w:fill="A9D08E"/>
            <w:noWrap/>
            <w:vAlign w:val="bottom"/>
          </w:tcPr>
          <w:p w14:paraId="6442AD9E">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2020</w:t>
            </w:r>
          </w:p>
        </w:tc>
        <w:tc>
          <w:tcPr>
            <w:tcW w:w="879" w:type="pct"/>
            <w:tcBorders>
              <w:top w:val="single" w:color="000000" w:sz="4" w:space="0"/>
              <w:left w:val="single" w:color="000000" w:sz="4" w:space="0"/>
              <w:bottom w:val="single" w:color="000000" w:sz="4" w:space="0"/>
              <w:right w:val="single" w:color="000000" w:sz="4" w:space="0"/>
            </w:tcBorders>
            <w:shd w:val="clear" w:color="auto" w:fill="A9D08E"/>
            <w:noWrap/>
            <w:vAlign w:val="bottom"/>
          </w:tcPr>
          <w:p w14:paraId="606F4BAD">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2021</w:t>
            </w:r>
          </w:p>
        </w:tc>
        <w:tc>
          <w:tcPr>
            <w:tcW w:w="682" w:type="pct"/>
            <w:tcBorders>
              <w:top w:val="single" w:color="000000" w:sz="4" w:space="0"/>
              <w:left w:val="single" w:color="000000" w:sz="4" w:space="0"/>
              <w:bottom w:val="single" w:color="000000" w:sz="4" w:space="0"/>
              <w:right w:val="single" w:color="000000" w:sz="4" w:space="0"/>
            </w:tcBorders>
            <w:shd w:val="clear" w:color="auto" w:fill="A9D08E"/>
            <w:noWrap/>
            <w:vAlign w:val="bottom"/>
          </w:tcPr>
          <w:p w14:paraId="77B4AEDB">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2022</w:t>
            </w:r>
          </w:p>
        </w:tc>
        <w:tc>
          <w:tcPr>
            <w:tcW w:w="714" w:type="pct"/>
            <w:tcBorders>
              <w:top w:val="single" w:color="000000" w:sz="4" w:space="0"/>
              <w:left w:val="single" w:color="000000" w:sz="4" w:space="0"/>
              <w:bottom w:val="single" w:color="000000" w:sz="4" w:space="0"/>
              <w:right w:val="single" w:color="000000" w:sz="4" w:space="0"/>
            </w:tcBorders>
            <w:shd w:val="clear" w:color="auto" w:fill="A9D08E"/>
            <w:noWrap/>
            <w:vAlign w:val="bottom"/>
          </w:tcPr>
          <w:p w14:paraId="71299F2A">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2023</w:t>
            </w:r>
          </w:p>
        </w:tc>
      </w:tr>
      <w:tr w14:paraId="60022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4B852AC4">
            <w:pPr>
              <w:keepNext w:val="0"/>
              <w:keepLines w:val="0"/>
              <w:widowControl/>
              <w:suppressLineNumbers w:val="0"/>
              <w:spacing w:line="360" w:lineRule="auto"/>
              <w:jc w:val="lef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profitability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28EADB">
            <w:pPr>
              <w:spacing w:line="360" w:lineRule="auto"/>
              <w:rPr>
                <w:rFonts w:hint="default" w:ascii="Times New Roman" w:hAnsi="Times New Roman" w:cs="Times New Roman"/>
                <w:b/>
                <w:bCs/>
                <w:i w:val="0"/>
                <w:iCs w:val="0"/>
                <w:color w:val="000000"/>
                <w:sz w:val="24"/>
                <w:szCs w:val="24"/>
                <w:u w:val="none"/>
              </w:rPr>
            </w:pP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333DF3">
            <w:pPr>
              <w:spacing w:line="360" w:lineRule="auto"/>
              <w:rPr>
                <w:rFonts w:hint="default" w:ascii="Times New Roman" w:hAnsi="Times New Roman" w:cs="Times New Roman"/>
                <w:b/>
                <w:bCs/>
                <w:i w:val="0"/>
                <w:iCs w:val="0"/>
                <w:color w:val="000000"/>
                <w:sz w:val="24"/>
                <w:szCs w:val="24"/>
                <w:u w:val="none"/>
              </w:rPr>
            </w:pP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12C700">
            <w:pPr>
              <w:spacing w:line="360" w:lineRule="auto"/>
              <w:rPr>
                <w:rFonts w:hint="default" w:ascii="Times New Roman" w:hAnsi="Times New Roman" w:cs="Times New Roman"/>
                <w:b/>
                <w:bCs/>
                <w:i w:val="0"/>
                <w:iCs w:val="0"/>
                <w:color w:val="000000"/>
                <w:sz w:val="24"/>
                <w:szCs w:val="24"/>
                <w:u w:val="none"/>
              </w:rPr>
            </w:pP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295218">
            <w:pPr>
              <w:spacing w:line="360" w:lineRule="auto"/>
              <w:rPr>
                <w:rFonts w:hint="default" w:ascii="Times New Roman" w:hAnsi="Times New Roman" w:cs="Times New Roman"/>
                <w:b/>
                <w:bCs/>
                <w:i w:val="0"/>
                <w:iCs w:val="0"/>
                <w:color w:val="000000"/>
                <w:sz w:val="24"/>
                <w:szCs w:val="24"/>
                <w:u w:val="none"/>
              </w:rPr>
            </w:pPr>
          </w:p>
        </w:tc>
      </w:tr>
      <w:tr w14:paraId="707DA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9C0D7B">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ROCE</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B9C6CD">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12.38%</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92AEFC">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13.85%</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9223AC">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14.94%</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55992B">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15.26%</w:t>
            </w:r>
          </w:p>
        </w:tc>
      </w:tr>
      <w:tr w14:paraId="46B92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97E307">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Operating profit margin</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0185A4">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27.25%</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D2D067">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26.67%</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29120A">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25.37%</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AA26E0">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24.72%</w:t>
            </w:r>
          </w:p>
        </w:tc>
      </w:tr>
      <w:tr w14:paraId="341FD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ADF102">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return on assets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328F0E">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11.23%</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C9FA10">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8.23%</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2677676">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10.32%</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2499C0">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10.95%</w:t>
            </w:r>
          </w:p>
        </w:tc>
      </w:tr>
      <w:tr w14:paraId="67FBB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1422"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128D59E7">
            <w:pPr>
              <w:keepNext w:val="0"/>
              <w:keepLines w:val="0"/>
              <w:widowControl/>
              <w:suppressLineNumbers w:val="0"/>
              <w:spacing w:line="360" w:lineRule="auto"/>
              <w:jc w:val="lef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Efficiency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B058D6">
            <w:pPr>
              <w:spacing w:line="360" w:lineRule="auto"/>
              <w:rPr>
                <w:rFonts w:hint="default" w:ascii="Times New Roman" w:hAnsi="Times New Roman" w:cs="Times New Roman"/>
                <w:b/>
                <w:bCs/>
                <w:i w:val="0"/>
                <w:iCs w:val="0"/>
                <w:color w:val="000000"/>
                <w:sz w:val="24"/>
                <w:szCs w:val="24"/>
                <w:u w:val="none"/>
              </w:rPr>
            </w:pP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F1733E">
            <w:pPr>
              <w:spacing w:line="360" w:lineRule="auto"/>
              <w:rPr>
                <w:rFonts w:hint="default" w:ascii="Times New Roman" w:hAnsi="Times New Roman" w:cs="Times New Roman"/>
                <w:b/>
                <w:bCs/>
                <w:i w:val="0"/>
                <w:iCs w:val="0"/>
                <w:color w:val="000000"/>
                <w:sz w:val="24"/>
                <w:szCs w:val="24"/>
                <w:u w:val="none"/>
              </w:rPr>
            </w:pP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73C66D">
            <w:pPr>
              <w:spacing w:line="360" w:lineRule="auto"/>
              <w:rPr>
                <w:rFonts w:hint="default" w:ascii="Times New Roman" w:hAnsi="Times New Roman" w:cs="Times New Roman"/>
                <w:b/>
                <w:bCs/>
                <w:i w:val="0"/>
                <w:iCs w:val="0"/>
                <w:color w:val="000000"/>
                <w:sz w:val="24"/>
                <w:szCs w:val="24"/>
                <w:u w:val="none"/>
              </w:rPr>
            </w:pP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7852A5">
            <w:pPr>
              <w:spacing w:line="360" w:lineRule="auto"/>
              <w:rPr>
                <w:rFonts w:hint="default" w:ascii="Times New Roman" w:hAnsi="Times New Roman" w:cs="Times New Roman"/>
                <w:b/>
                <w:bCs/>
                <w:i w:val="0"/>
                <w:iCs w:val="0"/>
                <w:color w:val="000000"/>
                <w:sz w:val="24"/>
                <w:szCs w:val="24"/>
                <w:u w:val="none"/>
              </w:rPr>
            </w:pPr>
          </w:p>
        </w:tc>
      </w:tr>
      <w:tr w14:paraId="0D3DE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0A597E">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Inventory Turnover days</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B84459">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89</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DE6FC5">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81</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9BAA6F">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86</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037BEF">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87</w:t>
            </w:r>
          </w:p>
        </w:tc>
      </w:tr>
      <w:tr w14:paraId="2A9C3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5"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00F990">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receivable Turnover days</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0A45B4">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35</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EBE293">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33</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2753B9">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30</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9157D9">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27</w:t>
            </w:r>
          </w:p>
        </w:tc>
      </w:tr>
      <w:tr w14:paraId="36DBD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4284818B">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liquidity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ED6784">
            <w:pPr>
              <w:spacing w:line="360" w:lineRule="auto"/>
              <w:rPr>
                <w:rFonts w:hint="default" w:ascii="Times New Roman" w:hAnsi="Times New Roman" w:cs="Times New Roman"/>
                <w:b/>
                <w:bCs/>
                <w:i w:val="0"/>
                <w:iCs w:val="0"/>
                <w:color w:val="000000"/>
                <w:sz w:val="24"/>
                <w:szCs w:val="24"/>
                <w:u w:val="none"/>
              </w:rPr>
            </w:pP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CEC297">
            <w:pPr>
              <w:spacing w:line="360" w:lineRule="auto"/>
              <w:rPr>
                <w:rFonts w:hint="default" w:ascii="Times New Roman" w:hAnsi="Times New Roman" w:cs="Times New Roman"/>
                <w:b/>
                <w:bCs/>
                <w:i w:val="0"/>
                <w:iCs w:val="0"/>
                <w:color w:val="000000"/>
                <w:sz w:val="24"/>
                <w:szCs w:val="24"/>
                <w:u w:val="none"/>
              </w:rPr>
            </w:pP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AD40FE">
            <w:pPr>
              <w:spacing w:line="360" w:lineRule="auto"/>
              <w:rPr>
                <w:rFonts w:hint="default" w:ascii="Times New Roman" w:hAnsi="Times New Roman" w:cs="Times New Roman"/>
                <w:b/>
                <w:bCs/>
                <w:i w:val="0"/>
                <w:iCs w:val="0"/>
                <w:color w:val="000000"/>
                <w:sz w:val="24"/>
                <w:szCs w:val="24"/>
                <w:u w:val="none"/>
              </w:rPr>
            </w:pP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5FED8B">
            <w:pPr>
              <w:spacing w:line="360" w:lineRule="auto"/>
              <w:rPr>
                <w:rFonts w:hint="default" w:ascii="Times New Roman" w:hAnsi="Times New Roman" w:cs="Times New Roman"/>
                <w:b/>
                <w:bCs/>
                <w:i w:val="0"/>
                <w:iCs w:val="0"/>
                <w:color w:val="000000"/>
                <w:sz w:val="24"/>
                <w:szCs w:val="24"/>
                <w:u w:val="none"/>
              </w:rPr>
            </w:pPr>
          </w:p>
        </w:tc>
      </w:tr>
      <w:tr w14:paraId="3A981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F15508">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Current ratio</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02E45D">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1.32</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EDA351">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1.13</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9F152C">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1.15</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C60917">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1.13</w:t>
            </w:r>
          </w:p>
        </w:tc>
      </w:tr>
      <w:tr w14:paraId="0CA1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2"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F510CD">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Quick ratio</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458841">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1.09</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F1151E">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0.96</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407BEF">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0.93</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1EC66C">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0.95</w:t>
            </w:r>
          </w:p>
        </w:tc>
      </w:tr>
      <w:tr w14:paraId="22C7E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5" w:hRule="atLeast"/>
        </w:trPr>
        <w:tc>
          <w:tcPr>
            <w:tcW w:w="1422"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49AA3A55">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Gearing Ratio</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27336B">
            <w:pPr>
              <w:spacing w:line="360" w:lineRule="auto"/>
              <w:rPr>
                <w:rFonts w:hint="default" w:ascii="Times New Roman" w:hAnsi="Times New Roman" w:cs="Times New Roman"/>
                <w:b/>
                <w:bCs/>
                <w:i w:val="0"/>
                <w:iCs w:val="0"/>
                <w:color w:val="000000"/>
                <w:sz w:val="24"/>
                <w:szCs w:val="24"/>
                <w:u w:val="none"/>
              </w:rPr>
            </w:pP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10C0B1">
            <w:pPr>
              <w:spacing w:line="360" w:lineRule="auto"/>
              <w:rPr>
                <w:rFonts w:hint="default" w:ascii="Times New Roman" w:hAnsi="Times New Roman" w:cs="Times New Roman"/>
                <w:b/>
                <w:bCs/>
                <w:i w:val="0"/>
                <w:iCs w:val="0"/>
                <w:color w:val="000000"/>
                <w:sz w:val="24"/>
                <w:szCs w:val="24"/>
                <w:u w:val="none"/>
              </w:rPr>
            </w:pP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FE086D">
            <w:pPr>
              <w:spacing w:line="360" w:lineRule="auto"/>
              <w:rPr>
                <w:rFonts w:hint="default" w:ascii="Times New Roman" w:hAnsi="Times New Roman" w:cs="Times New Roman"/>
                <w:b/>
                <w:bCs/>
                <w:i w:val="0"/>
                <w:iCs w:val="0"/>
                <w:color w:val="000000"/>
                <w:sz w:val="24"/>
                <w:szCs w:val="24"/>
                <w:u w:val="none"/>
              </w:rPr>
            </w:pP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C72792">
            <w:pPr>
              <w:spacing w:line="360" w:lineRule="auto"/>
              <w:rPr>
                <w:rFonts w:hint="default" w:ascii="Times New Roman" w:hAnsi="Times New Roman" w:cs="Times New Roman"/>
                <w:b/>
                <w:bCs/>
                <w:i w:val="0"/>
                <w:iCs w:val="0"/>
                <w:color w:val="000000"/>
                <w:sz w:val="24"/>
                <w:szCs w:val="24"/>
                <w:u w:val="none"/>
              </w:rPr>
            </w:pPr>
          </w:p>
        </w:tc>
      </w:tr>
      <w:tr w14:paraId="763CF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D264C4">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interest cover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890535">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6.26</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EA1CB3">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6.45</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68C1D0">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12.37</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83E0C0">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7.41</w:t>
            </w:r>
          </w:p>
        </w:tc>
      </w:tr>
      <w:tr w14:paraId="6B4B2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0951CA">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gering ratio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38B5F1">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71%</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64952D">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67%</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FC031F">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65%</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B3B269">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63%</w:t>
            </w:r>
          </w:p>
        </w:tc>
      </w:tr>
      <w:tr w14:paraId="72BA8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2" w:hRule="atLeast"/>
        </w:trPr>
        <w:tc>
          <w:tcPr>
            <w:tcW w:w="1422"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6567D667">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Investment potential ratio</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C231D2">
            <w:pPr>
              <w:spacing w:line="360" w:lineRule="auto"/>
              <w:rPr>
                <w:rFonts w:hint="default" w:ascii="Times New Roman" w:hAnsi="Times New Roman" w:cs="Times New Roman"/>
                <w:b/>
                <w:bCs/>
                <w:i w:val="0"/>
                <w:iCs w:val="0"/>
                <w:color w:val="000000"/>
                <w:sz w:val="24"/>
                <w:szCs w:val="24"/>
                <w:u w:val="none"/>
              </w:rPr>
            </w:pP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E6A292">
            <w:pPr>
              <w:spacing w:line="360" w:lineRule="auto"/>
              <w:rPr>
                <w:rFonts w:hint="default" w:ascii="Times New Roman" w:hAnsi="Times New Roman" w:cs="Times New Roman"/>
                <w:b/>
                <w:bCs/>
                <w:i w:val="0"/>
                <w:iCs w:val="0"/>
                <w:color w:val="000000"/>
                <w:sz w:val="24"/>
                <w:szCs w:val="24"/>
                <w:u w:val="none"/>
              </w:rPr>
            </w:pP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026CF5">
            <w:pPr>
              <w:spacing w:line="360" w:lineRule="auto"/>
              <w:rPr>
                <w:rFonts w:hint="default" w:ascii="Times New Roman" w:hAnsi="Times New Roman" w:cs="Times New Roman"/>
                <w:b/>
                <w:bCs/>
                <w:i w:val="0"/>
                <w:iCs w:val="0"/>
                <w:color w:val="000000"/>
                <w:sz w:val="24"/>
                <w:szCs w:val="24"/>
                <w:u w:val="none"/>
              </w:rPr>
            </w:pP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0C7CA4">
            <w:pPr>
              <w:spacing w:line="360" w:lineRule="auto"/>
              <w:rPr>
                <w:rFonts w:hint="default" w:ascii="Times New Roman" w:hAnsi="Times New Roman" w:cs="Times New Roman"/>
                <w:b/>
                <w:bCs/>
                <w:i w:val="0"/>
                <w:iCs w:val="0"/>
                <w:color w:val="000000"/>
                <w:sz w:val="24"/>
                <w:szCs w:val="24"/>
                <w:u w:val="none"/>
              </w:rPr>
            </w:pPr>
          </w:p>
        </w:tc>
      </w:tr>
      <w:tr w14:paraId="32C82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5" w:hRule="atLeast"/>
        </w:trPr>
        <w:tc>
          <w:tcPr>
            <w:tcW w:w="1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CEDEB7">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earning per share </w:t>
            </w:r>
          </w:p>
        </w:tc>
        <w:tc>
          <w:tcPr>
            <w:tcW w:w="13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A41B7D">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1.39</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DAE5C9">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1.10</w:t>
            </w:r>
          </w:p>
        </w:tc>
        <w:tc>
          <w:tcPr>
            <w:tcW w:w="68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5717D7">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1.36</w:t>
            </w:r>
          </w:p>
        </w:tc>
        <w:tc>
          <w:tcPr>
            <w:tcW w:w="71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20EA66">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1.52</w:t>
            </w:r>
          </w:p>
        </w:tc>
      </w:tr>
    </w:tbl>
    <w:p w14:paraId="11DDF8A2">
      <w:pPr>
        <w:spacing w:line="360" w:lineRule="auto"/>
        <w:rPr>
          <w:rFonts w:hint="default" w:ascii="Times New Roman" w:hAnsi="Times New Roman" w:cs="Times New Roman"/>
          <w:b/>
          <w:bCs/>
          <w:sz w:val="24"/>
          <w:szCs w:val="24"/>
          <w:u w:val="single"/>
          <w:lang w:val="en-GB"/>
        </w:rPr>
      </w:pPr>
    </w:p>
    <w:p w14:paraId="179CC321">
      <w:pPr>
        <w:spacing w:line="360" w:lineRule="auto"/>
        <w:rPr>
          <w:rFonts w:hint="default" w:ascii="Times New Roman" w:hAnsi="Times New Roman" w:cs="Times New Roman"/>
          <w:b/>
          <w:bCs/>
          <w:sz w:val="24"/>
          <w:szCs w:val="24"/>
          <w:u w:val="single"/>
        </w:rPr>
      </w:pPr>
    </w:p>
    <w:p w14:paraId="5B06B514">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EVALUATION</w:t>
      </w:r>
    </w:p>
    <w:p w14:paraId="221A01EC">
      <w:pPr>
        <w:spacing w:line="360" w:lineRule="auto"/>
        <w:rPr>
          <w:rFonts w:hint="default" w:ascii="Times New Roman" w:hAnsi="Times New Roman" w:cs="Times New Roman"/>
          <w:b/>
          <w:bCs/>
          <w:sz w:val="24"/>
          <w:szCs w:val="24"/>
          <w:u w:val="none"/>
          <w:lang w:val="en-GB"/>
        </w:rPr>
      </w:pPr>
      <w:r>
        <w:rPr>
          <w:rFonts w:hint="default" w:ascii="Times New Roman" w:hAnsi="Times New Roman" w:cs="Times New Roman"/>
          <w:b/>
          <w:bCs/>
          <w:sz w:val="24"/>
          <w:szCs w:val="24"/>
          <w:u w:val="none"/>
          <w:lang w:val="en-GB"/>
        </w:rPr>
        <w:t>PROFITABILITY RATIO</w:t>
      </w:r>
    </w:p>
    <w:p w14:paraId="38D704B5">
      <w:pPr>
        <w:spacing w:line="360" w:lineRule="auto"/>
        <w:rPr>
          <w:rFonts w:hint="default" w:ascii="Times New Roman" w:hAnsi="Times New Roman"/>
          <w:b w:val="0"/>
          <w:bCs w:val="0"/>
          <w:sz w:val="24"/>
          <w:szCs w:val="24"/>
          <w:u w:val="none"/>
          <w:lang w:val="en-GB"/>
        </w:rPr>
      </w:pPr>
      <w:r>
        <w:rPr>
          <w:rFonts w:hint="default" w:ascii="Times New Roman" w:hAnsi="Times New Roman" w:cs="Times New Roman"/>
          <w:b w:val="0"/>
          <w:bCs w:val="0"/>
          <w:sz w:val="24"/>
          <w:szCs w:val="24"/>
          <w:u w:val="none"/>
          <w:lang w:val="en-GB"/>
        </w:rPr>
        <w:t>The trajectory of the profitability ratios were mixed through the four years. Between 2020 and 2023 Coca-Cola became more efficient at generating profits from money invested in the business. Its ROCE increased</w:t>
      </w:r>
      <w:r>
        <w:rPr>
          <w:rFonts w:hint="default" w:ascii="Times New Roman" w:hAnsi="Times New Roman"/>
          <w:b w:val="0"/>
          <w:bCs w:val="0"/>
          <w:sz w:val="24"/>
          <w:szCs w:val="24"/>
          <w:u w:val="none"/>
          <w:lang w:val="en-GB"/>
        </w:rPr>
        <w:t xml:space="preserve"> steadily from 12.4% to 15.3%, showing strong performance. However,  ROA fell in 2021 due to pandemic impact from closed business but recovered to 10.95% </w:t>
      </w:r>
      <w:r>
        <w:rPr>
          <w:rFonts w:hint="default" w:ascii="Times New Roman" w:hAnsi="Times New Roman"/>
          <w:b w:val="0"/>
          <w:bCs w:val="0"/>
          <w:sz w:val="24"/>
          <w:szCs w:val="24"/>
          <w:u w:val="none"/>
          <w:lang w:val="en-GB"/>
        </w:rPr>
        <w:t xml:space="preserve">by 2023 (Coca-Cola, 2022, p. 60). Furthermore, operating profit margin shrank slightly each year, from 27.3% to 24.7% because of the rising costs of production and reinvestment in marketing to drive growth in key markets (Coca-Cola, 2024, p. 61). </w:t>
      </w:r>
      <w:r>
        <w:rPr>
          <w:rFonts w:hint="default" w:ascii="Times New Roman" w:hAnsi="Times New Roman"/>
          <w:b w:val="0"/>
          <w:bCs w:val="0"/>
          <w:sz w:val="24"/>
          <w:szCs w:val="24"/>
          <w:u w:val="none"/>
          <w:lang w:val="en-GB"/>
        </w:rPr>
        <w:t>In comparison, Pepsi-Co's 2023 has an operating margin of  21.8% which falls below Coca-Cola’s 24.7%, illustrating Coke’s stronger cost leverage in its concentrate model.</w:t>
      </w:r>
    </w:p>
    <w:p w14:paraId="63AB3D4B">
      <w:pPr>
        <w:spacing w:line="360" w:lineRule="auto"/>
        <w:rPr>
          <w:rFonts w:hint="default" w:ascii="Times New Roman" w:hAnsi="Times New Roman"/>
          <w:b/>
          <w:bCs/>
          <w:sz w:val="24"/>
          <w:szCs w:val="24"/>
          <w:u w:val="none"/>
          <w:lang w:val="en-GB"/>
        </w:rPr>
      </w:pPr>
    </w:p>
    <w:p w14:paraId="7E0B9BE5">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EFFICIENCY RATIO</w:t>
      </w:r>
    </w:p>
    <w:p w14:paraId="51DE2325">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Coca-Cola’s Inventory turnover days is mixed. The company became more efficient in taking their money from customers between 2020 and 2023. </w:t>
      </w:r>
      <w:r>
        <w:rPr>
          <w:rFonts w:hint="default" w:ascii="Times New Roman" w:hAnsi="Times New Roman"/>
          <w:b w:val="0"/>
          <w:bCs w:val="0"/>
          <w:sz w:val="24"/>
          <w:szCs w:val="24"/>
          <w:u w:val="none"/>
          <w:lang w:val="en-GB"/>
        </w:rPr>
        <w:t xml:space="preserve">Receivables days improved steadily from 35 days in 2020 to just 27 days in 2023. however, inventory days fell to 81 days in 2021, then rose to 87 days in 2023. the 2021 fall was a result of fewer retail sales during the pandemic and tighter supply planning(Coca-Cola, 2022, pp. 62–63). </w:t>
      </w:r>
      <w:r>
        <w:rPr>
          <w:rFonts w:hint="default" w:ascii="Times New Roman" w:hAnsi="Times New Roman"/>
          <w:b w:val="0"/>
          <w:bCs w:val="0"/>
          <w:sz w:val="24"/>
          <w:szCs w:val="24"/>
          <w:u w:val="none"/>
          <w:lang w:val="en-GB"/>
        </w:rPr>
        <w:t xml:space="preserve">Restaurants and cinemas fully reopened after the pandemic which resulted in the gradual increase of inventory days from 2022 - 2023 </w:t>
      </w:r>
      <w:r>
        <w:rPr>
          <w:rFonts w:hint="default" w:ascii="Times New Roman" w:hAnsi="Times New Roman"/>
          <w:b w:val="0"/>
          <w:bCs w:val="0"/>
          <w:sz w:val="24"/>
          <w:szCs w:val="24"/>
          <w:u w:val="none"/>
          <w:lang w:val="en-GB"/>
        </w:rPr>
        <w:t>(Coca-Cola, 2024, p. 63)</w:t>
      </w:r>
      <w:r>
        <w:rPr>
          <w:rFonts w:hint="default" w:ascii="Times New Roman" w:hAnsi="Times New Roman"/>
          <w:b w:val="0"/>
          <w:bCs w:val="0"/>
          <w:sz w:val="24"/>
          <w:szCs w:val="24"/>
          <w:u w:val="none"/>
          <w:lang w:val="en-GB"/>
        </w:rPr>
        <w:t>. By 2023, Coca-Cola’s 27 receivable days compared favorably to Pepsi-Co’s 36 days, underlining Coke’s disciplined cash collection.</w:t>
      </w:r>
    </w:p>
    <w:p w14:paraId="0F391916">
      <w:pPr>
        <w:spacing w:line="360" w:lineRule="auto"/>
        <w:rPr>
          <w:rFonts w:hint="default" w:ascii="Times New Roman" w:hAnsi="Times New Roman"/>
          <w:b w:val="0"/>
          <w:bCs w:val="0"/>
          <w:sz w:val="24"/>
          <w:szCs w:val="24"/>
          <w:u w:val="none"/>
          <w:lang w:val="en-GB"/>
        </w:rPr>
      </w:pPr>
    </w:p>
    <w:p w14:paraId="5DBF701D">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LIQUIDITIY RATIO</w:t>
      </w:r>
    </w:p>
    <w:p w14:paraId="6FED3E7B">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Current ratio dropped from 1.32 in 2020 to a trough of 1.13 in 2021, then stayed at 1.14 through 2023. Quick ratio moved from 1.09 to 0.95 over the period. Since both ratios are sill above 1.0, it shows that Coca-Cola can cover its short trem payable but the drop shows it has fewer extra assets like cash or cash equivalents in comparison to what it owes in the short term. Between 2021 to 2022, Coca-Cola’s liquidity ratio went down partly because it had more short term debt to pay and made a decision to buy back its own shares from investors </w:t>
      </w:r>
      <w:r>
        <w:rPr>
          <w:rFonts w:hint="default" w:ascii="Times New Roman" w:hAnsi="Times New Roman"/>
          <w:b w:val="0"/>
          <w:bCs w:val="0"/>
          <w:sz w:val="24"/>
          <w:szCs w:val="24"/>
          <w:u w:val="none"/>
          <w:lang w:val="en-GB"/>
        </w:rPr>
        <w:t>(Coca-Cola, 2024, p. 64)</w:t>
      </w:r>
      <w:r>
        <w:rPr>
          <w:rFonts w:hint="default" w:ascii="Times New Roman" w:hAnsi="Times New Roman"/>
          <w:b w:val="0"/>
          <w:bCs w:val="0"/>
          <w:sz w:val="24"/>
          <w:szCs w:val="24"/>
          <w:u w:val="none"/>
          <w:lang w:val="en-GB"/>
        </w:rPr>
        <w:t>.</w:t>
      </w:r>
      <w:r>
        <w:rPr>
          <w:rFonts w:hint="default" w:ascii="Times New Roman" w:hAnsi="Times New Roman"/>
          <w:b w:val="0"/>
          <w:bCs w:val="0"/>
          <w:sz w:val="24"/>
          <w:szCs w:val="24"/>
          <w:u w:val="none"/>
          <w:lang w:val="en-GB"/>
        </w:rPr>
        <w:t xml:space="preserve"> </w:t>
      </w:r>
      <w:r>
        <w:rPr>
          <w:rFonts w:hint="default" w:ascii="Times New Roman" w:hAnsi="Times New Roman"/>
          <w:b w:val="0"/>
          <w:bCs w:val="0"/>
          <w:sz w:val="24"/>
          <w:szCs w:val="24"/>
          <w:u w:val="none"/>
          <w:lang w:val="en-GB"/>
        </w:rPr>
        <w:t>In comparison Industry peers typically target a current ratio around 1.0 - 1.2; Coca-Cola’s stable 1.13 remains in line with sector norms.</w:t>
      </w:r>
    </w:p>
    <w:p w14:paraId="6EA5806E">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 </w:t>
      </w:r>
    </w:p>
    <w:p w14:paraId="3BD8A7C1">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GEARING RATIO</w:t>
      </w:r>
    </w:p>
    <w:p w14:paraId="5DCEAB4F">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 xml:space="preserve">Coca-Cola’s gearing ratio fell from 71% to 63% from 2020 to 2023, which indicates the company relied less on debt over time. Its interest cover ratio spiked to 12.4x in 2022 before moderating to 7.4x in 2023, suggesting that the company kept its finances relatively safe and stable, earning enough to cover interest payments and using less debts. </w:t>
      </w:r>
      <w:r>
        <w:rPr>
          <w:rFonts w:hint="default" w:ascii="Times New Roman" w:hAnsi="Times New Roman"/>
          <w:b w:val="0"/>
          <w:bCs w:val="0"/>
          <w:sz w:val="24"/>
          <w:szCs w:val="24"/>
          <w:u w:val="none"/>
          <w:lang w:val="en-GB"/>
        </w:rPr>
        <w:t>Gearing reduction was a results from the company paying off debts faster than it borrowed new ones, also keeping its profits instead of paying them off (Coca-Cola, 2024, p. 63). Robust profits in 2022 lead to a spike in investment cover, while the drop in 2023 was a result of Coca-Cola taking on more debt to fund strategic deals such as purchasing BodyArmor. By 2023, Pepsi-Co’s gearing was 58% with interest cover 9x, placing Coca-Cola broadly in line with its largest competitor.</w:t>
      </w:r>
    </w:p>
    <w:p w14:paraId="69BDC020">
      <w:pPr>
        <w:spacing w:line="360" w:lineRule="auto"/>
        <w:rPr>
          <w:rFonts w:hint="default" w:ascii="Times New Roman" w:hAnsi="Times New Roman"/>
          <w:b w:val="0"/>
          <w:bCs w:val="0"/>
          <w:sz w:val="24"/>
          <w:szCs w:val="24"/>
          <w:u w:val="none"/>
          <w:lang w:val="en-GB"/>
        </w:rPr>
      </w:pPr>
    </w:p>
    <w:p w14:paraId="65A3D913">
      <w:pPr>
        <w:spacing w:line="360" w:lineRule="auto"/>
        <w:rPr>
          <w:rFonts w:hint="default" w:ascii="Times New Roman" w:hAnsi="Times New Roman"/>
          <w:b/>
          <w:bCs/>
          <w:sz w:val="24"/>
          <w:szCs w:val="24"/>
          <w:u w:val="none"/>
          <w:lang w:val="en-GB"/>
        </w:rPr>
      </w:pPr>
    </w:p>
    <w:p w14:paraId="5CF7D5D3">
      <w:pPr>
        <w:spacing w:line="360" w:lineRule="auto"/>
        <w:rPr>
          <w:rFonts w:hint="default" w:ascii="Times New Roman" w:hAnsi="Times New Roman"/>
          <w:b/>
          <w:bCs/>
          <w:sz w:val="24"/>
          <w:szCs w:val="24"/>
          <w:u w:val="none"/>
          <w:lang w:val="en-GB"/>
        </w:rPr>
      </w:pPr>
    </w:p>
    <w:p w14:paraId="4DDE23F2">
      <w:pPr>
        <w:spacing w:line="360" w:lineRule="auto"/>
        <w:rPr>
          <w:rFonts w:hint="default" w:ascii="Times New Roman" w:hAnsi="Times New Roman"/>
          <w:b/>
          <w:bCs/>
          <w:sz w:val="24"/>
          <w:szCs w:val="24"/>
          <w:u w:val="none"/>
          <w:lang w:val="en-GB"/>
        </w:rPr>
      </w:pPr>
      <w:r>
        <w:rPr>
          <w:rFonts w:hint="default" w:ascii="Times New Roman" w:hAnsi="Times New Roman"/>
          <w:b/>
          <w:bCs/>
          <w:sz w:val="24"/>
          <w:szCs w:val="24"/>
          <w:u w:val="none"/>
          <w:lang w:val="en-GB"/>
        </w:rPr>
        <w:t>INVESTMENT RATIO</w:t>
      </w:r>
    </w:p>
    <w:p w14:paraId="55724BD6">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lang w:val="en-GB"/>
        </w:rPr>
        <w:t>The trajectory of investment were mixed within the four years period, it fell from $1.39 in 2020 to $1.10 in 2021, then rose to $1.52 in 2023. this mixed trend shows that Coca-Cola’s profits can be affected by rising costs and big changes in the economy, like the Covid-19 pandemic.</w:t>
      </w:r>
      <w:r>
        <w:rPr>
          <w:rFonts w:hint="default" w:ascii="Times New Roman" w:hAnsi="Times New Roman"/>
          <w:b w:val="0"/>
          <w:bCs w:val="0"/>
          <w:sz w:val="24"/>
          <w:szCs w:val="24"/>
          <w:u w:val="none"/>
          <w:lang w:val="en-GB"/>
        </w:rPr>
        <w:t xml:space="preserve"> 2021 EPS slump is a result of a fall in sales volume during the pandemic and restructuring costs (Coca-Cola, 2022, p. 60). The rebound in 2022 - 2023 motivated by raising product prices, sales of more profitable products and slightly reduced number of shares through buybacks (Coca-Cola, 2024, p. 61). Coca-Cola’s EPS CAGR of  4.4% over 2020–23 slightly outpaced Pepsi-Co’s 3.8%, underscoring Coke’s stronger margin leverage in concentrate operations.</w:t>
      </w:r>
    </w:p>
    <w:p w14:paraId="248610E5">
      <w:pPr>
        <w:spacing w:line="360" w:lineRule="auto"/>
        <w:rPr>
          <w:rFonts w:hint="default" w:ascii="Times New Roman" w:hAnsi="Times New Roman" w:cs="Times New Roman"/>
          <w:b/>
          <w:bCs/>
          <w:sz w:val="24"/>
          <w:szCs w:val="24"/>
          <w:u w:val="single"/>
          <w:lang w:val="en-GB"/>
        </w:rPr>
      </w:pPr>
    </w:p>
    <w:p w14:paraId="767A7238">
      <w:pPr>
        <w:spacing w:line="360" w:lineRule="auto"/>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CONCLUSION AND RECOMMENDATION</w:t>
      </w:r>
    </w:p>
    <w:p w14:paraId="3A09F315">
      <w:pPr>
        <w:spacing w:line="360" w:lineRule="auto"/>
        <w:rPr>
          <w:rFonts w:hint="default" w:ascii="Times New Roman" w:hAnsi="Times New Roman"/>
          <w:b w:val="0"/>
          <w:bCs w:val="0"/>
          <w:sz w:val="24"/>
          <w:szCs w:val="24"/>
          <w:u w:val="none"/>
          <w:lang w:val="en-GB"/>
        </w:rPr>
      </w:pPr>
      <w:r>
        <w:rPr>
          <w:rFonts w:hint="default" w:ascii="Times New Roman" w:hAnsi="Times New Roman"/>
          <w:b w:val="0"/>
          <w:bCs w:val="0"/>
          <w:sz w:val="24"/>
          <w:szCs w:val="24"/>
          <w:u w:val="none"/>
        </w:rPr>
        <w:t xml:space="preserve">Based on the </w:t>
      </w:r>
      <w:r>
        <w:rPr>
          <w:rFonts w:hint="default" w:ascii="Times New Roman" w:hAnsi="Times New Roman"/>
          <w:b w:val="0"/>
          <w:bCs w:val="0"/>
          <w:sz w:val="24"/>
          <w:szCs w:val="24"/>
          <w:u w:val="none"/>
          <w:lang w:val="en-GB"/>
        </w:rPr>
        <w:t>CORE</w:t>
      </w:r>
      <w:r>
        <w:rPr>
          <w:rFonts w:hint="default" w:ascii="Times New Roman" w:hAnsi="Times New Roman"/>
          <w:b w:val="0"/>
          <w:bCs w:val="0"/>
          <w:sz w:val="24"/>
          <w:szCs w:val="24"/>
          <w:u w:val="none"/>
        </w:rPr>
        <w:t xml:space="preserve"> analysis, Software Solutions plc </w:t>
      </w:r>
      <w:r>
        <w:rPr>
          <w:rFonts w:hint="default" w:ascii="Times New Roman" w:hAnsi="Times New Roman"/>
          <w:b w:val="0"/>
          <w:bCs w:val="0"/>
          <w:sz w:val="24"/>
          <w:szCs w:val="24"/>
          <w:u w:val="none"/>
          <w:lang w:val="en-GB"/>
        </w:rPr>
        <w:t>should</w:t>
      </w:r>
      <w:r>
        <w:rPr>
          <w:rFonts w:hint="default" w:ascii="Times New Roman" w:hAnsi="Times New Roman"/>
          <w:b w:val="0"/>
          <w:bCs w:val="0"/>
          <w:sz w:val="24"/>
          <w:szCs w:val="24"/>
          <w:u w:val="none"/>
        </w:rPr>
        <w:t xml:space="preserve"> consider investing in Coca-Cola as a minority shareholder. </w:t>
      </w:r>
      <w:r>
        <w:rPr>
          <w:rFonts w:hint="default" w:ascii="Times New Roman" w:hAnsi="Times New Roman"/>
          <w:b w:val="0"/>
          <w:bCs w:val="0"/>
          <w:sz w:val="24"/>
          <w:szCs w:val="24"/>
          <w:u w:val="none"/>
          <w:lang w:val="en-GB"/>
        </w:rPr>
        <w:t>Coca-Cola has a strong and stable financial performance. It consists of a coherent revenue growth, solid profitability and a leading maker position. Its ratios show efficient use of capital and healthy core earnings. Although, the company carries moderate debt, it’s interest cover remains high and it has sufficient liquidity. All these factors indicates it is a reasonably sound candidate for investment.</w:t>
      </w:r>
    </w:p>
    <w:p w14:paraId="706F1BD6">
      <w:pPr>
        <w:spacing w:line="360" w:lineRule="auto"/>
        <w:rPr>
          <w:rFonts w:hint="default" w:ascii="Times New Roman" w:hAnsi="Times New Roman"/>
          <w:b w:val="0"/>
          <w:bCs w:val="0"/>
          <w:sz w:val="24"/>
          <w:szCs w:val="24"/>
          <w:u w:val="none"/>
        </w:rPr>
      </w:pPr>
    </w:p>
    <w:p w14:paraId="52A8F284">
      <w:pPr>
        <w:spacing w:line="360" w:lineRule="auto"/>
        <w:rPr>
          <w:rFonts w:hint="default" w:ascii="Times New Roman" w:hAnsi="Times New Roman" w:cs="Times New Roman"/>
          <w:b/>
          <w:bCs/>
          <w:sz w:val="24"/>
          <w:szCs w:val="24"/>
          <w:u w:val="single"/>
        </w:rPr>
      </w:pPr>
    </w:p>
    <w:p w14:paraId="333DA190">
      <w:pPr>
        <w:spacing w:line="360" w:lineRule="auto"/>
        <w:rPr>
          <w:rFonts w:hint="default" w:ascii="Times New Roman" w:hAnsi="Times New Roman" w:cs="Times New Roman"/>
          <w:b/>
          <w:bCs/>
          <w:sz w:val="24"/>
          <w:szCs w:val="24"/>
          <w:u w:val="single"/>
        </w:rPr>
      </w:pPr>
    </w:p>
    <w:p w14:paraId="69C1E5B0">
      <w:pPr>
        <w:spacing w:line="360" w:lineRule="auto"/>
        <w:rPr>
          <w:rFonts w:hint="default" w:ascii="Times New Roman" w:hAnsi="Times New Roman" w:cs="Times New Roman"/>
          <w:b/>
          <w:bCs/>
          <w:sz w:val="24"/>
          <w:szCs w:val="24"/>
          <w:u w:val="single"/>
        </w:rPr>
      </w:pPr>
    </w:p>
    <w:p w14:paraId="4674C113">
      <w:pPr>
        <w:spacing w:line="360" w:lineRule="auto"/>
        <w:rPr>
          <w:rFonts w:hint="default" w:ascii="Times New Roman" w:hAnsi="Times New Roman" w:cs="Times New Roman"/>
          <w:b/>
          <w:bCs/>
          <w:sz w:val="24"/>
          <w:szCs w:val="24"/>
          <w:u w:val="single"/>
        </w:rPr>
      </w:pPr>
    </w:p>
    <w:p w14:paraId="0DB1DC42">
      <w:pPr>
        <w:spacing w:line="360" w:lineRule="auto"/>
        <w:rPr>
          <w:rFonts w:hint="default" w:ascii="Times New Roman" w:hAnsi="Times New Roman" w:cs="Times New Roman"/>
          <w:b/>
          <w:bCs/>
          <w:sz w:val="24"/>
          <w:szCs w:val="24"/>
          <w:u w:val="single"/>
        </w:rPr>
      </w:pPr>
    </w:p>
    <w:p w14:paraId="24BC7A2A">
      <w:pPr>
        <w:spacing w:line="360" w:lineRule="auto"/>
        <w:rPr>
          <w:rFonts w:hint="default" w:ascii="Times New Roman" w:hAnsi="Times New Roman" w:cs="Times New Roman"/>
          <w:b/>
          <w:bCs/>
          <w:sz w:val="24"/>
          <w:szCs w:val="24"/>
          <w:u w:val="single"/>
        </w:rPr>
      </w:pPr>
    </w:p>
    <w:p w14:paraId="674BCEB2">
      <w:pPr>
        <w:spacing w:line="360" w:lineRule="auto"/>
        <w:rPr>
          <w:rFonts w:hint="default" w:ascii="Times New Roman" w:hAnsi="Times New Roman" w:cs="Times New Roman"/>
          <w:b/>
          <w:bCs/>
          <w:sz w:val="24"/>
          <w:szCs w:val="24"/>
          <w:u w:val="single"/>
        </w:rPr>
      </w:pPr>
    </w:p>
    <w:p w14:paraId="3C859A25">
      <w:pPr>
        <w:spacing w:line="360" w:lineRule="auto"/>
        <w:rPr>
          <w:rFonts w:hint="default" w:ascii="Times New Roman" w:hAnsi="Times New Roman" w:cs="Times New Roman"/>
          <w:b/>
          <w:bCs/>
          <w:sz w:val="24"/>
          <w:szCs w:val="24"/>
          <w:u w:val="single"/>
        </w:rPr>
      </w:pPr>
    </w:p>
    <w:p w14:paraId="46EEEBEC">
      <w:pPr>
        <w:spacing w:line="360" w:lineRule="auto"/>
        <w:rPr>
          <w:rFonts w:hint="default" w:ascii="Times New Roman" w:hAnsi="Times New Roman" w:cs="Times New Roman"/>
          <w:b/>
          <w:bCs/>
          <w:sz w:val="24"/>
          <w:szCs w:val="24"/>
          <w:u w:val="single"/>
        </w:rPr>
      </w:pPr>
    </w:p>
    <w:p w14:paraId="23B079E9">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APPENDICES</w:t>
      </w:r>
    </w:p>
    <w:tbl>
      <w:tblPr>
        <w:tblStyle w:val="3"/>
        <w:tblpPr w:leftFromText="180" w:rightFromText="180" w:vertAnchor="text" w:horzAnchor="page" w:tblpX="467" w:tblpY="757"/>
        <w:tblOverlap w:val="never"/>
        <w:tblW w:w="597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47"/>
        <w:gridCol w:w="2353"/>
        <w:gridCol w:w="2035"/>
        <w:gridCol w:w="1323"/>
        <w:gridCol w:w="1512"/>
        <w:gridCol w:w="1453"/>
        <w:gridCol w:w="1314"/>
      </w:tblGrid>
      <w:tr w14:paraId="7E657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632" w:type="pct"/>
            <w:tcBorders>
              <w:top w:val="single" w:color="000000" w:sz="4" w:space="0"/>
              <w:left w:val="single" w:color="000000" w:sz="4" w:space="0"/>
              <w:bottom w:val="single" w:color="000000" w:sz="4" w:space="0"/>
              <w:right w:val="single" w:color="000000" w:sz="4" w:space="0"/>
            </w:tcBorders>
            <w:shd w:val="clear" w:color="auto" w:fill="4472C4"/>
            <w:noWrap/>
            <w:vAlign w:val="bottom"/>
          </w:tcPr>
          <w:p w14:paraId="7528F95E">
            <w:pPr>
              <w:spacing w:line="360" w:lineRule="auto"/>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4472C4"/>
            <w:noWrap/>
            <w:vAlign w:val="bottom"/>
          </w:tcPr>
          <w:p w14:paraId="30EE1996">
            <w:pPr>
              <w:spacing w:line="360" w:lineRule="auto"/>
              <w:rPr>
                <w:rFonts w:hint="default" w:ascii="Times New Roman" w:hAnsi="Times New Roman" w:cs="Times New Roman"/>
                <w:b/>
                <w:bCs/>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4472C4"/>
            <w:noWrap/>
            <w:vAlign w:val="bottom"/>
          </w:tcPr>
          <w:p w14:paraId="5379B069">
            <w:pPr>
              <w:spacing w:line="360" w:lineRule="auto"/>
              <w:rPr>
                <w:rFonts w:hint="default" w:ascii="Times New Roman" w:hAnsi="Times New Roman" w:cs="Times New Roman"/>
                <w:b/>
                <w:bCs/>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4472C4"/>
            <w:noWrap/>
            <w:vAlign w:val="bottom"/>
          </w:tcPr>
          <w:p w14:paraId="0C3BB7F5">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2020</w:t>
            </w:r>
          </w:p>
        </w:tc>
        <w:tc>
          <w:tcPr>
            <w:tcW w:w="661" w:type="pct"/>
            <w:tcBorders>
              <w:top w:val="single" w:color="000000" w:sz="4" w:space="0"/>
              <w:left w:val="single" w:color="000000" w:sz="4" w:space="0"/>
              <w:bottom w:val="single" w:color="000000" w:sz="4" w:space="0"/>
              <w:right w:val="single" w:color="000000" w:sz="4" w:space="0"/>
            </w:tcBorders>
            <w:shd w:val="clear" w:color="auto" w:fill="4472C4"/>
            <w:noWrap/>
            <w:vAlign w:val="top"/>
          </w:tcPr>
          <w:p w14:paraId="24D42427">
            <w:pPr>
              <w:keepNext w:val="0"/>
              <w:keepLines w:val="0"/>
              <w:widowControl/>
              <w:suppressLineNumbers w:val="0"/>
              <w:spacing w:line="360" w:lineRule="auto"/>
              <w:jc w:val="center"/>
              <w:textAlignment w:val="top"/>
              <w:rPr>
                <w:rFonts w:hint="default" w:ascii="Times New Roman" w:hAnsi="Times New Roman" w:eastAsia="SimSun" w:cs="Times New Roman"/>
                <w:b/>
                <w:bCs/>
                <w:i w:val="0"/>
                <w:iCs w:val="0"/>
                <w:color w:val="000000"/>
                <w:kern w:val="0"/>
                <w:sz w:val="24"/>
                <w:szCs w:val="24"/>
                <w:u w:val="none"/>
                <w:lang w:val="en-US" w:eastAsia="zh-CN" w:bidi="ar"/>
              </w:rPr>
            </w:pPr>
          </w:p>
          <w:p w14:paraId="06AE9D9E">
            <w:pPr>
              <w:keepNext w:val="0"/>
              <w:keepLines w:val="0"/>
              <w:widowControl/>
              <w:suppressLineNumbers w:val="0"/>
              <w:spacing w:line="360" w:lineRule="auto"/>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2021</w:t>
            </w:r>
          </w:p>
        </w:tc>
        <w:tc>
          <w:tcPr>
            <w:tcW w:w="635" w:type="pct"/>
            <w:tcBorders>
              <w:top w:val="single" w:color="000000" w:sz="4" w:space="0"/>
              <w:left w:val="single" w:color="000000" w:sz="4" w:space="0"/>
              <w:bottom w:val="single" w:color="000000" w:sz="4" w:space="0"/>
              <w:right w:val="single" w:color="000000" w:sz="4" w:space="0"/>
            </w:tcBorders>
            <w:shd w:val="clear" w:color="auto" w:fill="4472C4"/>
            <w:noWrap/>
            <w:vAlign w:val="bottom"/>
          </w:tcPr>
          <w:p w14:paraId="3387EA1A">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2022</w:t>
            </w:r>
          </w:p>
        </w:tc>
        <w:tc>
          <w:tcPr>
            <w:tcW w:w="574" w:type="pct"/>
            <w:tcBorders>
              <w:top w:val="single" w:color="000000" w:sz="4" w:space="0"/>
              <w:left w:val="single" w:color="000000" w:sz="4" w:space="0"/>
              <w:bottom w:val="single" w:color="000000" w:sz="4" w:space="0"/>
              <w:right w:val="single" w:color="000000" w:sz="4" w:space="0"/>
            </w:tcBorders>
            <w:shd w:val="clear" w:color="auto" w:fill="4472C4"/>
            <w:noWrap/>
            <w:vAlign w:val="bottom"/>
          </w:tcPr>
          <w:p w14:paraId="16CA2719">
            <w:pPr>
              <w:keepNext w:val="0"/>
              <w:keepLines w:val="0"/>
              <w:widowControl/>
              <w:suppressLineNumbers w:val="0"/>
              <w:spacing w:line="360" w:lineRule="auto"/>
              <w:jc w:val="righ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2023</w:t>
            </w:r>
          </w:p>
        </w:tc>
      </w:tr>
      <w:tr w14:paraId="666EC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0" w:hRule="atLeast"/>
        </w:trPr>
        <w:tc>
          <w:tcPr>
            <w:tcW w:w="632" w:type="pct"/>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6F75CF8">
            <w:pPr>
              <w:keepNext w:val="0"/>
              <w:keepLines w:val="0"/>
              <w:widowControl/>
              <w:suppressLineNumbers w:val="0"/>
              <w:spacing w:line="360" w:lineRule="auto"/>
              <w:jc w:val="lef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Profitability </w:t>
            </w: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984FCE8">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C0BC2EE">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CC8AEF0">
            <w:pPr>
              <w:spacing w:line="360" w:lineRule="auto"/>
              <w:rPr>
                <w:rFonts w:hint="default" w:ascii="Times New Roman" w:hAnsi="Times New Roman" w:cs="Times New Roman"/>
                <w:i w:val="0"/>
                <w:iCs w:val="0"/>
                <w:color w:val="000000"/>
                <w:sz w:val="24"/>
                <w:szCs w:val="24"/>
                <w:u w:val="none"/>
              </w:rPr>
            </w:pPr>
          </w:p>
        </w:tc>
        <w:tc>
          <w:tcPr>
            <w:tcW w:w="66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2EEF02">
            <w:pPr>
              <w:spacing w:line="360" w:lineRule="auto"/>
              <w:rPr>
                <w:rFonts w:hint="default" w:ascii="Times New Roman" w:hAnsi="Times New Roman" w:cs="Times New Roman"/>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4FA638">
            <w:pPr>
              <w:spacing w:line="360" w:lineRule="auto"/>
              <w:rPr>
                <w:rFonts w:hint="default" w:ascii="Times New Roman" w:hAnsi="Times New Roman" w:cs="Times New Roman"/>
                <w:i w:val="0"/>
                <w:iCs w:val="0"/>
                <w:color w:val="000000"/>
                <w:sz w:val="24"/>
                <w:szCs w:val="24"/>
                <w:u w:val="none"/>
              </w:rPr>
            </w:pPr>
          </w:p>
        </w:tc>
        <w:tc>
          <w:tcPr>
            <w:tcW w:w="5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CC5FA0">
            <w:pPr>
              <w:spacing w:line="360" w:lineRule="auto"/>
              <w:rPr>
                <w:rFonts w:hint="default" w:ascii="Times New Roman" w:hAnsi="Times New Roman" w:cs="Times New Roman"/>
                <w:i w:val="0"/>
                <w:iCs w:val="0"/>
                <w:color w:val="000000"/>
                <w:sz w:val="24"/>
                <w:szCs w:val="24"/>
                <w:u w:val="none"/>
              </w:rPr>
            </w:pPr>
          </w:p>
        </w:tc>
      </w:tr>
      <w:tr w14:paraId="4751F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9" w:hRule="atLeast"/>
        </w:trPr>
        <w:tc>
          <w:tcPr>
            <w:tcW w:w="63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2DF226D">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Return on Capital Employed </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EDB004">
            <w:pPr>
              <w:keepNext w:val="0"/>
              <w:keepLines w:val="0"/>
              <w:widowControl/>
              <w:suppressLineNumbers w:val="0"/>
              <w:spacing w:line="360" w:lineRule="auto"/>
              <w:jc w:val="center"/>
              <w:textAlignment w:val="center"/>
              <w:rPr>
                <w:rFonts w:hint="default" w:ascii="Times New Roman" w:hAnsi="Times New Roman" w:cs="Times New Roman"/>
                <w:i w:val="0"/>
                <w:iCs w:val="0"/>
                <w:color w:val="000000"/>
                <w:sz w:val="24"/>
                <w:szCs w:val="24"/>
                <w:u w:val="single"/>
              </w:rPr>
            </w:pPr>
            <w:r>
              <w:rPr>
                <w:rStyle w:val="5"/>
                <w:rFonts w:hint="default" w:ascii="Times New Roman" w:hAnsi="Times New Roman" w:eastAsia="SimSun" w:cs="Times New Roman"/>
                <w:sz w:val="24"/>
                <w:szCs w:val="24"/>
                <w:lang w:val="en-US" w:eastAsia="zh-CN" w:bidi="ar"/>
              </w:rPr>
              <w:t>Operating Profit (PBIT)        x 100</w:t>
            </w:r>
            <w:r>
              <w:rPr>
                <w:rStyle w:val="5"/>
                <w:rFonts w:hint="default" w:ascii="Times New Roman" w:hAnsi="Times New Roman" w:eastAsia="SimSun" w:cs="Times New Roman"/>
                <w:sz w:val="24"/>
                <w:szCs w:val="24"/>
                <w:lang w:val="en-US" w:eastAsia="zh-CN" w:bidi="ar"/>
              </w:rPr>
              <w:br w:type="textWrapping"/>
            </w:r>
            <w:r>
              <w:rPr>
                <w:rStyle w:val="6"/>
                <w:rFonts w:hint="default" w:ascii="Times New Roman" w:hAnsi="Times New Roman" w:eastAsia="SimSun" w:cs="Times New Roman"/>
                <w:sz w:val="24"/>
                <w:szCs w:val="24"/>
                <w:u w:val="single"/>
                <w:lang w:val="en-US" w:eastAsia="zh-CN" w:bidi="ar"/>
              </w:rPr>
              <w:t xml:space="preserve">Total Asset - current liabilities </w:t>
            </w: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2DB9AA12">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Operating profit (Earnings from Operations)</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5C524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8,997</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654BB7">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10,308</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0B71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10,909</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704E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11,311</w:t>
            </w:r>
          </w:p>
        </w:tc>
      </w:tr>
      <w:tr w14:paraId="08818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1D2580">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23D0D4">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7B3D6A75">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Total Assets</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D6F3D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87,294</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50C94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94,354</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30795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92,763</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6904C7">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97,703</w:t>
            </w:r>
          </w:p>
        </w:tc>
      </w:tr>
      <w:tr w14:paraId="2E9AA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B516DF">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DEE644">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72BE8964">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Current liabilities </w:t>
            </w:r>
          </w:p>
        </w:tc>
        <w:tc>
          <w:tcPr>
            <w:tcW w:w="578" w:type="pct"/>
            <w:tcBorders>
              <w:top w:val="nil"/>
              <w:left w:val="nil"/>
              <w:bottom w:val="single" w:color="000000" w:sz="8" w:space="0"/>
              <w:right w:val="single" w:color="000000" w:sz="8" w:space="0"/>
            </w:tcBorders>
            <w:shd w:val="clear" w:color="auto" w:fill="auto"/>
            <w:vAlign w:val="center"/>
          </w:tcPr>
          <w:p w14:paraId="51A5F09A">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14,601</w:t>
            </w:r>
          </w:p>
        </w:tc>
        <w:tc>
          <w:tcPr>
            <w:tcW w:w="661" w:type="pct"/>
            <w:tcBorders>
              <w:top w:val="nil"/>
              <w:left w:val="nil"/>
              <w:bottom w:val="single" w:color="000000" w:sz="8" w:space="0"/>
              <w:right w:val="single" w:color="000000" w:sz="8" w:space="0"/>
            </w:tcBorders>
            <w:shd w:val="clear" w:color="auto" w:fill="auto"/>
            <w:vAlign w:val="center"/>
          </w:tcPr>
          <w:p w14:paraId="6B3DE26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19,950</w:t>
            </w:r>
          </w:p>
        </w:tc>
        <w:tc>
          <w:tcPr>
            <w:tcW w:w="635" w:type="pct"/>
            <w:tcBorders>
              <w:top w:val="nil"/>
              <w:left w:val="nil"/>
              <w:bottom w:val="single" w:color="000000" w:sz="8" w:space="0"/>
              <w:right w:val="single" w:color="000000" w:sz="8" w:space="0"/>
            </w:tcBorders>
            <w:shd w:val="clear" w:color="auto" w:fill="auto"/>
            <w:vAlign w:val="center"/>
          </w:tcPr>
          <w:p w14:paraId="5D4F42C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19,724</w:t>
            </w:r>
          </w:p>
        </w:tc>
        <w:tc>
          <w:tcPr>
            <w:tcW w:w="574" w:type="pct"/>
            <w:tcBorders>
              <w:top w:val="nil"/>
              <w:left w:val="nil"/>
              <w:bottom w:val="single" w:color="000000" w:sz="8" w:space="0"/>
              <w:right w:val="single" w:color="000000" w:sz="8" w:space="0"/>
            </w:tcBorders>
            <w:shd w:val="clear" w:color="auto" w:fill="auto"/>
            <w:vAlign w:val="center"/>
          </w:tcPr>
          <w:p w14:paraId="74C3DAE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23,571</w:t>
            </w:r>
          </w:p>
        </w:tc>
      </w:tr>
      <w:tr w14:paraId="75BAC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D4F74E">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DE7F7E">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52B80A23">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124FB199">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12.38%</w:t>
            </w:r>
          </w:p>
        </w:tc>
        <w:tc>
          <w:tcPr>
            <w:tcW w:w="661"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4D8EBA76">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13.85%</w:t>
            </w:r>
          </w:p>
        </w:tc>
        <w:tc>
          <w:tcPr>
            <w:tcW w:w="635"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2E86EBFF">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14.94%</w:t>
            </w:r>
          </w:p>
        </w:tc>
        <w:tc>
          <w:tcPr>
            <w:tcW w:w="574"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3E62D0B9">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15.26%</w:t>
            </w:r>
          </w:p>
        </w:tc>
      </w:tr>
      <w:tr w14:paraId="7F16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632" w:type="pct"/>
            <w:tcBorders>
              <w:top w:val="nil"/>
              <w:left w:val="single" w:color="000000" w:sz="4" w:space="0"/>
              <w:bottom w:val="single" w:color="000000" w:sz="4" w:space="0"/>
              <w:right w:val="single" w:color="000000" w:sz="4" w:space="0"/>
            </w:tcBorders>
            <w:shd w:val="clear" w:color="auto" w:fill="000000"/>
            <w:vAlign w:val="center"/>
          </w:tcPr>
          <w:p w14:paraId="72228F90">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nil"/>
              <w:left w:val="single" w:color="000000" w:sz="4" w:space="0"/>
              <w:bottom w:val="single" w:color="000000" w:sz="4" w:space="0"/>
              <w:right w:val="single" w:color="000000" w:sz="4" w:space="0"/>
            </w:tcBorders>
            <w:shd w:val="clear" w:color="auto" w:fill="000000"/>
            <w:vAlign w:val="center"/>
          </w:tcPr>
          <w:p w14:paraId="2F1F2C5B">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60C53F1A">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276E8EC3">
            <w:pPr>
              <w:spacing w:line="360" w:lineRule="auto"/>
              <w:jc w:val="center"/>
              <w:rPr>
                <w:rFonts w:hint="default" w:ascii="Times New Roman" w:hAnsi="Times New Roman" w:cs="Times New Roman"/>
                <w:b/>
                <w:bCs/>
                <w:i w:val="0"/>
                <w:iCs w:val="0"/>
                <w:color w:val="000000"/>
                <w:sz w:val="24"/>
                <w:szCs w:val="24"/>
                <w:u w:val="single"/>
              </w:rPr>
            </w:pPr>
          </w:p>
        </w:tc>
        <w:tc>
          <w:tcPr>
            <w:tcW w:w="661"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0B9EAA95">
            <w:pPr>
              <w:spacing w:line="360" w:lineRule="auto"/>
              <w:jc w:val="center"/>
              <w:rPr>
                <w:rFonts w:hint="default" w:ascii="Times New Roman" w:hAnsi="Times New Roman" w:cs="Times New Roman"/>
                <w:b/>
                <w:bCs/>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4DAFD41B">
            <w:pPr>
              <w:spacing w:line="360" w:lineRule="auto"/>
              <w:jc w:val="center"/>
              <w:rPr>
                <w:rFonts w:hint="default" w:ascii="Times New Roman" w:hAnsi="Times New Roman" w:cs="Times New Roman"/>
                <w:b/>
                <w:bCs/>
                <w:i w:val="0"/>
                <w:iCs w:val="0"/>
                <w:color w:val="000000"/>
                <w:sz w:val="24"/>
                <w:szCs w:val="24"/>
                <w:u w:val="single"/>
              </w:rPr>
            </w:pPr>
          </w:p>
        </w:tc>
        <w:tc>
          <w:tcPr>
            <w:tcW w:w="574"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51D79AFF">
            <w:pPr>
              <w:spacing w:line="360" w:lineRule="auto"/>
              <w:jc w:val="center"/>
              <w:rPr>
                <w:rFonts w:hint="default" w:ascii="Times New Roman" w:hAnsi="Times New Roman" w:cs="Times New Roman"/>
                <w:b/>
                <w:bCs/>
                <w:i w:val="0"/>
                <w:iCs w:val="0"/>
                <w:color w:val="000000"/>
                <w:sz w:val="24"/>
                <w:szCs w:val="24"/>
                <w:u w:val="single"/>
              </w:rPr>
            </w:pPr>
          </w:p>
        </w:tc>
      </w:tr>
      <w:tr w14:paraId="6FFC0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2" w:hRule="atLeast"/>
        </w:trPr>
        <w:tc>
          <w:tcPr>
            <w:tcW w:w="63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726FC75">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Operating profit margin </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bottom"/>
          </w:tcPr>
          <w:p w14:paraId="19311875">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single"/>
              </w:rPr>
            </w:pPr>
            <w:r>
              <w:rPr>
                <w:rStyle w:val="5"/>
                <w:rFonts w:hint="default" w:ascii="Times New Roman" w:hAnsi="Times New Roman" w:eastAsia="SimSun" w:cs="Times New Roman"/>
                <w:sz w:val="24"/>
                <w:szCs w:val="24"/>
                <w:lang w:val="en-US" w:eastAsia="zh-CN" w:bidi="ar"/>
              </w:rPr>
              <w:t>Operating Profit   x 100</w:t>
            </w:r>
            <w:r>
              <w:rPr>
                <w:rStyle w:val="5"/>
                <w:rFonts w:hint="default" w:ascii="Times New Roman" w:hAnsi="Times New Roman" w:eastAsia="SimSun" w:cs="Times New Roman"/>
                <w:sz w:val="24"/>
                <w:szCs w:val="24"/>
                <w:lang w:val="en-US" w:eastAsia="zh-CN" w:bidi="ar"/>
              </w:rPr>
              <w:br w:type="textWrapping"/>
            </w:r>
            <w:r>
              <w:rPr>
                <w:rStyle w:val="6"/>
                <w:rFonts w:hint="default" w:ascii="Times New Roman" w:hAnsi="Times New Roman" w:eastAsia="SimSun" w:cs="Times New Roman"/>
                <w:sz w:val="24"/>
                <w:szCs w:val="24"/>
                <w:u w:val="single"/>
                <w:lang w:val="en-US" w:eastAsia="zh-CN" w:bidi="ar"/>
              </w:rPr>
              <w:t xml:space="preserve">Total Revenue  </w:t>
            </w: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4D33644D">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Operating profit (Earnings from Operations)</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ABBAB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8,997</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90BA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10,308</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2252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10,909</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193D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11,311</w:t>
            </w:r>
          </w:p>
        </w:tc>
      </w:tr>
      <w:tr w14:paraId="1AD2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6F321F">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798CDAE5">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05651A62">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Total Revenue</w:t>
            </w:r>
          </w:p>
        </w:tc>
        <w:tc>
          <w:tcPr>
            <w:tcW w:w="578" w:type="pct"/>
            <w:tcBorders>
              <w:top w:val="nil"/>
              <w:left w:val="nil"/>
              <w:bottom w:val="single" w:color="000000" w:sz="8" w:space="0"/>
              <w:right w:val="single" w:color="000000" w:sz="8" w:space="0"/>
            </w:tcBorders>
            <w:shd w:val="clear" w:color="auto" w:fill="auto"/>
            <w:vAlign w:val="center"/>
          </w:tcPr>
          <w:p w14:paraId="6F6E7D2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33,014</w:t>
            </w:r>
          </w:p>
        </w:tc>
        <w:tc>
          <w:tcPr>
            <w:tcW w:w="661" w:type="pct"/>
            <w:tcBorders>
              <w:top w:val="nil"/>
              <w:left w:val="nil"/>
              <w:bottom w:val="single" w:color="000000" w:sz="8" w:space="0"/>
              <w:right w:val="single" w:color="000000" w:sz="8" w:space="0"/>
            </w:tcBorders>
            <w:shd w:val="clear" w:color="auto" w:fill="auto"/>
            <w:vAlign w:val="center"/>
          </w:tcPr>
          <w:p w14:paraId="3EB9A609">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38,655</w:t>
            </w:r>
          </w:p>
        </w:tc>
        <w:tc>
          <w:tcPr>
            <w:tcW w:w="635" w:type="pct"/>
            <w:tcBorders>
              <w:top w:val="nil"/>
              <w:left w:val="nil"/>
              <w:bottom w:val="single" w:color="000000" w:sz="8" w:space="0"/>
              <w:right w:val="single" w:color="000000" w:sz="8" w:space="0"/>
            </w:tcBorders>
            <w:shd w:val="clear" w:color="auto" w:fill="auto"/>
            <w:vAlign w:val="center"/>
          </w:tcPr>
          <w:p w14:paraId="26161F4D">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43,004</w:t>
            </w:r>
          </w:p>
        </w:tc>
        <w:tc>
          <w:tcPr>
            <w:tcW w:w="574" w:type="pct"/>
            <w:tcBorders>
              <w:top w:val="nil"/>
              <w:left w:val="nil"/>
              <w:bottom w:val="single" w:color="000000" w:sz="8" w:space="0"/>
              <w:right w:val="single" w:color="000000" w:sz="8" w:space="0"/>
            </w:tcBorders>
            <w:shd w:val="clear" w:color="auto" w:fill="auto"/>
            <w:vAlign w:val="center"/>
          </w:tcPr>
          <w:p w14:paraId="2FAA05B5">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45,754</w:t>
            </w:r>
          </w:p>
        </w:tc>
      </w:tr>
      <w:tr w14:paraId="33F2B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04550E">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auto"/>
            <w:vAlign w:val="bottom"/>
          </w:tcPr>
          <w:p w14:paraId="09329590">
            <w:pPr>
              <w:spacing w:line="360" w:lineRule="auto"/>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0F062400">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5A199BB7">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27.3%</w:t>
            </w:r>
          </w:p>
        </w:tc>
        <w:tc>
          <w:tcPr>
            <w:tcW w:w="661"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71EB5F7D">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26.7%</w:t>
            </w:r>
          </w:p>
        </w:tc>
        <w:tc>
          <w:tcPr>
            <w:tcW w:w="635"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36F418C8">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25.4%</w:t>
            </w:r>
          </w:p>
        </w:tc>
        <w:tc>
          <w:tcPr>
            <w:tcW w:w="574"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7152E1AC">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24.7%</w:t>
            </w:r>
          </w:p>
        </w:tc>
      </w:tr>
      <w:tr w14:paraId="0AE78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32"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6A1F6AB4">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5099F7C0">
            <w:pPr>
              <w:spacing w:line="360" w:lineRule="auto"/>
              <w:jc w:val="left"/>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72D5B92C">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123ACC28">
            <w:pPr>
              <w:spacing w:line="360" w:lineRule="auto"/>
              <w:jc w:val="center"/>
              <w:rPr>
                <w:rFonts w:hint="default" w:ascii="Times New Roman" w:hAnsi="Times New Roman" w:cs="Times New Roman"/>
                <w:b/>
                <w:bCs/>
                <w:i w:val="0"/>
                <w:iCs w:val="0"/>
                <w:color w:val="000000"/>
                <w:sz w:val="24"/>
                <w:szCs w:val="24"/>
                <w:u w:val="single"/>
              </w:rPr>
            </w:pPr>
          </w:p>
        </w:tc>
        <w:tc>
          <w:tcPr>
            <w:tcW w:w="661"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088E327C">
            <w:pPr>
              <w:spacing w:line="360" w:lineRule="auto"/>
              <w:jc w:val="center"/>
              <w:rPr>
                <w:rFonts w:hint="default" w:ascii="Times New Roman" w:hAnsi="Times New Roman" w:cs="Times New Roman"/>
                <w:b/>
                <w:bCs/>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7A88B081">
            <w:pPr>
              <w:spacing w:line="360" w:lineRule="auto"/>
              <w:jc w:val="center"/>
              <w:rPr>
                <w:rFonts w:hint="default" w:ascii="Times New Roman" w:hAnsi="Times New Roman" w:cs="Times New Roman"/>
                <w:b/>
                <w:bCs/>
                <w:i w:val="0"/>
                <w:iCs w:val="0"/>
                <w:color w:val="000000"/>
                <w:sz w:val="24"/>
                <w:szCs w:val="24"/>
                <w:u w:val="single"/>
              </w:rPr>
            </w:pPr>
          </w:p>
        </w:tc>
        <w:tc>
          <w:tcPr>
            <w:tcW w:w="574"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0183D834">
            <w:pPr>
              <w:spacing w:line="360" w:lineRule="auto"/>
              <w:jc w:val="center"/>
              <w:rPr>
                <w:rFonts w:hint="default" w:ascii="Times New Roman" w:hAnsi="Times New Roman" w:cs="Times New Roman"/>
                <w:b/>
                <w:bCs/>
                <w:i w:val="0"/>
                <w:iCs w:val="0"/>
                <w:color w:val="000000"/>
                <w:sz w:val="24"/>
                <w:szCs w:val="24"/>
                <w:u w:val="single"/>
              </w:rPr>
            </w:pPr>
          </w:p>
        </w:tc>
      </w:tr>
      <w:tr w14:paraId="440EA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9" w:hRule="atLeast"/>
        </w:trPr>
        <w:tc>
          <w:tcPr>
            <w:tcW w:w="63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A2D3E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Return on Assets </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bottom"/>
          </w:tcPr>
          <w:p w14:paraId="1A1CEB7A">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single"/>
              </w:rPr>
            </w:pPr>
            <w:r>
              <w:rPr>
                <w:rStyle w:val="5"/>
                <w:rFonts w:hint="default" w:ascii="Times New Roman" w:hAnsi="Times New Roman" w:eastAsia="SimSun" w:cs="Times New Roman"/>
                <w:sz w:val="24"/>
                <w:szCs w:val="24"/>
                <w:lang w:val="en-US" w:eastAsia="zh-CN" w:bidi="ar"/>
              </w:rPr>
              <w:t>Net profit (profit for the year) x 100</w:t>
            </w:r>
            <w:r>
              <w:rPr>
                <w:rStyle w:val="5"/>
                <w:rFonts w:hint="default" w:ascii="Times New Roman" w:hAnsi="Times New Roman" w:eastAsia="SimSun" w:cs="Times New Roman"/>
                <w:sz w:val="24"/>
                <w:szCs w:val="24"/>
                <w:lang w:val="en-US" w:eastAsia="zh-CN" w:bidi="ar"/>
              </w:rPr>
              <w:br w:type="textWrapping"/>
            </w:r>
            <w:r>
              <w:rPr>
                <w:rStyle w:val="6"/>
                <w:rFonts w:hint="default" w:ascii="Times New Roman" w:hAnsi="Times New Roman" w:eastAsia="SimSun" w:cs="Times New Roman"/>
                <w:sz w:val="24"/>
                <w:szCs w:val="24"/>
                <w:u w:val="single"/>
                <w:lang w:val="en-US" w:eastAsia="zh-CN" w:bidi="ar"/>
              </w:rPr>
              <w:t xml:space="preserve">Total Assets   </w:t>
            </w: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23453B47">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Net profit/loss</w:t>
            </w:r>
          </w:p>
        </w:tc>
        <w:tc>
          <w:tcPr>
            <w:tcW w:w="578" w:type="pct"/>
            <w:tcBorders>
              <w:top w:val="nil"/>
              <w:left w:val="nil"/>
              <w:bottom w:val="single" w:color="000000" w:sz="8" w:space="0"/>
              <w:right w:val="single" w:color="000000" w:sz="8" w:space="0"/>
            </w:tcBorders>
            <w:shd w:val="clear" w:color="auto" w:fill="auto"/>
            <w:vAlign w:val="center"/>
          </w:tcPr>
          <w:p w14:paraId="3D0EE4E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9,804</w:t>
            </w:r>
          </w:p>
        </w:tc>
        <w:tc>
          <w:tcPr>
            <w:tcW w:w="661" w:type="pct"/>
            <w:tcBorders>
              <w:top w:val="nil"/>
              <w:left w:val="nil"/>
              <w:bottom w:val="single" w:color="000000" w:sz="8" w:space="0"/>
              <w:right w:val="single" w:color="000000" w:sz="8" w:space="0"/>
            </w:tcBorders>
            <w:shd w:val="clear" w:color="auto" w:fill="auto"/>
            <w:vAlign w:val="center"/>
          </w:tcPr>
          <w:p w14:paraId="0F5A825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7,768</w:t>
            </w:r>
          </w:p>
        </w:tc>
        <w:tc>
          <w:tcPr>
            <w:tcW w:w="635" w:type="pct"/>
            <w:tcBorders>
              <w:top w:val="nil"/>
              <w:left w:val="nil"/>
              <w:bottom w:val="single" w:color="000000" w:sz="8" w:space="0"/>
              <w:right w:val="single" w:color="000000" w:sz="8" w:space="0"/>
            </w:tcBorders>
            <w:shd w:val="clear" w:color="auto" w:fill="auto"/>
            <w:vAlign w:val="center"/>
          </w:tcPr>
          <w:p w14:paraId="7192F11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9,571</w:t>
            </w:r>
          </w:p>
        </w:tc>
        <w:tc>
          <w:tcPr>
            <w:tcW w:w="574" w:type="pct"/>
            <w:tcBorders>
              <w:top w:val="nil"/>
              <w:left w:val="nil"/>
              <w:bottom w:val="single" w:color="000000" w:sz="8" w:space="0"/>
              <w:right w:val="single" w:color="000000" w:sz="8" w:space="0"/>
            </w:tcBorders>
            <w:shd w:val="clear" w:color="auto" w:fill="auto"/>
            <w:vAlign w:val="center"/>
          </w:tcPr>
          <w:p w14:paraId="72DEBC5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10,703</w:t>
            </w:r>
          </w:p>
        </w:tc>
      </w:tr>
      <w:tr w14:paraId="7CA7F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B62795">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3D7B03F5">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6A761503">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Total Assets</w:t>
            </w:r>
          </w:p>
        </w:tc>
        <w:tc>
          <w:tcPr>
            <w:tcW w:w="578" w:type="pct"/>
            <w:tcBorders>
              <w:top w:val="nil"/>
              <w:left w:val="nil"/>
              <w:bottom w:val="single" w:color="000000" w:sz="8" w:space="0"/>
              <w:right w:val="single" w:color="000000" w:sz="8" w:space="0"/>
            </w:tcBorders>
            <w:shd w:val="clear" w:color="auto" w:fill="auto"/>
            <w:vAlign w:val="center"/>
          </w:tcPr>
          <w:p w14:paraId="4651EDFA">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87,294</w:t>
            </w:r>
          </w:p>
        </w:tc>
        <w:tc>
          <w:tcPr>
            <w:tcW w:w="661" w:type="pct"/>
            <w:tcBorders>
              <w:top w:val="nil"/>
              <w:left w:val="nil"/>
              <w:bottom w:val="single" w:color="000000" w:sz="8" w:space="0"/>
              <w:right w:val="single" w:color="000000" w:sz="8" w:space="0"/>
            </w:tcBorders>
            <w:shd w:val="clear" w:color="auto" w:fill="auto"/>
            <w:vAlign w:val="center"/>
          </w:tcPr>
          <w:p w14:paraId="1B2FDD8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94,354</w:t>
            </w:r>
          </w:p>
        </w:tc>
        <w:tc>
          <w:tcPr>
            <w:tcW w:w="635" w:type="pct"/>
            <w:tcBorders>
              <w:top w:val="nil"/>
              <w:left w:val="nil"/>
              <w:bottom w:val="single" w:color="000000" w:sz="8" w:space="0"/>
              <w:right w:val="single" w:color="000000" w:sz="8" w:space="0"/>
            </w:tcBorders>
            <w:shd w:val="clear" w:color="auto" w:fill="auto"/>
            <w:vAlign w:val="center"/>
          </w:tcPr>
          <w:p w14:paraId="4A9921EE">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92,763</w:t>
            </w:r>
          </w:p>
        </w:tc>
        <w:tc>
          <w:tcPr>
            <w:tcW w:w="574" w:type="pct"/>
            <w:tcBorders>
              <w:top w:val="nil"/>
              <w:left w:val="nil"/>
              <w:bottom w:val="single" w:color="000000" w:sz="8" w:space="0"/>
              <w:right w:val="single" w:color="000000" w:sz="8" w:space="0"/>
            </w:tcBorders>
            <w:shd w:val="clear" w:color="auto" w:fill="auto"/>
            <w:vAlign w:val="center"/>
          </w:tcPr>
          <w:p w14:paraId="1549B94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97,703</w:t>
            </w:r>
          </w:p>
        </w:tc>
      </w:tr>
      <w:tr w14:paraId="529FA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D399D5">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nil"/>
              <w:left w:val="nil"/>
              <w:bottom w:val="nil"/>
              <w:right w:val="nil"/>
            </w:tcBorders>
            <w:shd w:val="clear" w:color="auto" w:fill="auto"/>
            <w:noWrap/>
            <w:vAlign w:val="bottom"/>
          </w:tcPr>
          <w:p w14:paraId="1F38AF68">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4703EC0D">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663DFD5E">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11.23%</w:t>
            </w:r>
          </w:p>
        </w:tc>
        <w:tc>
          <w:tcPr>
            <w:tcW w:w="661"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5915C6CC">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8.23%</w:t>
            </w:r>
          </w:p>
        </w:tc>
        <w:tc>
          <w:tcPr>
            <w:tcW w:w="635"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4602E34D">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10.32%</w:t>
            </w:r>
          </w:p>
        </w:tc>
        <w:tc>
          <w:tcPr>
            <w:tcW w:w="574" w:type="pct"/>
            <w:tcBorders>
              <w:top w:val="single" w:color="000000" w:sz="4" w:space="0"/>
              <w:left w:val="single" w:color="000000" w:sz="4" w:space="0"/>
              <w:bottom w:val="single" w:color="000000" w:sz="4" w:space="0"/>
              <w:right w:val="single" w:color="000000" w:sz="4" w:space="0"/>
            </w:tcBorders>
            <w:shd w:val="clear" w:color="auto" w:fill="C6E0B4"/>
            <w:vAlign w:val="bottom"/>
          </w:tcPr>
          <w:p w14:paraId="20301F19">
            <w:pPr>
              <w:keepNext w:val="0"/>
              <w:keepLines w:val="0"/>
              <w:widowControl/>
              <w:suppressLineNumbers w:val="0"/>
              <w:spacing w:line="360" w:lineRule="auto"/>
              <w:jc w:val="center"/>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10.95%</w:t>
            </w:r>
          </w:p>
        </w:tc>
      </w:tr>
      <w:tr w14:paraId="4F50F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tcBorders>
              <w:top w:val="nil"/>
              <w:left w:val="nil"/>
              <w:bottom w:val="nil"/>
              <w:right w:val="nil"/>
            </w:tcBorders>
            <w:shd w:val="clear" w:color="auto" w:fill="000000"/>
            <w:noWrap/>
            <w:vAlign w:val="bottom"/>
          </w:tcPr>
          <w:p w14:paraId="13C86960">
            <w:pPr>
              <w:spacing w:line="360" w:lineRule="auto"/>
              <w:rPr>
                <w:rFonts w:hint="default" w:ascii="Times New Roman" w:hAnsi="Times New Roman" w:cs="Times New Roman"/>
                <w:b/>
                <w:bCs/>
                <w:i w:val="0"/>
                <w:iCs w:val="0"/>
                <w:color w:val="000000"/>
                <w:sz w:val="24"/>
                <w:szCs w:val="24"/>
                <w:u w:val="none"/>
              </w:rPr>
            </w:pPr>
          </w:p>
        </w:tc>
        <w:tc>
          <w:tcPr>
            <w:tcW w:w="1028" w:type="pct"/>
            <w:tcBorders>
              <w:top w:val="nil"/>
              <w:left w:val="nil"/>
              <w:bottom w:val="nil"/>
              <w:right w:val="nil"/>
            </w:tcBorders>
            <w:shd w:val="clear" w:color="auto" w:fill="000000"/>
            <w:noWrap/>
            <w:vAlign w:val="bottom"/>
          </w:tcPr>
          <w:p w14:paraId="1DB5FEEE">
            <w:pPr>
              <w:spacing w:line="360" w:lineRule="auto"/>
              <w:rPr>
                <w:rFonts w:hint="default" w:ascii="Times New Roman" w:hAnsi="Times New Roman" w:cs="Times New Roman"/>
                <w:i w:val="0"/>
                <w:iCs w:val="0"/>
                <w:color w:val="000000"/>
                <w:sz w:val="24"/>
                <w:szCs w:val="24"/>
                <w:u w:val="none"/>
              </w:rPr>
            </w:pPr>
          </w:p>
        </w:tc>
        <w:tc>
          <w:tcPr>
            <w:tcW w:w="889" w:type="pct"/>
            <w:tcBorders>
              <w:top w:val="nil"/>
              <w:left w:val="nil"/>
              <w:bottom w:val="nil"/>
              <w:right w:val="nil"/>
            </w:tcBorders>
            <w:shd w:val="clear" w:color="auto" w:fill="000000"/>
            <w:noWrap/>
            <w:vAlign w:val="bottom"/>
          </w:tcPr>
          <w:p w14:paraId="4BC45FAC">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nil"/>
              <w:right w:val="nil"/>
            </w:tcBorders>
            <w:shd w:val="clear" w:color="auto" w:fill="000000"/>
            <w:noWrap/>
            <w:vAlign w:val="bottom"/>
          </w:tcPr>
          <w:p w14:paraId="54CC8912">
            <w:pPr>
              <w:spacing w:line="360" w:lineRule="auto"/>
              <w:jc w:val="center"/>
              <w:rPr>
                <w:rFonts w:hint="default" w:ascii="Times New Roman" w:hAnsi="Times New Roman" w:cs="Times New Roman"/>
                <w:b/>
                <w:bCs/>
                <w:i w:val="0"/>
                <w:iCs w:val="0"/>
                <w:color w:val="000000"/>
                <w:sz w:val="24"/>
                <w:szCs w:val="24"/>
                <w:u w:val="none"/>
              </w:rPr>
            </w:pPr>
          </w:p>
        </w:tc>
        <w:tc>
          <w:tcPr>
            <w:tcW w:w="661" w:type="pct"/>
            <w:tcBorders>
              <w:top w:val="nil"/>
              <w:left w:val="nil"/>
              <w:bottom w:val="nil"/>
              <w:right w:val="nil"/>
            </w:tcBorders>
            <w:shd w:val="clear" w:color="auto" w:fill="000000"/>
            <w:noWrap/>
            <w:vAlign w:val="bottom"/>
          </w:tcPr>
          <w:p w14:paraId="25E8B8C0">
            <w:pPr>
              <w:spacing w:line="360" w:lineRule="auto"/>
              <w:jc w:val="center"/>
              <w:rPr>
                <w:rFonts w:hint="default" w:ascii="Times New Roman" w:hAnsi="Times New Roman" w:cs="Times New Roman"/>
                <w:b/>
                <w:bCs/>
                <w:i w:val="0"/>
                <w:iCs w:val="0"/>
                <w:color w:val="000000"/>
                <w:sz w:val="24"/>
                <w:szCs w:val="24"/>
                <w:u w:val="none"/>
              </w:rPr>
            </w:pPr>
          </w:p>
        </w:tc>
        <w:tc>
          <w:tcPr>
            <w:tcW w:w="635" w:type="pct"/>
            <w:tcBorders>
              <w:top w:val="nil"/>
              <w:left w:val="nil"/>
              <w:bottom w:val="nil"/>
              <w:right w:val="nil"/>
            </w:tcBorders>
            <w:shd w:val="clear" w:color="auto" w:fill="000000"/>
            <w:noWrap/>
            <w:vAlign w:val="bottom"/>
          </w:tcPr>
          <w:p w14:paraId="6AF590DD">
            <w:pPr>
              <w:spacing w:line="360" w:lineRule="auto"/>
              <w:jc w:val="center"/>
              <w:rPr>
                <w:rFonts w:hint="default" w:ascii="Times New Roman" w:hAnsi="Times New Roman" w:cs="Times New Roman"/>
                <w:b/>
                <w:bCs/>
                <w:i w:val="0"/>
                <w:iCs w:val="0"/>
                <w:color w:val="000000"/>
                <w:sz w:val="24"/>
                <w:szCs w:val="24"/>
                <w:u w:val="none"/>
              </w:rPr>
            </w:pPr>
          </w:p>
        </w:tc>
        <w:tc>
          <w:tcPr>
            <w:tcW w:w="574" w:type="pct"/>
            <w:tcBorders>
              <w:top w:val="nil"/>
              <w:left w:val="nil"/>
              <w:bottom w:val="nil"/>
              <w:right w:val="nil"/>
            </w:tcBorders>
            <w:shd w:val="clear" w:color="auto" w:fill="000000"/>
            <w:noWrap/>
            <w:vAlign w:val="bottom"/>
          </w:tcPr>
          <w:p w14:paraId="1A480B84">
            <w:pPr>
              <w:spacing w:line="360" w:lineRule="auto"/>
              <w:jc w:val="center"/>
              <w:rPr>
                <w:rFonts w:hint="default" w:ascii="Times New Roman" w:hAnsi="Times New Roman" w:cs="Times New Roman"/>
                <w:b/>
                <w:bCs/>
                <w:i w:val="0"/>
                <w:iCs w:val="0"/>
                <w:color w:val="000000"/>
                <w:sz w:val="24"/>
                <w:szCs w:val="24"/>
                <w:u w:val="none"/>
              </w:rPr>
            </w:pPr>
          </w:p>
        </w:tc>
      </w:tr>
      <w:tr w14:paraId="4374D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02A54FA">
            <w:pPr>
              <w:keepNext w:val="0"/>
              <w:keepLines w:val="0"/>
              <w:widowControl/>
              <w:suppressLineNumbers w:val="0"/>
              <w:spacing w:line="360" w:lineRule="auto"/>
              <w:jc w:val="lef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Liquidity Ratio </w:t>
            </w: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C07501">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530846">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FD6D64">
            <w:pPr>
              <w:spacing w:line="360" w:lineRule="auto"/>
              <w:jc w:val="center"/>
              <w:rPr>
                <w:rFonts w:hint="default" w:ascii="Times New Roman" w:hAnsi="Times New Roman" w:cs="Times New Roman"/>
                <w:b/>
                <w:bCs/>
                <w:i w:val="0"/>
                <w:iCs w:val="0"/>
                <w:color w:val="000000"/>
                <w:sz w:val="24"/>
                <w:szCs w:val="24"/>
                <w:u w:val="none"/>
              </w:rPr>
            </w:pPr>
          </w:p>
        </w:tc>
        <w:tc>
          <w:tcPr>
            <w:tcW w:w="66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AAD8DB">
            <w:pPr>
              <w:spacing w:line="360" w:lineRule="auto"/>
              <w:jc w:val="center"/>
              <w:rPr>
                <w:rFonts w:hint="default" w:ascii="Times New Roman" w:hAnsi="Times New Roman" w:cs="Times New Roman"/>
                <w:b/>
                <w:bCs/>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E1CCDB">
            <w:pPr>
              <w:spacing w:line="360" w:lineRule="auto"/>
              <w:jc w:val="center"/>
              <w:rPr>
                <w:rFonts w:hint="default" w:ascii="Times New Roman" w:hAnsi="Times New Roman" w:cs="Times New Roman"/>
                <w:b/>
                <w:bCs/>
                <w:i w:val="0"/>
                <w:iCs w:val="0"/>
                <w:color w:val="000000"/>
                <w:sz w:val="24"/>
                <w:szCs w:val="24"/>
                <w:u w:val="none"/>
              </w:rPr>
            </w:pPr>
          </w:p>
        </w:tc>
        <w:tc>
          <w:tcPr>
            <w:tcW w:w="5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FEBDDC">
            <w:pPr>
              <w:spacing w:line="360" w:lineRule="auto"/>
              <w:jc w:val="center"/>
              <w:rPr>
                <w:rFonts w:hint="default" w:ascii="Times New Roman" w:hAnsi="Times New Roman" w:cs="Times New Roman"/>
                <w:b/>
                <w:bCs/>
                <w:i w:val="0"/>
                <w:iCs w:val="0"/>
                <w:color w:val="000000"/>
                <w:sz w:val="24"/>
                <w:szCs w:val="24"/>
                <w:u w:val="none"/>
              </w:rPr>
            </w:pPr>
          </w:p>
        </w:tc>
      </w:tr>
      <w:tr w14:paraId="54D9A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3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83CDD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Current Ratio </w:t>
            </w:r>
            <w:r>
              <w:rPr>
                <w:rFonts w:hint="default" w:ascii="Times New Roman" w:hAnsi="Times New Roman" w:eastAsia="SimSun" w:cs="Times New Roman"/>
                <w:b/>
                <w:bCs/>
                <w:i w:val="0"/>
                <w:iCs w:val="0"/>
                <w:color w:val="000000"/>
                <w:kern w:val="0"/>
                <w:sz w:val="24"/>
                <w:szCs w:val="24"/>
                <w:u w:val="none"/>
                <w:lang w:val="en-US" w:eastAsia="zh-CN" w:bidi="ar"/>
              </w:rPr>
              <w:br w:type="textWrapping"/>
            </w:r>
            <w:r>
              <w:rPr>
                <w:rFonts w:hint="default" w:ascii="Times New Roman" w:hAnsi="Times New Roman" w:eastAsia="SimSun" w:cs="Times New Roman"/>
                <w:b/>
                <w:bCs/>
                <w:i w:val="0"/>
                <w:iCs w:val="0"/>
                <w:color w:val="000000"/>
                <w:kern w:val="0"/>
                <w:sz w:val="24"/>
                <w:szCs w:val="24"/>
                <w:u w:val="none"/>
                <w:lang w:val="en-US" w:eastAsia="zh-CN" w:bidi="ar"/>
              </w:rPr>
              <w:t xml:space="preserve">(expressed as a ratio X:Y) </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bottom"/>
          </w:tcPr>
          <w:p w14:paraId="669657B8">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Style w:val="5"/>
                <w:rFonts w:hint="default" w:ascii="Times New Roman" w:hAnsi="Times New Roman" w:eastAsia="SimSun" w:cs="Times New Roman"/>
                <w:sz w:val="24"/>
                <w:szCs w:val="24"/>
                <w:lang w:val="en-US" w:eastAsia="zh-CN" w:bidi="ar"/>
              </w:rPr>
              <w:t>Current Asset</w:t>
            </w:r>
            <w:r>
              <w:rPr>
                <w:rStyle w:val="6"/>
                <w:rFonts w:hint="default" w:ascii="Times New Roman" w:hAnsi="Times New Roman" w:eastAsia="SimSun" w:cs="Times New Roman"/>
                <w:sz w:val="24"/>
                <w:szCs w:val="24"/>
                <w:lang w:val="en-US" w:eastAsia="zh-CN" w:bidi="ar"/>
              </w:rPr>
              <w:t xml:space="preserve"> </w:t>
            </w:r>
            <w:r>
              <w:rPr>
                <w:rStyle w:val="6"/>
                <w:rFonts w:hint="default" w:ascii="Times New Roman" w:hAnsi="Times New Roman" w:eastAsia="SimSun" w:cs="Times New Roman"/>
                <w:sz w:val="24"/>
                <w:szCs w:val="24"/>
                <w:lang w:val="en-US" w:eastAsia="zh-CN" w:bidi="ar"/>
              </w:rPr>
              <w:br w:type="textWrapping"/>
            </w:r>
            <w:r>
              <w:rPr>
                <w:rStyle w:val="6"/>
                <w:rFonts w:hint="default" w:ascii="Times New Roman" w:hAnsi="Times New Roman" w:eastAsia="SimSun" w:cs="Times New Roman"/>
                <w:sz w:val="24"/>
                <w:szCs w:val="24"/>
                <w:lang w:val="en-US" w:eastAsia="zh-CN" w:bidi="ar"/>
              </w:rPr>
              <w:t xml:space="preserve">Current Liabilities </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8EA796">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Current Asset </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71D275">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19,240</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1BC28">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22,545</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83A70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22,591</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A16EA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26,732</w:t>
            </w:r>
          </w:p>
        </w:tc>
      </w:tr>
      <w:tr w14:paraId="16EE8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9"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7E08E6">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bottom"/>
          </w:tcPr>
          <w:p w14:paraId="7A24A533">
            <w:pPr>
              <w:spacing w:line="360" w:lineRule="auto"/>
              <w:jc w:val="center"/>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C611E36">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Current Liabilities </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A800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14,601</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C4757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19,950</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F6A023">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19,724</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5328FC">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23,571</w:t>
            </w:r>
          </w:p>
        </w:tc>
      </w:tr>
      <w:tr w14:paraId="5917F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719671">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E9B6E2">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8430C1">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45B0DF78">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1.32</w:t>
            </w:r>
          </w:p>
        </w:tc>
        <w:tc>
          <w:tcPr>
            <w:tcW w:w="661"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0FA099B7">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1.13</w:t>
            </w:r>
          </w:p>
        </w:tc>
        <w:tc>
          <w:tcPr>
            <w:tcW w:w="635"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3004BAF9">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1.15</w:t>
            </w:r>
          </w:p>
        </w:tc>
        <w:tc>
          <w:tcPr>
            <w:tcW w:w="574"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27821C53">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1.13</w:t>
            </w:r>
          </w:p>
        </w:tc>
      </w:tr>
      <w:tr w14:paraId="003A9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2" w:hRule="atLeast"/>
        </w:trPr>
        <w:tc>
          <w:tcPr>
            <w:tcW w:w="632" w:type="pct"/>
            <w:tcBorders>
              <w:top w:val="single" w:color="000000" w:sz="4" w:space="0"/>
              <w:left w:val="single" w:color="000000" w:sz="4" w:space="0"/>
              <w:bottom w:val="single" w:color="000000" w:sz="4" w:space="0"/>
              <w:right w:val="single" w:color="000000" w:sz="4" w:space="0"/>
            </w:tcBorders>
            <w:shd w:val="clear" w:color="auto" w:fill="000000"/>
            <w:noWrap/>
            <w:vAlign w:val="center"/>
          </w:tcPr>
          <w:p w14:paraId="68A7FD72">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26A62915">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259762C8">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1F17217F">
            <w:pPr>
              <w:spacing w:line="360" w:lineRule="auto"/>
              <w:rPr>
                <w:rFonts w:hint="default" w:ascii="Times New Roman" w:hAnsi="Times New Roman" w:cs="Times New Roman"/>
                <w:i w:val="0"/>
                <w:iCs w:val="0"/>
                <w:color w:val="000000"/>
                <w:sz w:val="24"/>
                <w:szCs w:val="24"/>
                <w:u w:val="none"/>
              </w:rPr>
            </w:pPr>
          </w:p>
        </w:tc>
        <w:tc>
          <w:tcPr>
            <w:tcW w:w="661" w:type="pct"/>
            <w:tcBorders>
              <w:top w:val="single" w:color="000000" w:sz="4" w:space="0"/>
              <w:left w:val="nil"/>
              <w:bottom w:val="single" w:color="000000" w:sz="4" w:space="0"/>
              <w:right w:val="single" w:color="000000" w:sz="4" w:space="0"/>
            </w:tcBorders>
            <w:shd w:val="clear" w:color="auto" w:fill="000000"/>
            <w:noWrap/>
            <w:vAlign w:val="bottom"/>
          </w:tcPr>
          <w:p w14:paraId="11C0A1BC">
            <w:pPr>
              <w:spacing w:line="360" w:lineRule="auto"/>
              <w:rPr>
                <w:rFonts w:hint="default" w:ascii="Times New Roman" w:hAnsi="Times New Roman" w:cs="Times New Roman"/>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25C6EAAA">
            <w:pPr>
              <w:spacing w:line="360" w:lineRule="auto"/>
              <w:rPr>
                <w:rFonts w:hint="default" w:ascii="Times New Roman" w:hAnsi="Times New Roman" w:cs="Times New Roman"/>
                <w:i w:val="0"/>
                <w:iCs w:val="0"/>
                <w:color w:val="000000"/>
                <w:sz w:val="24"/>
                <w:szCs w:val="24"/>
                <w:u w:val="none"/>
              </w:rPr>
            </w:pPr>
          </w:p>
        </w:tc>
        <w:tc>
          <w:tcPr>
            <w:tcW w:w="574"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78E06201">
            <w:pPr>
              <w:spacing w:line="360" w:lineRule="auto"/>
              <w:rPr>
                <w:rFonts w:hint="default" w:ascii="Times New Roman" w:hAnsi="Times New Roman" w:cs="Times New Roman"/>
                <w:i w:val="0"/>
                <w:iCs w:val="0"/>
                <w:color w:val="000000"/>
                <w:sz w:val="24"/>
                <w:szCs w:val="24"/>
                <w:u w:val="none"/>
              </w:rPr>
            </w:pPr>
          </w:p>
        </w:tc>
      </w:tr>
      <w:tr w14:paraId="2CD50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0" w:hRule="atLeast"/>
        </w:trPr>
        <w:tc>
          <w:tcPr>
            <w:tcW w:w="632" w:type="pct"/>
            <w:vMerge w:val="restart"/>
            <w:tcBorders>
              <w:top w:val="single" w:color="000000" w:sz="4" w:space="0"/>
              <w:left w:val="nil"/>
              <w:bottom w:val="nil"/>
              <w:right w:val="nil"/>
            </w:tcBorders>
            <w:shd w:val="clear" w:color="auto" w:fill="auto"/>
            <w:vAlign w:val="center"/>
          </w:tcPr>
          <w:p w14:paraId="77480D97">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Quick Ratio </w:t>
            </w:r>
            <w:r>
              <w:rPr>
                <w:rFonts w:hint="default" w:ascii="Times New Roman" w:hAnsi="Times New Roman" w:eastAsia="SimSun" w:cs="Times New Roman"/>
                <w:b/>
                <w:bCs/>
                <w:i w:val="0"/>
                <w:iCs w:val="0"/>
                <w:color w:val="000000"/>
                <w:kern w:val="0"/>
                <w:sz w:val="24"/>
                <w:szCs w:val="24"/>
                <w:u w:val="none"/>
                <w:lang w:val="en-US" w:eastAsia="zh-CN" w:bidi="ar"/>
              </w:rPr>
              <w:br w:type="textWrapping"/>
            </w:r>
            <w:r>
              <w:rPr>
                <w:rFonts w:hint="default" w:ascii="Times New Roman" w:hAnsi="Times New Roman" w:eastAsia="SimSun" w:cs="Times New Roman"/>
                <w:b/>
                <w:bCs/>
                <w:i w:val="0"/>
                <w:iCs w:val="0"/>
                <w:color w:val="000000"/>
                <w:kern w:val="0"/>
                <w:sz w:val="24"/>
                <w:szCs w:val="24"/>
                <w:u w:val="none"/>
                <w:lang w:val="en-US" w:eastAsia="zh-CN" w:bidi="ar"/>
              </w:rPr>
              <w:t xml:space="preserve">(expressed as a ratio X:Y) </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7D40C2">
            <w:pPr>
              <w:keepNext w:val="0"/>
              <w:keepLines w:val="0"/>
              <w:widowControl/>
              <w:suppressLineNumbers w:val="0"/>
              <w:spacing w:line="360" w:lineRule="auto"/>
              <w:jc w:val="center"/>
              <w:textAlignment w:val="center"/>
              <w:rPr>
                <w:rFonts w:hint="default" w:ascii="Times New Roman" w:hAnsi="Times New Roman" w:cs="Times New Roman"/>
                <w:i w:val="0"/>
                <w:iCs w:val="0"/>
                <w:color w:val="000000"/>
                <w:sz w:val="24"/>
                <w:szCs w:val="24"/>
                <w:u w:val="none"/>
              </w:rPr>
            </w:pPr>
            <w:r>
              <w:rPr>
                <w:rStyle w:val="5"/>
                <w:rFonts w:hint="default" w:ascii="Times New Roman" w:hAnsi="Times New Roman" w:eastAsia="SimSun" w:cs="Times New Roman"/>
                <w:sz w:val="24"/>
                <w:szCs w:val="24"/>
                <w:lang w:val="en-US" w:eastAsia="zh-CN" w:bidi="ar"/>
              </w:rPr>
              <w:t>(Current Asset - inventories)</w:t>
            </w:r>
            <w:r>
              <w:rPr>
                <w:rStyle w:val="6"/>
                <w:rFonts w:hint="default" w:ascii="Times New Roman" w:hAnsi="Times New Roman" w:eastAsia="SimSun" w:cs="Times New Roman"/>
                <w:sz w:val="24"/>
                <w:szCs w:val="24"/>
                <w:lang w:val="en-US" w:eastAsia="zh-CN" w:bidi="ar"/>
              </w:rPr>
              <w:br w:type="textWrapping"/>
            </w:r>
            <w:r>
              <w:rPr>
                <w:rStyle w:val="6"/>
                <w:rFonts w:hint="default" w:ascii="Times New Roman" w:hAnsi="Times New Roman" w:eastAsia="SimSun" w:cs="Times New Roman"/>
                <w:sz w:val="24"/>
                <w:szCs w:val="24"/>
                <w:lang w:val="en-US" w:eastAsia="zh-CN" w:bidi="ar"/>
              </w:rPr>
              <w:t xml:space="preserve">Current Liabilities </w:t>
            </w: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bottom"/>
          </w:tcPr>
          <w:p w14:paraId="33D3E10D">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Current Asset </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F794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19,240</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BF813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22,545</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707C5">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22,591</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A8A4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26,732</w:t>
            </w:r>
          </w:p>
        </w:tc>
      </w:tr>
      <w:tr w14:paraId="18467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632" w:type="pct"/>
            <w:vMerge w:val="continue"/>
            <w:tcBorders>
              <w:top w:val="single" w:color="000000" w:sz="4" w:space="0"/>
              <w:left w:val="nil"/>
              <w:bottom w:val="nil"/>
              <w:right w:val="nil"/>
            </w:tcBorders>
            <w:shd w:val="clear" w:color="auto" w:fill="auto"/>
            <w:vAlign w:val="center"/>
          </w:tcPr>
          <w:p w14:paraId="19FC0C03">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FEF98A">
            <w:pPr>
              <w:spacing w:line="360" w:lineRule="auto"/>
              <w:jc w:val="center"/>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AAAA33">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Inventories </w:t>
            </w:r>
          </w:p>
        </w:tc>
        <w:tc>
          <w:tcPr>
            <w:tcW w:w="578" w:type="pct"/>
            <w:tcBorders>
              <w:top w:val="nil"/>
              <w:left w:val="nil"/>
              <w:bottom w:val="single" w:color="000000" w:sz="8" w:space="0"/>
              <w:right w:val="single" w:color="000000" w:sz="8" w:space="0"/>
            </w:tcBorders>
            <w:shd w:val="clear" w:color="auto" w:fill="auto"/>
            <w:vAlign w:val="center"/>
          </w:tcPr>
          <w:p w14:paraId="6FA4A518">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3,266</w:t>
            </w:r>
          </w:p>
        </w:tc>
        <w:tc>
          <w:tcPr>
            <w:tcW w:w="661" w:type="pct"/>
            <w:tcBorders>
              <w:top w:val="nil"/>
              <w:left w:val="nil"/>
              <w:bottom w:val="single" w:color="000000" w:sz="8" w:space="0"/>
              <w:right w:val="single" w:color="000000" w:sz="8" w:space="0"/>
            </w:tcBorders>
            <w:shd w:val="clear" w:color="auto" w:fill="auto"/>
            <w:vAlign w:val="center"/>
          </w:tcPr>
          <w:p w14:paraId="6BCFAB9E">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3,414</w:t>
            </w:r>
          </w:p>
        </w:tc>
        <w:tc>
          <w:tcPr>
            <w:tcW w:w="635" w:type="pct"/>
            <w:tcBorders>
              <w:top w:val="nil"/>
              <w:left w:val="nil"/>
              <w:bottom w:val="single" w:color="000000" w:sz="8" w:space="0"/>
              <w:right w:val="single" w:color="000000" w:sz="8" w:space="0"/>
            </w:tcBorders>
            <w:shd w:val="clear" w:color="auto" w:fill="auto"/>
            <w:vAlign w:val="center"/>
          </w:tcPr>
          <w:p w14:paraId="4999EC75">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4,233</w:t>
            </w:r>
          </w:p>
        </w:tc>
        <w:tc>
          <w:tcPr>
            <w:tcW w:w="574" w:type="pct"/>
            <w:tcBorders>
              <w:top w:val="nil"/>
              <w:left w:val="nil"/>
              <w:bottom w:val="single" w:color="000000" w:sz="8" w:space="0"/>
              <w:right w:val="single" w:color="000000" w:sz="8" w:space="0"/>
            </w:tcBorders>
            <w:shd w:val="clear" w:color="auto" w:fill="auto"/>
            <w:vAlign w:val="center"/>
          </w:tcPr>
          <w:p w14:paraId="7652C7E3">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4,424</w:t>
            </w:r>
          </w:p>
        </w:tc>
      </w:tr>
      <w:tr w14:paraId="79FAD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632" w:type="pct"/>
            <w:vMerge w:val="continue"/>
            <w:tcBorders>
              <w:top w:val="single" w:color="000000" w:sz="4" w:space="0"/>
              <w:left w:val="nil"/>
              <w:bottom w:val="nil"/>
              <w:right w:val="nil"/>
            </w:tcBorders>
            <w:shd w:val="clear" w:color="auto" w:fill="auto"/>
            <w:vAlign w:val="center"/>
          </w:tcPr>
          <w:p w14:paraId="325A04F9">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nil"/>
              <w:right w:val="single" w:color="000000" w:sz="4" w:space="0"/>
            </w:tcBorders>
            <w:shd w:val="clear" w:color="auto" w:fill="auto"/>
            <w:noWrap/>
            <w:vAlign w:val="bottom"/>
          </w:tcPr>
          <w:p w14:paraId="2D4314B9">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nil"/>
              <w:right w:val="single" w:color="000000" w:sz="4" w:space="0"/>
            </w:tcBorders>
            <w:shd w:val="clear" w:color="auto" w:fill="auto"/>
            <w:noWrap/>
            <w:vAlign w:val="bottom"/>
          </w:tcPr>
          <w:p w14:paraId="3F8C1992">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Current Liabilities </w:t>
            </w:r>
          </w:p>
        </w:tc>
        <w:tc>
          <w:tcPr>
            <w:tcW w:w="578" w:type="pct"/>
            <w:tcBorders>
              <w:top w:val="nil"/>
              <w:left w:val="nil"/>
              <w:bottom w:val="single" w:color="000000" w:sz="8" w:space="0"/>
              <w:right w:val="single" w:color="000000" w:sz="8" w:space="0"/>
            </w:tcBorders>
            <w:shd w:val="clear" w:color="auto" w:fill="auto"/>
            <w:vAlign w:val="center"/>
          </w:tcPr>
          <w:p w14:paraId="74A0892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14,601</w:t>
            </w:r>
          </w:p>
        </w:tc>
        <w:tc>
          <w:tcPr>
            <w:tcW w:w="661" w:type="pct"/>
            <w:tcBorders>
              <w:top w:val="nil"/>
              <w:left w:val="nil"/>
              <w:bottom w:val="single" w:color="000000" w:sz="8" w:space="0"/>
              <w:right w:val="single" w:color="000000" w:sz="8" w:space="0"/>
            </w:tcBorders>
            <w:shd w:val="clear" w:color="auto" w:fill="auto"/>
            <w:vAlign w:val="center"/>
          </w:tcPr>
          <w:p w14:paraId="5F6A9ADA">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19,950</w:t>
            </w:r>
          </w:p>
        </w:tc>
        <w:tc>
          <w:tcPr>
            <w:tcW w:w="635" w:type="pct"/>
            <w:tcBorders>
              <w:top w:val="nil"/>
              <w:left w:val="nil"/>
              <w:bottom w:val="single" w:color="000000" w:sz="8" w:space="0"/>
              <w:right w:val="single" w:color="000000" w:sz="8" w:space="0"/>
            </w:tcBorders>
            <w:shd w:val="clear" w:color="auto" w:fill="auto"/>
            <w:vAlign w:val="center"/>
          </w:tcPr>
          <w:p w14:paraId="5D4F770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19,724</w:t>
            </w:r>
          </w:p>
        </w:tc>
        <w:tc>
          <w:tcPr>
            <w:tcW w:w="574" w:type="pct"/>
            <w:tcBorders>
              <w:top w:val="nil"/>
              <w:left w:val="nil"/>
              <w:bottom w:val="single" w:color="000000" w:sz="8" w:space="0"/>
              <w:right w:val="single" w:color="000000" w:sz="8" w:space="0"/>
            </w:tcBorders>
            <w:shd w:val="clear" w:color="auto" w:fill="auto"/>
            <w:vAlign w:val="center"/>
          </w:tcPr>
          <w:p w14:paraId="52BD1F6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23,571</w:t>
            </w:r>
          </w:p>
        </w:tc>
      </w:tr>
      <w:tr w14:paraId="0CB7D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632" w:type="pct"/>
            <w:vMerge w:val="continue"/>
            <w:tcBorders>
              <w:top w:val="single" w:color="000000" w:sz="4" w:space="0"/>
              <w:left w:val="nil"/>
              <w:bottom w:val="nil"/>
              <w:right w:val="nil"/>
            </w:tcBorders>
            <w:shd w:val="clear" w:color="auto" w:fill="auto"/>
            <w:vAlign w:val="center"/>
          </w:tcPr>
          <w:p w14:paraId="61FF33E6">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38BC76">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327829">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3400EBA3">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1.09</w:t>
            </w:r>
          </w:p>
        </w:tc>
        <w:tc>
          <w:tcPr>
            <w:tcW w:w="66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613672A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0.96</w:t>
            </w:r>
          </w:p>
        </w:tc>
        <w:tc>
          <w:tcPr>
            <w:tcW w:w="635"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65490DA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0.93</w:t>
            </w:r>
          </w:p>
        </w:tc>
        <w:tc>
          <w:tcPr>
            <w:tcW w:w="574"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30606318">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0.95</w:t>
            </w:r>
          </w:p>
        </w:tc>
      </w:tr>
      <w:tr w14:paraId="50223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632" w:type="pct"/>
            <w:tcBorders>
              <w:top w:val="nil"/>
              <w:left w:val="nil"/>
              <w:bottom w:val="nil"/>
              <w:right w:val="nil"/>
            </w:tcBorders>
            <w:shd w:val="clear" w:color="auto" w:fill="000000"/>
            <w:noWrap/>
            <w:vAlign w:val="bottom"/>
          </w:tcPr>
          <w:p w14:paraId="7B420A5E">
            <w:pPr>
              <w:spacing w:line="360" w:lineRule="auto"/>
              <w:rPr>
                <w:rFonts w:hint="default" w:ascii="Times New Roman" w:hAnsi="Times New Roman" w:cs="Times New Roman"/>
                <w:b/>
                <w:bCs/>
                <w:i w:val="0"/>
                <w:iCs w:val="0"/>
                <w:color w:val="000000"/>
                <w:sz w:val="24"/>
                <w:szCs w:val="24"/>
                <w:u w:val="none"/>
              </w:rPr>
            </w:pPr>
          </w:p>
        </w:tc>
        <w:tc>
          <w:tcPr>
            <w:tcW w:w="1028" w:type="pct"/>
            <w:tcBorders>
              <w:top w:val="nil"/>
              <w:left w:val="nil"/>
              <w:bottom w:val="nil"/>
              <w:right w:val="nil"/>
            </w:tcBorders>
            <w:shd w:val="clear" w:color="auto" w:fill="000000"/>
            <w:noWrap/>
            <w:vAlign w:val="bottom"/>
          </w:tcPr>
          <w:p w14:paraId="19D90B15">
            <w:pPr>
              <w:spacing w:line="360" w:lineRule="auto"/>
              <w:rPr>
                <w:rFonts w:hint="default" w:ascii="Times New Roman" w:hAnsi="Times New Roman" w:cs="Times New Roman"/>
                <w:i w:val="0"/>
                <w:iCs w:val="0"/>
                <w:color w:val="000000"/>
                <w:sz w:val="24"/>
                <w:szCs w:val="24"/>
                <w:u w:val="none"/>
              </w:rPr>
            </w:pPr>
          </w:p>
        </w:tc>
        <w:tc>
          <w:tcPr>
            <w:tcW w:w="889" w:type="pct"/>
            <w:tcBorders>
              <w:top w:val="nil"/>
              <w:left w:val="nil"/>
              <w:bottom w:val="nil"/>
              <w:right w:val="nil"/>
            </w:tcBorders>
            <w:shd w:val="clear" w:color="auto" w:fill="000000"/>
            <w:noWrap/>
            <w:vAlign w:val="bottom"/>
          </w:tcPr>
          <w:p w14:paraId="5F27E2D7">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nil"/>
              <w:right w:val="nil"/>
            </w:tcBorders>
            <w:shd w:val="clear" w:color="auto" w:fill="000000"/>
            <w:noWrap/>
            <w:vAlign w:val="bottom"/>
          </w:tcPr>
          <w:p w14:paraId="79C18857">
            <w:pPr>
              <w:spacing w:line="360" w:lineRule="auto"/>
              <w:rPr>
                <w:rFonts w:hint="default" w:ascii="Times New Roman" w:hAnsi="Times New Roman" w:cs="Times New Roman"/>
                <w:i w:val="0"/>
                <w:iCs w:val="0"/>
                <w:color w:val="000000"/>
                <w:sz w:val="24"/>
                <w:szCs w:val="24"/>
                <w:u w:val="none"/>
              </w:rPr>
            </w:pPr>
          </w:p>
        </w:tc>
        <w:tc>
          <w:tcPr>
            <w:tcW w:w="661" w:type="pct"/>
            <w:tcBorders>
              <w:top w:val="nil"/>
              <w:left w:val="nil"/>
              <w:bottom w:val="nil"/>
              <w:right w:val="nil"/>
            </w:tcBorders>
            <w:shd w:val="clear" w:color="auto" w:fill="000000"/>
            <w:noWrap/>
            <w:vAlign w:val="bottom"/>
          </w:tcPr>
          <w:p w14:paraId="378F8AA2">
            <w:pPr>
              <w:spacing w:line="360" w:lineRule="auto"/>
              <w:rPr>
                <w:rFonts w:hint="default" w:ascii="Times New Roman" w:hAnsi="Times New Roman" w:cs="Times New Roman"/>
                <w:i w:val="0"/>
                <w:iCs w:val="0"/>
                <w:color w:val="000000"/>
                <w:sz w:val="24"/>
                <w:szCs w:val="24"/>
                <w:u w:val="none"/>
              </w:rPr>
            </w:pPr>
          </w:p>
        </w:tc>
        <w:tc>
          <w:tcPr>
            <w:tcW w:w="635" w:type="pct"/>
            <w:tcBorders>
              <w:top w:val="nil"/>
              <w:left w:val="nil"/>
              <w:bottom w:val="nil"/>
              <w:right w:val="nil"/>
            </w:tcBorders>
            <w:shd w:val="clear" w:color="auto" w:fill="000000"/>
            <w:noWrap/>
            <w:vAlign w:val="bottom"/>
          </w:tcPr>
          <w:p w14:paraId="2404E36C">
            <w:pPr>
              <w:spacing w:line="360" w:lineRule="auto"/>
              <w:rPr>
                <w:rFonts w:hint="default" w:ascii="Times New Roman" w:hAnsi="Times New Roman" w:cs="Times New Roman"/>
                <w:i w:val="0"/>
                <w:iCs w:val="0"/>
                <w:color w:val="000000"/>
                <w:sz w:val="24"/>
                <w:szCs w:val="24"/>
                <w:u w:val="none"/>
              </w:rPr>
            </w:pPr>
          </w:p>
        </w:tc>
        <w:tc>
          <w:tcPr>
            <w:tcW w:w="574" w:type="pct"/>
            <w:tcBorders>
              <w:top w:val="nil"/>
              <w:left w:val="nil"/>
              <w:bottom w:val="nil"/>
              <w:right w:val="nil"/>
            </w:tcBorders>
            <w:shd w:val="clear" w:color="auto" w:fill="000000"/>
            <w:noWrap/>
            <w:vAlign w:val="bottom"/>
          </w:tcPr>
          <w:p w14:paraId="5F7E2911">
            <w:pPr>
              <w:spacing w:line="360" w:lineRule="auto"/>
              <w:rPr>
                <w:rFonts w:hint="default" w:ascii="Times New Roman" w:hAnsi="Times New Roman" w:cs="Times New Roman"/>
                <w:i w:val="0"/>
                <w:iCs w:val="0"/>
                <w:color w:val="000000"/>
                <w:sz w:val="24"/>
                <w:szCs w:val="24"/>
                <w:u w:val="none"/>
              </w:rPr>
            </w:pPr>
          </w:p>
        </w:tc>
      </w:tr>
      <w:tr w14:paraId="223A2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632" w:type="pct"/>
            <w:tcBorders>
              <w:top w:val="single" w:color="000000" w:sz="4" w:space="0"/>
              <w:left w:val="single" w:color="000000" w:sz="4" w:space="0"/>
              <w:bottom w:val="single" w:color="000000" w:sz="4" w:space="0"/>
              <w:right w:val="nil"/>
            </w:tcBorders>
            <w:shd w:val="clear" w:color="auto" w:fill="FFFF00"/>
            <w:noWrap/>
            <w:vAlign w:val="bottom"/>
          </w:tcPr>
          <w:p w14:paraId="29AC6CFA">
            <w:pPr>
              <w:keepNext w:val="0"/>
              <w:keepLines w:val="0"/>
              <w:widowControl/>
              <w:suppressLineNumbers w:val="0"/>
              <w:spacing w:line="360" w:lineRule="auto"/>
              <w:jc w:val="lef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Efficiency Ratios</w:t>
            </w:r>
          </w:p>
        </w:tc>
        <w:tc>
          <w:tcPr>
            <w:tcW w:w="1028" w:type="pct"/>
            <w:tcBorders>
              <w:top w:val="single" w:color="000000" w:sz="8" w:space="0"/>
              <w:left w:val="single" w:color="000000" w:sz="8" w:space="0"/>
              <w:bottom w:val="single" w:color="000000" w:sz="4" w:space="0"/>
              <w:right w:val="single" w:color="000000" w:sz="4" w:space="0"/>
            </w:tcBorders>
            <w:shd w:val="clear" w:color="auto" w:fill="auto"/>
            <w:noWrap/>
            <w:vAlign w:val="bottom"/>
          </w:tcPr>
          <w:p w14:paraId="4AF75EA8">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8" w:space="0"/>
              <w:left w:val="single" w:color="000000" w:sz="4" w:space="0"/>
              <w:bottom w:val="single" w:color="000000" w:sz="4" w:space="0"/>
              <w:right w:val="single" w:color="000000" w:sz="4" w:space="0"/>
            </w:tcBorders>
            <w:shd w:val="clear" w:color="auto" w:fill="auto"/>
            <w:noWrap/>
            <w:vAlign w:val="bottom"/>
          </w:tcPr>
          <w:p w14:paraId="6942C3B9">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8" w:space="0"/>
              <w:left w:val="single" w:color="000000" w:sz="4" w:space="0"/>
              <w:bottom w:val="single" w:color="000000" w:sz="4" w:space="0"/>
              <w:right w:val="single" w:color="000000" w:sz="4" w:space="0"/>
            </w:tcBorders>
            <w:shd w:val="clear" w:color="auto" w:fill="auto"/>
            <w:noWrap/>
            <w:vAlign w:val="bottom"/>
          </w:tcPr>
          <w:p w14:paraId="2448D5D3">
            <w:pPr>
              <w:spacing w:line="360" w:lineRule="auto"/>
              <w:rPr>
                <w:rFonts w:hint="default" w:ascii="Times New Roman" w:hAnsi="Times New Roman" w:cs="Times New Roman"/>
                <w:i w:val="0"/>
                <w:iCs w:val="0"/>
                <w:color w:val="000000"/>
                <w:sz w:val="24"/>
                <w:szCs w:val="24"/>
                <w:u w:val="none"/>
              </w:rPr>
            </w:pPr>
          </w:p>
        </w:tc>
        <w:tc>
          <w:tcPr>
            <w:tcW w:w="661" w:type="pct"/>
            <w:tcBorders>
              <w:top w:val="single" w:color="000000" w:sz="8" w:space="0"/>
              <w:left w:val="single" w:color="000000" w:sz="4" w:space="0"/>
              <w:bottom w:val="single" w:color="000000" w:sz="4" w:space="0"/>
              <w:right w:val="single" w:color="000000" w:sz="8" w:space="0"/>
            </w:tcBorders>
            <w:shd w:val="clear" w:color="auto" w:fill="auto"/>
            <w:noWrap/>
            <w:vAlign w:val="bottom"/>
          </w:tcPr>
          <w:p w14:paraId="61D1E148">
            <w:pPr>
              <w:spacing w:line="360" w:lineRule="auto"/>
              <w:rPr>
                <w:rFonts w:hint="default" w:ascii="Times New Roman" w:hAnsi="Times New Roman" w:cs="Times New Roman"/>
                <w:i w:val="0"/>
                <w:iCs w:val="0"/>
                <w:color w:val="000000"/>
                <w:sz w:val="24"/>
                <w:szCs w:val="24"/>
                <w:u w:val="none"/>
              </w:rPr>
            </w:pPr>
          </w:p>
        </w:tc>
        <w:tc>
          <w:tcPr>
            <w:tcW w:w="635" w:type="pct"/>
            <w:tcBorders>
              <w:top w:val="single" w:color="000000" w:sz="8" w:space="0"/>
              <w:left w:val="single" w:color="000000" w:sz="4" w:space="0"/>
              <w:bottom w:val="single" w:color="000000" w:sz="4" w:space="0"/>
              <w:right w:val="single" w:color="000000" w:sz="4" w:space="0"/>
            </w:tcBorders>
            <w:shd w:val="clear" w:color="auto" w:fill="auto"/>
            <w:noWrap/>
            <w:vAlign w:val="bottom"/>
          </w:tcPr>
          <w:p w14:paraId="7D09C1FE">
            <w:pPr>
              <w:spacing w:line="360" w:lineRule="auto"/>
              <w:rPr>
                <w:rFonts w:hint="default" w:ascii="Times New Roman" w:hAnsi="Times New Roman" w:cs="Times New Roman"/>
                <w:i w:val="0"/>
                <w:iCs w:val="0"/>
                <w:color w:val="000000"/>
                <w:sz w:val="24"/>
                <w:szCs w:val="24"/>
                <w:u w:val="none"/>
              </w:rPr>
            </w:pPr>
          </w:p>
        </w:tc>
        <w:tc>
          <w:tcPr>
            <w:tcW w:w="574" w:type="pct"/>
            <w:tcBorders>
              <w:top w:val="single" w:color="000000" w:sz="8" w:space="0"/>
              <w:left w:val="single" w:color="000000" w:sz="4" w:space="0"/>
              <w:bottom w:val="single" w:color="000000" w:sz="4" w:space="0"/>
              <w:right w:val="single" w:color="000000" w:sz="4" w:space="0"/>
            </w:tcBorders>
            <w:shd w:val="clear" w:color="auto" w:fill="auto"/>
            <w:noWrap/>
            <w:vAlign w:val="bottom"/>
          </w:tcPr>
          <w:p w14:paraId="7768BAB4">
            <w:pPr>
              <w:spacing w:line="360" w:lineRule="auto"/>
              <w:rPr>
                <w:rFonts w:hint="default" w:ascii="Times New Roman" w:hAnsi="Times New Roman" w:cs="Times New Roman"/>
                <w:i w:val="0"/>
                <w:iCs w:val="0"/>
                <w:color w:val="000000"/>
                <w:sz w:val="24"/>
                <w:szCs w:val="24"/>
                <w:u w:val="none"/>
              </w:rPr>
            </w:pPr>
          </w:p>
        </w:tc>
      </w:tr>
      <w:tr w14:paraId="32C9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9" w:hRule="atLeast"/>
        </w:trPr>
        <w:tc>
          <w:tcPr>
            <w:tcW w:w="632" w:type="pct"/>
            <w:vMerge w:val="restart"/>
            <w:tcBorders>
              <w:top w:val="single" w:color="000000" w:sz="4" w:space="0"/>
              <w:left w:val="single" w:color="000000" w:sz="4" w:space="0"/>
              <w:bottom w:val="single" w:color="000000" w:sz="4" w:space="0"/>
              <w:right w:val="nil"/>
            </w:tcBorders>
            <w:shd w:val="clear" w:color="auto" w:fill="auto"/>
            <w:vAlign w:val="center"/>
          </w:tcPr>
          <w:p w14:paraId="286D9AE7">
            <w:pPr>
              <w:keepNext w:val="0"/>
              <w:keepLines w:val="0"/>
              <w:widowControl/>
              <w:suppressLineNumbers w:val="0"/>
              <w:spacing w:line="36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Inventory Turnover Days </w:t>
            </w:r>
          </w:p>
        </w:tc>
        <w:tc>
          <w:tcPr>
            <w:tcW w:w="1028" w:type="pct"/>
            <w:vMerge w:val="restart"/>
            <w:tcBorders>
              <w:top w:val="single" w:color="000000" w:sz="4" w:space="0"/>
              <w:left w:val="single" w:color="000000" w:sz="8" w:space="0"/>
              <w:bottom w:val="single" w:color="000000" w:sz="4" w:space="0"/>
              <w:right w:val="single" w:color="000000" w:sz="4" w:space="0"/>
            </w:tcBorders>
            <w:shd w:val="clear" w:color="auto" w:fill="auto"/>
            <w:vAlign w:val="center"/>
          </w:tcPr>
          <w:p w14:paraId="39C54E50">
            <w:pPr>
              <w:keepNext w:val="0"/>
              <w:keepLines w:val="0"/>
              <w:widowControl/>
              <w:suppressLineNumbers w:val="0"/>
              <w:spacing w:line="360" w:lineRule="auto"/>
              <w:jc w:val="center"/>
              <w:textAlignment w:val="center"/>
              <w:rPr>
                <w:rFonts w:hint="default" w:ascii="Times New Roman" w:hAnsi="Times New Roman" w:cs="Times New Roman"/>
                <w:i w:val="0"/>
                <w:iCs w:val="0"/>
                <w:color w:val="000000"/>
                <w:sz w:val="24"/>
                <w:szCs w:val="24"/>
                <w:u w:val="single"/>
              </w:rPr>
            </w:pPr>
            <w:r>
              <w:rPr>
                <w:rStyle w:val="7"/>
                <w:rFonts w:hint="default" w:ascii="Times New Roman" w:hAnsi="Times New Roman" w:eastAsia="SimSun" w:cs="Times New Roman"/>
                <w:sz w:val="24"/>
                <w:szCs w:val="24"/>
                <w:lang w:val="en-US" w:eastAsia="zh-CN" w:bidi="ar"/>
              </w:rPr>
              <w:t>Inventory  x 365 days</w:t>
            </w:r>
            <w:r>
              <w:rPr>
                <w:rStyle w:val="7"/>
                <w:rFonts w:hint="default" w:ascii="Times New Roman" w:hAnsi="Times New Roman" w:eastAsia="SimSun" w:cs="Times New Roman"/>
                <w:sz w:val="24"/>
                <w:szCs w:val="24"/>
                <w:lang w:val="en-US" w:eastAsia="zh-CN" w:bidi="ar"/>
              </w:rPr>
              <w:br w:type="textWrapping"/>
            </w:r>
            <w:r>
              <w:rPr>
                <w:rStyle w:val="8"/>
                <w:rFonts w:hint="default" w:ascii="Times New Roman" w:hAnsi="Times New Roman" w:eastAsia="SimSun" w:cs="Times New Roman"/>
                <w:sz w:val="24"/>
                <w:szCs w:val="24"/>
                <w:u w:val="single"/>
                <w:lang w:val="en-US" w:eastAsia="zh-CN" w:bidi="ar"/>
              </w:rPr>
              <w:t xml:space="preserve">Cost of sales </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EF94AC">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inventory</w:t>
            </w:r>
          </w:p>
        </w:tc>
        <w:tc>
          <w:tcPr>
            <w:tcW w:w="5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5B59BA">
            <w:pPr>
              <w:keepNext w:val="0"/>
              <w:keepLines w:val="0"/>
              <w:widowControl/>
              <w:suppressLineNumbers w:val="0"/>
              <w:spacing w:line="360" w:lineRule="auto"/>
              <w:jc w:val="righ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 3,266 </w:t>
            </w:r>
          </w:p>
        </w:tc>
        <w:tc>
          <w:tcPr>
            <w:tcW w:w="66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01A60A">
            <w:pPr>
              <w:keepNext w:val="0"/>
              <w:keepLines w:val="0"/>
              <w:widowControl/>
              <w:suppressLineNumbers w:val="0"/>
              <w:spacing w:line="360" w:lineRule="auto"/>
              <w:jc w:val="righ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 3,414 </w:t>
            </w:r>
          </w:p>
        </w:tc>
        <w:tc>
          <w:tcPr>
            <w:tcW w:w="6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87D62F">
            <w:pPr>
              <w:keepNext w:val="0"/>
              <w:keepLines w:val="0"/>
              <w:widowControl/>
              <w:suppressLineNumbers w:val="0"/>
              <w:spacing w:line="360" w:lineRule="auto"/>
              <w:jc w:val="righ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 4,233 </w:t>
            </w:r>
          </w:p>
        </w:tc>
        <w:tc>
          <w:tcPr>
            <w:tcW w:w="5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90EDA8">
            <w:pPr>
              <w:keepNext w:val="0"/>
              <w:keepLines w:val="0"/>
              <w:widowControl/>
              <w:suppressLineNumbers w:val="0"/>
              <w:spacing w:line="360" w:lineRule="auto"/>
              <w:jc w:val="righ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 4,424 </w:t>
            </w:r>
          </w:p>
        </w:tc>
      </w:tr>
      <w:tr w14:paraId="3D3A4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632" w:type="pct"/>
            <w:vMerge w:val="continue"/>
            <w:tcBorders>
              <w:top w:val="single" w:color="000000" w:sz="4" w:space="0"/>
              <w:left w:val="single" w:color="000000" w:sz="4" w:space="0"/>
              <w:bottom w:val="single" w:color="000000" w:sz="4" w:space="0"/>
              <w:right w:val="nil"/>
            </w:tcBorders>
            <w:shd w:val="clear" w:color="auto" w:fill="auto"/>
            <w:vAlign w:val="center"/>
          </w:tcPr>
          <w:p w14:paraId="2A27E85D">
            <w:pPr>
              <w:spacing w:line="360" w:lineRule="auto"/>
              <w:jc w:val="left"/>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8" w:space="0"/>
              <w:bottom w:val="single" w:color="000000" w:sz="4" w:space="0"/>
              <w:right w:val="single" w:color="000000" w:sz="4" w:space="0"/>
            </w:tcBorders>
            <w:shd w:val="clear" w:color="auto" w:fill="auto"/>
            <w:vAlign w:val="center"/>
          </w:tcPr>
          <w:p w14:paraId="13DB8A54">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6CFF07">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Cost of sales</w:t>
            </w:r>
          </w:p>
        </w:tc>
        <w:tc>
          <w:tcPr>
            <w:tcW w:w="578" w:type="pct"/>
            <w:tcBorders>
              <w:top w:val="nil"/>
              <w:left w:val="nil"/>
              <w:bottom w:val="single" w:color="000000" w:sz="8" w:space="0"/>
              <w:right w:val="single" w:color="000000" w:sz="8" w:space="0"/>
            </w:tcBorders>
            <w:shd w:val="clear" w:color="auto" w:fill="auto"/>
            <w:vAlign w:val="center"/>
          </w:tcPr>
          <w:p w14:paraId="19F9B313">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13,433</w:t>
            </w:r>
          </w:p>
        </w:tc>
        <w:tc>
          <w:tcPr>
            <w:tcW w:w="661" w:type="pct"/>
            <w:tcBorders>
              <w:top w:val="nil"/>
              <w:left w:val="nil"/>
              <w:bottom w:val="single" w:color="000000" w:sz="8" w:space="0"/>
              <w:right w:val="single" w:color="000000" w:sz="8" w:space="0"/>
            </w:tcBorders>
            <w:shd w:val="clear" w:color="auto" w:fill="auto"/>
            <w:vAlign w:val="center"/>
          </w:tcPr>
          <w:p w14:paraId="3810149C">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15,357</w:t>
            </w:r>
          </w:p>
        </w:tc>
        <w:tc>
          <w:tcPr>
            <w:tcW w:w="635" w:type="pct"/>
            <w:tcBorders>
              <w:top w:val="nil"/>
              <w:left w:val="nil"/>
              <w:bottom w:val="single" w:color="000000" w:sz="8" w:space="0"/>
              <w:right w:val="single" w:color="000000" w:sz="8" w:space="0"/>
            </w:tcBorders>
            <w:shd w:val="clear" w:color="auto" w:fill="auto"/>
            <w:vAlign w:val="center"/>
          </w:tcPr>
          <w:p w14:paraId="73DBE63D">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18,000</w:t>
            </w:r>
          </w:p>
        </w:tc>
        <w:tc>
          <w:tcPr>
            <w:tcW w:w="574" w:type="pct"/>
            <w:tcBorders>
              <w:top w:val="nil"/>
              <w:left w:val="nil"/>
              <w:bottom w:val="single" w:color="000000" w:sz="8" w:space="0"/>
              <w:right w:val="single" w:color="000000" w:sz="8" w:space="0"/>
            </w:tcBorders>
            <w:shd w:val="clear" w:color="auto" w:fill="auto"/>
            <w:vAlign w:val="center"/>
          </w:tcPr>
          <w:p w14:paraId="4615A9D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18,520</w:t>
            </w:r>
          </w:p>
        </w:tc>
      </w:tr>
      <w:tr w14:paraId="317F2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632" w:type="pct"/>
            <w:vMerge w:val="continue"/>
            <w:tcBorders>
              <w:top w:val="single" w:color="000000" w:sz="4" w:space="0"/>
              <w:left w:val="single" w:color="000000" w:sz="4" w:space="0"/>
              <w:bottom w:val="single" w:color="000000" w:sz="4" w:space="0"/>
              <w:right w:val="nil"/>
            </w:tcBorders>
            <w:shd w:val="clear" w:color="auto" w:fill="auto"/>
            <w:vAlign w:val="center"/>
          </w:tcPr>
          <w:p w14:paraId="66D8C078">
            <w:pPr>
              <w:spacing w:line="360" w:lineRule="auto"/>
              <w:jc w:val="left"/>
              <w:rPr>
                <w:rFonts w:hint="default" w:ascii="Times New Roman" w:hAnsi="Times New Roman" w:cs="Times New Roman"/>
                <w:b/>
                <w:bCs/>
                <w:i w:val="0"/>
                <w:iCs w:val="0"/>
                <w:color w:val="000000"/>
                <w:sz w:val="24"/>
                <w:szCs w:val="24"/>
                <w:u w:val="none"/>
              </w:rPr>
            </w:pPr>
          </w:p>
        </w:tc>
        <w:tc>
          <w:tcPr>
            <w:tcW w:w="1028" w:type="pct"/>
            <w:tcBorders>
              <w:top w:val="nil"/>
              <w:left w:val="single" w:color="000000" w:sz="8" w:space="0"/>
              <w:bottom w:val="single" w:color="000000" w:sz="4" w:space="0"/>
              <w:right w:val="single" w:color="000000" w:sz="4" w:space="0"/>
            </w:tcBorders>
            <w:shd w:val="clear" w:color="auto" w:fill="auto"/>
            <w:vAlign w:val="center"/>
          </w:tcPr>
          <w:p w14:paraId="2E5ECCEE">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564C98">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nil"/>
              <w:right w:val="nil"/>
            </w:tcBorders>
            <w:shd w:val="clear" w:color="auto" w:fill="auto"/>
            <w:vAlign w:val="center"/>
          </w:tcPr>
          <w:p w14:paraId="3552BC1E">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365</w:t>
            </w:r>
          </w:p>
        </w:tc>
        <w:tc>
          <w:tcPr>
            <w:tcW w:w="661" w:type="pct"/>
            <w:tcBorders>
              <w:top w:val="nil"/>
              <w:left w:val="nil"/>
              <w:bottom w:val="nil"/>
              <w:right w:val="nil"/>
            </w:tcBorders>
            <w:shd w:val="clear" w:color="auto" w:fill="auto"/>
            <w:vAlign w:val="center"/>
          </w:tcPr>
          <w:p w14:paraId="1AA5F9E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365</w:t>
            </w:r>
          </w:p>
        </w:tc>
        <w:tc>
          <w:tcPr>
            <w:tcW w:w="635" w:type="pct"/>
            <w:tcBorders>
              <w:top w:val="nil"/>
              <w:left w:val="nil"/>
              <w:bottom w:val="nil"/>
              <w:right w:val="nil"/>
            </w:tcBorders>
            <w:shd w:val="clear" w:color="auto" w:fill="auto"/>
            <w:vAlign w:val="center"/>
          </w:tcPr>
          <w:p w14:paraId="7091BDBA">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365</w:t>
            </w:r>
          </w:p>
        </w:tc>
        <w:tc>
          <w:tcPr>
            <w:tcW w:w="574" w:type="pct"/>
            <w:tcBorders>
              <w:top w:val="nil"/>
              <w:left w:val="nil"/>
              <w:bottom w:val="nil"/>
              <w:right w:val="nil"/>
            </w:tcBorders>
            <w:shd w:val="clear" w:color="auto" w:fill="auto"/>
            <w:vAlign w:val="center"/>
          </w:tcPr>
          <w:p w14:paraId="2396A1D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365</w:t>
            </w:r>
          </w:p>
        </w:tc>
      </w:tr>
      <w:tr w14:paraId="71504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32" w:type="pct"/>
            <w:vMerge w:val="continue"/>
            <w:tcBorders>
              <w:top w:val="single" w:color="000000" w:sz="4" w:space="0"/>
              <w:left w:val="single" w:color="000000" w:sz="4" w:space="0"/>
              <w:bottom w:val="single" w:color="000000" w:sz="4" w:space="0"/>
              <w:right w:val="nil"/>
            </w:tcBorders>
            <w:shd w:val="clear" w:color="auto" w:fill="auto"/>
            <w:vAlign w:val="center"/>
          </w:tcPr>
          <w:p w14:paraId="7F128502">
            <w:pPr>
              <w:spacing w:line="360" w:lineRule="auto"/>
              <w:jc w:val="left"/>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8" w:space="0"/>
              <w:bottom w:val="single" w:color="000000" w:sz="8" w:space="0"/>
              <w:right w:val="single" w:color="000000" w:sz="4" w:space="0"/>
            </w:tcBorders>
            <w:shd w:val="clear" w:color="auto" w:fill="auto"/>
            <w:noWrap/>
            <w:vAlign w:val="bottom"/>
          </w:tcPr>
          <w:p w14:paraId="355385A7">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8" w:space="0"/>
              <w:right w:val="single" w:color="000000" w:sz="4" w:space="0"/>
            </w:tcBorders>
            <w:shd w:val="clear" w:color="auto" w:fill="auto"/>
            <w:noWrap/>
            <w:vAlign w:val="bottom"/>
          </w:tcPr>
          <w:p w14:paraId="397DF369">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059CBAAF">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89</w:t>
            </w:r>
          </w:p>
        </w:tc>
        <w:tc>
          <w:tcPr>
            <w:tcW w:w="661"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0F0D37F4">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81</w:t>
            </w:r>
          </w:p>
        </w:tc>
        <w:tc>
          <w:tcPr>
            <w:tcW w:w="635"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765EF774">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86</w:t>
            </w:r>
          </w:p>
        </w:tc>
        <w:tc>
          <w:tcPr>
            <w:tcW w:w="574"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3C1418DC">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87</w:t>
            </w:r>
          </w:p>
        </w:tc>
      </w:tr>
      <w:tr w14:paraId="66C82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632" w:type="pct"/>
            <w:tcBorders>
              <w:top w:val="nil"/>
              <w:left w:val="single" w:color="000000" w:sz="4" w:space="0"/>
              <w:bottom w:val="single" w:color="000000" w:sz="4" w:space="0"/>
              <w:right w:val="single" w:color="000000" w:sz="4" w:space="0"/>
            </w:tcBorders>
            <w:shd w:val="clear" w:color="auto" w:fill="000000"/>
            <w:vAlign w:val="center"/>
          </w:tcPr>
          <w:p w14:paraId="1DE2B854">
            <w:pPr>
              <w:spacing w:line="360" w:lineRule="auto"/>
              <w:jc w:val="left"/>
              <w:rPr>
                <w:rFonts w:hint="default" w:ascii="Times New Roman" w:hAnsi="Times New Roman" w:cs="Times New Roman"/>
                <w:b/>
                <w:bCs/>
                <w:i w:val="0"/>
                <w:iCs w:val="0"/>
                <w:color w:val="000000"/>
                <w:sz w:val="24"/>
                <w:szCs w:val="24"/>
                <w:u w:val="none"/>
              </w:rPr>
            </w:pPr>
          </w:p>
        </w:tc>
        <w:tc>
          <w:tcPr>
            <w:tcW w:w="1028" w:type="pct"/>
            <w:tcBorders>
              <w:top w:val="nil"/>
              <w:left w:val="single" w:color="000000" w:sz="4" w:space="0"/>
              <w:bottom w:val="single" w:color="000000" w:sz="4" w:space="0"/>
              <w:right w:val="single" w:color="000000" w:sz="4" w:space="0"/>
            </w:tcBorders>
            <w:shd w:val="clear" w:color="auto" w:fill="000000"/>
            <w:noWrap/>
            <w:vAlign w:val="bottom"/>
          </w:tcPr>
          <w:p w14:paraId="611275F2">
            <w:pPr>
              <w:spacing w:line="360" w:lineRule="auto"/>
              <w:rPr>
                <w:rFonts w:hint="default" w:ascii="Times New Roman" w:hAnsi="Times New Roman" w:cs="Times New Roman"/>
                <w:i w:val="0"/>
                <w:iCs w:val="0"/>
                <w:color w:val="000000"/>
                <w:sz w:val="24"/>
                <w:szCs w:val="24"/>
                <w:u w:val="none"/>
              </w:rPr>
            </w:pPr>
          </w:p>
        </w:tc>
        <w:tc>
          <w:tcPr>
            <w:tcW w:w="889" w:type="pct"/>
            <w:tcBorders>
              <w:top w:val="nil"/>
              <w:left w:val="single" w:color="000000" w:sz="4" w:space="0"/>
              <w:bottom w:val="single" w:color="000000" w:sz="4" w:space="0"/>
              <w:right w:val="single" w:color="000000" w:sz="4" w:space="0"/>
            </w:tcBorders>
            <w:shd w:val="clear" w:color="auto" w:fill="000000"/>
            <w:noWrap/>
            <w:vAlign w:val="bottom"/>
          </w:tcPr>
          <w:p w14:paraId="4ED54A28">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single" w:color="000000" w:sz="4" w:space="0"/>
              <w:bottom w:val="single" w:color="000000" w:sz="4" w:space="0"/>
              <w:right w:val="single" w:color="000000" w:sz="4" w:space="0"/>
            </w:tcBorders>
            <w:shd w:val="clear" w:color="auto" w:fill="000000"/>
            <w:noWrap/>
            <w:vAlign w:val="bottom"/>
          </w:tcPr>
          <w:p w14:paraId="32C52B5A">
            <w:pPr>
              <w:spacing w:line="360" w:lineRule="auto"/>
              <w:rPr>
                <w:rFonts w:hint="default" w:ascii="Times New Roman" w:hAnsi="Times New Roman" w:cs="Times New Roman"/>
                <w:i w:val="0"/>
                <w:iCs w:val="0"/>
                <w:color w:val="000000"/>
                <w:sz w:val="24"/>
                <w:szCs w:val="24"/>
                <w:u w:val="none"/>
              </w:rPr>
            </w:pPr>
          </w:p>
        </w:tc>
        <w:tc>
          <w:tcPr>
            <w:tcW w:w="661" w:type="pct"/>
            <w:tcBorders>
              <w:top w:val="nil"/>
              <w:left w:val="single" w:color="000000" w:sz="4" w:space="0"/>
              <w:bottom w:val="single" w:color="000000" w:sz="4" w:space="0"/>
              <w:right w:val="nil"/>
            </w:tcBorders>
            <w:shd w:val="clear" w:color="auto" w:fill="000000"/>
            <w:noWrap/>
            <w:vAlign w:val="bottom"/>
          </w:tcPr>
          <w:p w14:paraId="619109D4">
            <w:pPr>
              <w:spacing w:line="360" w:lineRule="auto"/>
              <w:rPr>
                <w:rFonts w:hint="default" w:ascii="Times New Roman" w:hAnsi="Times New Roman" w:cs="Times New Roman"/>
                <w:i w:val="0"/>
                <w:iCs w:val="0"/>
                <w:color w:val="000000"/>
                <w:sz w:val="24"/>
                <w:szCs w:val="24"/>
                <w:u w:val="none"/>
              </w:rPr>
            </w:pPr>
          </w:p>
        </w:tc>
        <w:tc>
          <w:tcPr>
            <w:tcW w:w="635" w:type="pct"/>
            <w:tcBorders>
              <w:top w:val="nil"/>
              <w:left w:val="single" w:color="000000" w:sz="4" w:space="0"/>
              <w:bottom w:val="single" w:color="000000" w:sz="4" w:space="0"/>
              <w:right w:val="single" w:color="000000" w:sz="4" w:space="0"/>
            </w:tcBorders>
            <w:shd w:val="clear" w:color="auto" w:fill="000000"/>
            <w:noWrap/>
            <w:vAlign w:val="bottom"/>
          </w:tcPr>
          <w:p w14:paraId="563B3569">
            <w:pPr>
              <w:spacing w:line="360" w:lineRule="auto"/>
              <w:rPr>
                <w:rFonts w:hint="default" w:ascii="Times New Roman" w:hAnsi="Times New Roman" w:cs="Times New Roman"/>
                <w:i w:val="0"/>
                <w:iCs w:val="0"/>
                <w:color w:val="000000"/>
                <w:sz w:val="24"/>
                <w:szCs w:val="24"/>
                <w:u w:val="none"/>
              </w:rPr>
            </w:pPr>
          </w:p>
        </w:tc>
        <w:tc>
          <w:tcPr>
            <w:tcW w:w="574" w:type="pct"/>
            <w:tcBorders>
              <w:top w:val="nil"/>
              <w:left w:val="single" w:color="000000" w:sz="4" w:space="0"/>
              <w:bottom w:val="single" w:color="000000" w:sz="4" w:space="0"/>
              <w:right w:val="single" w:color="000000" w:sz="4" w:space="0"/>
            </w:tcBorders>
            <w:shd w:val="clear" w:color="auto" w:fill="000000"/>
            <w:noWrap/>
            <w:vAlign w:val="bottom"/>
          </w:tcPr>
          <w:p w14:paraId="67A1544D">
            <w:pPr>
              <w:spacing w:line="360" w:lineRule="auto"/>
              <w:rPr>
                <w:rFonts w:hint="default" w:ascii="Times New Roman" w:hAnsi="Times New Roman" w:cs="Times New Roman"/>
                <w:i w:val="0"/>
                <w:iCs w:val="0"/>
                <w:color w:val="000000"/>
                <w:sz w:val="24"/>
                <w:szCs w:val="24"/>
                <w:u w:val="none"/>
              </w:rPr>
            </w:pPr>
          </w:p>
        </w:tc>
      </w:tr>
      <w:tr w14:paraId="73B5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632"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45A243AD">
            <w:pPr>
              <w:spacing w:line="360" w:lineRule="auto"/>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1C4AB8E6">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184142DA">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489782E9">
            <w:pPr>
              <w:spacing w:line="360" w:lineRule="auto"/>
              <w:rPr>
                <w:rFonts w:hint="default" w:ascii="Times New Roman" w:hAnsi="Times New Roman" w:cs="Times New Roman"/>
                <w:i w:val="0"/>
                <w:iCs w:val="0"/>
                <w:color w:val="000000"/>
                <w:sz w:val="24"/>
                <w:szCs w:val="24"/>
                <w:u w:val="none"/>
              </w:rPr>
            </w:pPr>
          </w:p>
        </w:tc>
        <w:tc>
          <w:tcPr>
            <w:tcW w:w="661" w:type="pct"/>
            <w:tcBorders>
              <w:top w:val="single" w:color="000000" w:sz="4" w:space="0"/>
              <w:left w:val="single" w:color="000000" w:sz="4" w:space="0"/>
              <w:bottom w:val="single" w:color="000000" w:sz="4" w:space="0"/>
              <w:right w:val="nil"/>
            </w:tcBorders>
            <w:shd w:val="clear" w:color="auto" w:fill="000000"/>
            <w:noWrap/>
            <w:vAlign w:val="bottom"/>
          </w:tcPr>
          <w:p w14:paraId="74C97074">
            <w:pPr>
              <w:spacing w:line="360" w:lineRule="auto"/>
              <w:rPr>
                <w:rFonts w:hint="default" w:ascii="Times New Roman" w:hAnsi="Times New Roman" w:cs="Times New Roman"/>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26BD3A95">
            <w:pPr>
              <w:spacing w:line="360" w:lineRule="auto"/>
              <w:rPr>
                <w:rFonts w:hint="default" w:ascii="Times New Roman" w:hAnsi="Times New Roman" w:cs="Times New Roman"/>
                <w:i w:val="0"/>
                <w:iCs w:val="0"/>
                <w:color w:val="000000"/>
                <w:sz w:val="24"/>
                <w:szCs w:val="24"/>
                <w:u w:val="none"/>
              </w:rPr>
            </w:pPr>
          </w:p>
        </w:tc>
        <w:tc>
          <w:tcPr>
            <w:tcW w:w="574"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4ECBA3D3">
            <w:pPr>
              <w:spacing w:line="360" w:lineRule="auto"/>
              <w:rPr>
                <w:rFonts w:hint="default" w:ascii="Times New Roman" w:hAnsi="Times New Roman" w:cs="Times New Roman"/>
                <w:i w:val="0"/>
                <w:iCs w:val="0"/>
                <w:color w:val="000000"/>
                <w:sz w:val="24"/>
                <w:szCs w:val="24"/>
                <w:u w:val="none"/>
              </w:rPr>
            </w:pPr>
          </w:p>
        </w:tc>
      </w:tr>
      <w:tr w14:paraId="34A5C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32" w:type="pct"/>
            <w:vMerge w:val="restart"/>
            <w:tcBorders>
              <w:top w:val="single" w:color="000000" w:sz="4" w:space="0"/>
              <w:left w:val="nil"/>
              <w:bottom w:val="single" w:color="000000" w:sz="4" w:space="0"/>
              <w:right w:val="nil"/>
            </w:tcBorders>
            <w:shd w:val="clear" w:color="auto" w:fill="auto"/>
            <w:vAlign w:val="center"/>
          </w:tcPr>
          <w:p w14:paraId="2E6531B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Receivables turnover days </w:t>
            </w:r>
          </w:p>
        </w:tc>
        <w:tc>
          <w:tcPr>
            <w:tcW w:w="1028" w:type="pct"/>
            <w:vMerge w:val="restart"/>
            <w:tcBorders>
              <w:top w:val="single" w:color="000000" w:sz="4" w:space="0"/>
              <w:left w:val="nil"/>
              <w:bottom w:val="single" w:color="000000" w:sz="4" w:space="0"/>
              <w:right w:val="single" w:color="000000" w:sz="4" w:space="0"/>
            </w:tcBorders>
            <w:shd w:val="clear" w:color="auto" w:fill="auto"/>
            <w:vAlign w:val="center"/>
          </w:tcPr>
          <w:p w14:paraId="21A3E433">
            <w:pPr>
              <w:keepNext w:val="0"/>
              <w:keepLines w:val="0"/>
              <w:widowControl/>
              <w:suppressLineNumbers w:val="0"/>
              <w:spacing w:line="360" w:lineRule="auto"/>
              <w:jc w:val="center"/>
              <w:textAlignment w:val="center"/>
              <w:rPr>
                <w:rFonts w:hint="default" w:ascii="Times New Roman" w:hAnsi="Times New Roman" w:cs="Times New Roman"/>
                <w:i w:val="0"/>
                <w:iCs w:val="0"/>
                <w:color w:val="000000"/>
                <w:sz w:val="24"/>
                <w:szCs w:val="24"/>
                <w:u w:val="single"/>
              </w:rPr>
            </w:pPr>
            <w:r>
              <w:rPr>
                <w:rStyle w:val="7"/>
                <w:rFonts w:hint="default" w:ascii="Times New Roman" w:hAnsi="Times New Roman" w:eastAsia="SimSun" w:cs="Times New Roman"/>
                <w:sz w:val="24"/>
                <w:szCs w:val="24"/>
                <w:lang w:val="en-US" w:eastAsia="zh-CN" w:bidi="ar"/>
              </w:rPr>
              <w:t>Receivables      x 365 days</w:t>
            </w:r>
            <w:r>
              <w:rPr>
                <w:rStyle w:val="7"/>
                <w:rFonts w:hint="default" w:ascii="Times New Roman" w:hAnsi="Times New Roman" w:eastAsia="SimSun" w:cs="Times New Roman"/>
                <w:sz w:val="24"/>
                <w:szCs w:val="24"/>
                <w:lang w:val="en-US" w:eastAsia="zh-CN" w:bidi="ar"/>
              </w:rPr>
              <w:br w:type="textWrapping"/>
            </w:r>
            <w:r>
              <w:rPr>
                <w:rStyle w:val="8"/>
                <w:rFonts w:hint="default" w:ascii="Times New Roman" w:hAnsi="Times New Roman" w:eastAsia="SimSun" w:cs="Times New Roman"/>
                <w:sz w:val="24"/>
                <w:szCs w:val="24"/>
                <w:u w:val="single"/>
                <w:lang w:val="en-US" w:eastAsia="zh-CN" w:bidi="ar"/>
              </w:rPr>
              <w:t xml:space="preserve">Total Revenue </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78B40B">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Average receivables</w:t>
            </w:r>
          </w:p>
        </w:tc>
        <w:tc>
          <w:tcPr>
            <w:tcW w:w="5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17B4A">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3144</w:t>
            </w:r>
          </w:p>
        </w:tc>
        <w:tc>
          <w:tcPr>
            <w:tcW w:w="6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840A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3512</w:t>
            </w:r>
          </w:p>
        </w:tc>
        <w:tc>
          <w:tcPr>
            <w:tcW w:w="6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A69C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3487</w:t>
            </w:r>
          </w:p>
        </w:tc>
        <w:tc>
          <w:tcPr>
            <w:tcW w:w="5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57B7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3410</w:t>
            </w:r>
          </w:p>
        </w:tc>
      </w:tr>
      <w:tr w14:paraId="133E3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632" w:type="pct"/>
            <w:vMerge w:val="continue"/>
            <w:tcBorders>
              <w:top w:val="single" w:color="000000" w:sz="4" w:space="0"/>
              <w:left w:val="nil"/>
              <w:bottom w:val="single" w:color="000000" w:sz="4" w:space="0"/>
              <w:right w:val="nil"/>
            </w:tcBorders>
            <w:shd w:val="clear" w:color="auto" w:fill="auto"/>
            <w:vAlign w:val="center"/>
          </w:tcPr>
          <w:p w14:paraId="3AE0F425">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nil"/>
              <w:bottom w:val="single" w:color="000000" w:sz="4" w:space="0"/>
              <w:right w:val="single" w:color="000000" w:sz="4" w:space="0"/>
            </w:tcBorders>
            <w:shd w:val="clear" w:color="auto" w:fill="auto"/>
            <w:vAlign w:val="center"/>
          </w:tcPr>
          <w:p w14:paraId="617F46CC">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6D5D2B">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Total Revenue </w:t>
            </w:r>
          </w:p>
        </w:tc>
        <w:tc>
          <w:tcPr>
            <w:tcW w:w="578" w:type="pct"/>
            <w:tcBorders>
              <w:top w:val="nil"/>
              <w:left w:val="nil"/>
              <w:bottom w:val="single" w:color="000000" w:sz="8" w:space="0"/>
              <w:right w:val="single" w:color="000000" w:sz="8" w:space="0"/>
            </w:tcBorders>
            <w:shd w:val="clear" w:color="auto" w:fill="auto"/>
            <w:vAlign w:val="center"/>
          </w:tcPr>
          <w:p w14:paraId="7A43A25C">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33,014</w:t>
            </w:r>
          </w:p>
        </w:tc>
        <w:tc>
          <w:tcPr>
            <w:tcW w:w="661" w:type="pct"/>
            <w:tcBorders>
              <w:top w:val="nil"/>
              <w:left w:val="nil"/>
              <w:bottom w:val="single" w:color="000000" w:sz="8" w:space="0"/>
              <w:right w:val="single" w:color="000000" w:sz="8" w:space="0"/>
            </w:tcBorders>
            <w:shd w:val="clear" w:color="auto" w:fill="auto"/>
            <w:vAlign w:val="center"/>
          </w:tcPr>
          <w:p w14:paraId="30B3F81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38,655</w:t>
            </w:r>
          </w:p>
        </w:tc>
        <w:tc>
          <w:tcPr>
            <w:tcW w:w="635" w:type="pct"/>
            <w:tcBorders>
              <w:top w:val="nil"/>
              <w:left w:val="nil"/>
              <w:bottom w:val="single" w:color="000000" w:sz="8" w:space="0"/>
              <w:right w:val="single" w:color="000000" w:sz="8" w:space="0"/>
            </w:tcBorders>
            <w:shd w:val="clear" w:color="auto" w:fill="auto"/>
            <w:vAlign w:val="center"/>
          </w:tcPr>
          <w:p w14:paraId="4EF0255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43,004</w:t>
            </w:r>
          </w:p>
        </w:tc>
        <w:tc>
          <w:tcPr>
            <w:tcW w:w="574" w:type="pct"/>
            <w:tcBorders>
              <w:top w:val="nil"/>
              <w:left w:val="nil"/>
              <w:bottom w:val="single" w:color="000000" w:sz="8" w:space="0"/>
              <w:right w:val="single" w:color="000000" w:sz="8" w:space="0"/>
            </w:tcBorders>
            <w:shd w:val="clear" w:color="auto" w:fill="auto"/>
            <w:vAlign w:val="center"/>
          </w:tcPr>
          <w:p w14:paraId="3DFA8CD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45,754</w:t>
            </w:r>
          </w:p>
        </w:tc>
      </w:tr>
      <w:tr w14:paraId="5085F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vMerge w:val="continue"/>
            <w:tcBorders>
              <w:top w:val="single" w:color="000000" w:sz="4" w:space="0"/>
              <w:left w:val="nil"/>
              <w:bottom w:val="single" w:color="000000" w:sz="4" w:space="0"/>
              <w:right w:val="nil"/>
            </w:tcBorders>
            <w:shd w:val="clear" w:color="auto" w:fill="auto"/>
            <w:vAlign w:val="center"/>
          </w:tcPr>
          <w:p w14:paraId="1ABA0396">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nil"/>
              <w:bottom w:val="single" w:color="000000" w:sz="4" w:space="0"/>
              <w:right w:val="single" w:color="000000" w:sz="4" w:space="0"/>
            </w:tcBorders>
            <w:shd w:val="clear" w:color="auto" w:fill="auto"/>
            <w:vAlign w:val="center"/>
          </w:tcPr>
          <w:p w14:paraId="3E8AA0F4">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5973E">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nil"/>
              <w:right w:val="nil"/>
            </w:tcBorders>
            <w:shd w:val="clear" w:color="auto" w:fill="auto"/>
            <w:vAlign w:val="center"/>
          </w:tcPr>
          <w:p w14:paraId="1FD502CD">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365</w:t>
            </w:r>
          </w:p>
        </w:tc>
        <w:tc>
          <w:tcPr>
            <w:tcW w:w="661" w:type="pct"/>
            <w:tcBorders>
              <w:top w:val="nil"/>
              <w:left w:val="nil"/>
              <w:bottom w:val="nil"/>
              <w:right w:val="nil"/>
            </w:tcBorders>
            <w:shd w:val="clear" w:color="auto" w:fill="auto"/>
            <w:vAlign w:val="center"/>
          </w:tcPr>
          <w:p w14:paraId="281F04D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366</w:t>
            </w:r>
          </w:p>
        </w:tc>
        <w:tc>
          <w:tcPr>
            <w:tcW w:w="635" w:type="pct"/>
            <w:tcBorders>
              <w:top w:val="nil"/>
              <w:left w:val="nil"/>
              <w:bottom w:val="nil"/>
              <w:right w:val="nil"/>
            </w:tcBorders>
            <w:shd w:val="clear" w:color="auto" w:fill="auto"/>
            <w:vAlign w:val="center"/>
          </w:tcPr>
          <w:p w14:paraId="43356009">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367</w:t>
            </w:r>
          </w:p>
        </w:tc>
        <w:tc>
          <w:tcPr>
            <w:tcW w:w="574" w:type="pct"/>
            <w:tcBorders>
              <w:top w:val="nil"/>
              <w:left w:val="nil"/>
              <w:bottom w:val="nil"/>
              <w:right w:val="nil"/>
            </w:tcBorders>
            <w:shd w:val="clear" w:color="auto" w:fill="auto"/>
            <w:vAlign w:val="center"/>
          </w:tcPr>
          <w:p w14:paraId="60EF29D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368</w:t>
            </w:r>
          </w:p>
        </w:tc>
      </w:tr>
      <w:tr w14:paraId="1919D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5" w:hRule="atLeast"/>
        </w:trPr>
        <w:tc>
          <w:tcPr>
            <w:tcW w:w="632" w:type="pct"/>
            <w:vMerge w:val="continue"/>
            <w:tcBorders>
              <w:top w:val="single" w:color="000000" w:sz="4" w:space="0"/>
              <w:left w:val="nil"/>
              <w:bottom w:val="single" w:color="000000" w:sz="4" w:space="0"/>
              <w:right w:val="nil"/>
            </w:tcBorders>
            <w:shd w:val="clear" w:color="auto" w:fill="auto"/>
            <w:vAlign w:val="center"/>
          </w:tcPr>
          <w:p w14:paraId="2064CCD1">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nil"/>
              <w:bottom w:val="single" w:color="000000" w:sz="4" w:space="0"/>
              <w:right w:val="single" w:color="000000" w:sz="4" w:space="0"/>
            </w:tcBorders>
            <w:shd w:val="clear" w:color="auto" w:fill="auto"/>
            <w:vAlign w:val="center"/>
          </w:tcPr>
          <w:p w14:paraId="5A28167D">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828540">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6DC8BCDF">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35</w:t>
            </w:r>
          </w:p>
        </w:tc>
        <w:tc>
          <w:tcPr>
            <w:tcW w:w="661"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7027AE17">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33</w:t>
            </w:r>
          </w:p>
        </w:tc>
        <w:tc>
          <w:tcPr>
            <w:tcW w:w="635"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4EB56A25">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30</w:t>
            </w:r>
          </w:p>
        </w:tc>
        <w:tc>
          <w:tcPr>
            <w:tcW w:w="574" w:type="pct"/>
            <w:tcBorders>
              <w:top w:val="single" w:color="000000" w:sz="4" w:space="0"/>
              <w:left w:val="single" w:color="000000" w:sz="4" w:space="0"/>
              <w:bottom w:val="single" w:color="000000" w:sz="8" w:space="0"/>
              <w:right w:val="single" w:color="000000" w:sz="4" w:space="0"/>
            </w:tcBorders>
            <w:shd w:val="clear" w:color="auto" w:fill="C6E0B4"/>
            <w:noWrap/>
            <w:vAlign w:val="bottom"/>
          </w:tcPr>
          <w:p w14:paraId="793D5592">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w:t>
            </w:r>
          </w:p>
        </w:tc>
      </w:tr>
      <w:tr w14:paraId="47A81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63C56CAC">
            <w:pPr>
              <w:spacing w:line="360" w:lineRule="auto"/>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54257A46">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78B35146">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640B8216">
            <w:pPr>
              <w:spacing w:line="360" w:lineRule="auto"/>
              <w:rPr>
                <w:rFonts w:hint="default" w:ascii="Times New Roman" w:hAnsi="Times New Roman" w:cs="Times New Roman"/>
                <w:i w:val="0"/>
                <w:iCs w:val="0"/>
                <w:color w:val="000000"/>
                <w:sz w:val="24"/>
                <w:szCs w:val="24"/>
                <w:u w:val="none"/>
              </w:rPr>
            </w:pPr>
          </w:p>
        </w:tc>
        <w:tc>
          <w:tcPr>
            <w:tcW w:w="661"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5800192D">
            <w:pPr>
              <w:spacing w:line="360" w:lineRule="auto"/>
              <w:rPr>
                <w:rFonts w:hint="default" w:ascii="Times New Roman" w:hAnsi="Times New Roman" w:cs="Times New Roman"/>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6D4DFB08">
            <w:pPr>
              <w:spacing w:line="360" w:lineRule="auto"/>
              <w:rPr>
                <w:rFonts w:hint="default" w:ascii="Times New Roman" w:hAnsi="Times New Roman" w:cs="Times New Roman"/>
                <w:i w:val="0"/>
                <w:iCs w:val="0"/>
                <w:color w:val="000000"/>
                <w:sz w:val="24"/>
                <w:szCs w:val="24"/>
                <w:u w:val="none"/>
              </w:rPr>
            </w:pPr>
          </w:p>
        </w:tc>
        <w:tc>
          <w:tcPr>
            <w:tcW w:w="574" w:type="pct"/>
            <w:tcBorders>
              <w:top w:val="single" w:color="000000" w:sz="4" w:space="0"/>
              <w:left w:val="single" w:color="000000" w:sz="4" w:space="0"/>
              <w:bottom w:val="single" w:color="000000" w:sz="4" w:space="0"/>
              <w:right w:val="single" w:color="000000" w:sz="4" w:space="0"/>
            </w:tcBorders>
            <w:shd w:val="clear" w:color="auto" w:fill="000000"/>
            <w:noWrap/>
            <w:vAlign w:val="bottom"/>
          </w:tcPr>
          <w:p w14:paraId="12B4EB83">
            <w:pPr>
              <w:spacing w:line="360" w:lineRule="auto"/>
              <w:rPr>
                <w:rFonts w:hint="default" w:ascii="Times New Roman" w:hAnsi="Times New Roman" w:cs="Times New Roman"/>
                <w:i w:val="0"/>
                <w:iCs w:val="0"/>
                <w:color w:val="000000"/>
                <w:sz w:val="24"/>
                <w:szCs w:val="24"/>
                <w:u w:val="none"/>
              </w:rPr>
            </w:pPr>
          </w:p>
        </w:tc>
      </w:tr>
      <w:tr w14:paraId="70029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632" w:type="pct"/>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FC314B3">
            <w:pPr>
              <w:keepNext w:val="0"/>
              <w:keepLines w:val="0"/>
              <w:widowControl/>
              <w:suppressLineNumbers w:val="0"/>
              <w:spacing w:line="360" w:lineRule="auto"/>
              <w:jc w:val="left"/>
              <w:textAlignment w:val="bottom"/>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Gearing Ratios</w:t>
            </w: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A17035">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EAEC94">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5AB375">
            <w:pPr>
              <w:spacing w:line="360" w:lineRule="auto"/>
              <w:rPr>
                <w:rFonts w:hint="default" w:ascii="Times New Roman" w:hAnsi="Times New Roman" w:cs="Times New Roman"/>
                <w:i w:val="0"/>
                <w:iCs w:val="0"/>
                <w:color w:val="000000"/>
                <w:sz w:val="24"/>
                <w:szCs w:val="24"/>
                <w:u w:val="none"/>
              </w:rPr>
            </w:pPr>
          </w:p>
        </w:tc>
        <w:tc>
          <w:tcPr>
            <w:tcW w:w="66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2E5644">
            <w:pPr>
              <w:spacing w:line="360" w:lineRule="auto"/>
              <w:rPr>
                <w:rFonts w:hint="default" w:ascii="Times New Roman" w:hAnsi="Times New Roman" w:cs="Times New Roman"/>
                <w:i w:val="0"/>
                <w:iCs w:val="0"/>
                <w:color w:val="000000"/>
                <w:sz w:val="24"/>
                <w:szCs w:val="24"/>
                <w:u w:val="none"/>
              </w:rPr>
            </w:pPr>
          </w:p>
        </w:tc>
        <w:tc>
          <w:tcPr>
            <w:tcW w:w="635"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BAFB92">
            <w:pPr>
              <w:spacing w:line="360" w:lineRule="auto"/>
              <w:rPr>
                <w:rFonts w:hint="default" w:ascii="Times New Roman" w:hAnsi="Times New Roman" w:cs="Times New Roman"/>
                <w:i w:val="0"/>
                <w:iCs w:val="0"/>
                <w:color w:val="000000"/>
                <w:sz w:val="24"/>
                <w:szCs w:val="24"/>
                <w:u w:val="none"/>
              </w:rPr>
            </w:pPr>
          </w:p>
        </w:tc>
        <w:tc>
          <w:tcPr>
            <w:tcW w:w="574"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45061D">
            <w:pPr>
              <w:spacing w:line="360" w:lineRule="auto"/>
              <w:rPr>
                <w:rFonts w:hint="default" w:ascii="Times New Roman" w:hAnsi="Times New Roman" w:cs="Times New Roman"/>
                <w:i w:val="0"/>
                <w:iCs w:val="0"/>
                <w:color w:val="000000"/>
                <w:sz w:val="24"/>
                <w:szCs w:val="24"/>
                <w:u w:val="none"/>
              </w:rPr>
            </w:pPr>
          </w:p>
        </w:tc>
      </w:tr>
      <w:tr w14:paraId="0CBA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2" w:hRule="atLeast"/>
        </w:trPr>
        <w:tc>
          <w:tcPr>
            <w:tcW w:w="63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A34B03E">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Interest Coverage (Number of times)</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ACF1D6">
            <w:pPr>
              <w:keepNext w:val="0"/>
              <w:keepLines w:val="0"/>
              <w:widowControl/>
              <w:suppressLineNumbers w:val="0"/>
              <w:spacing w:line="360" w:lineRule="auto"/>
              <w:jc w:val="center"/>
              <w:textAlignment w:val="center"/>
              <w:rPr>
                <w:rFonts w:hint="default" w:ascii="Times New Roman" w:hAnsi="Times New Roman" w:cs="Times New Roman"/>
                <w:i w:val="0"/>
                <w:iCs w:val="0"/>
                <w:color w:val="000000"/>
                <w:sz w:val="24"/>
                <w:szCs w:val="24"/>
                <w:u w:val="single"/>
              </w:rPr>
            </w:pPr>
            <w:r>
              <w:rPr>
                <w:rStyle w:val="7"/>
                <w:rFonts w:hint="default" w:ascii="Times New Roman" w:hAnsi="Times New Roman" w:eastAsia="SimSun" w:cs="Times New Roman"/>
                <w:sz w:val="24"/>
                <w:szCs w:val="24"/>
                <w:lang w:val="en-US" w:eastAsia="zh-CN" w:bidi="ar"/>
              </w:rPr>
              <w:t xml:space="preserve">Operating Profit </w:t>
            </w:r>
            <w:r>
              <w:rPr>
                <w:rStyle w:val="7"/>
                <w:rFonts w:hint="default" w:ascii="Times New Roman" w:hAnsi="Times New Roman" w:eastAsia="SimSun" w:cs="Times New Roman"/>
                <w:sz w:val="24"/>
                <w:szCs w:val="24"/>
                <w:lang w:val="en-US" w:eastAsia="zh-CN" w:bidi="ar"/>
              </w:rPr>
              <w:br w:type="textWrapping"/>
            </w:r>
            <w:r>
              <w:rPr>
                <w:rStyle w:val="8"/>
                <w:rFonts w:hint="default" w:ascii="Times New Roman" w:hAnsi="Times New Roman" w:eastAsia="SimSun" w:cs="Times New Roman"/>
                <w:sz w:val="24"/>
                <w:szCs w:val="24"/>
                <w:u w:val="single"/>
                <w:lang w:val="en-US" w:eastAsia="zh-CN" w:bidi="ar"/>
              </w:rPr>
              <w:t>Interest on Loan (Finance costs)</w:t>
            </w: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4B458">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Operating profit </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F0E13">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8,997</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0A186D">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10,308</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50518">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10,909</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561849">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11,311</w:t>
            </w:r>
          </w:p>
        </w:tc>
      </w:tr>
      <w:tr w14:paraId="35F3C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17DA1B">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E7525A">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75AFD2">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Interest on loan</w:t>
            </w:r>
          </w:p>
        </w:tc>
        <w:tc>
          <w:tcPr>
            <w:tcW w:w="578" w:type="pct"/>
            <w:tcBorders>
              <w:top w:val="nil"/>
              <w:left w:val="nil"/>
              <w:bottom w:val="single" w:color="000000" w:sz="8" w:space="0"/>
              <w:right w:val="single" w:color="000000" w:sz="8" w:space="0"/>
            </w:tcBorders>
            <w:shd w:val="clear" w:color="auto" w:fill="auto"/>
            <w:vAlign w:val="center"/>
          </w:tcPr>
          <w:p w14:paraId="11A917C4">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1,437</w:t>
            </w:r>
          </w:p>
        </w:tc>
        <w:tc>
          <w:tcPr>
            <w:tcW w:w="661" w:type="pct"/>
            <w:tcBorders>
              <w:top w:val="nil"/>
              <w:left w:val="nil"/>
              <w:bottom w:val="single" w:color="000000" w:sz="8" w:space="0"/>
              <w:right w:val="single" w:color="000000" w:sz="8" w:space="0"/>
            </w:tcBorders>
            <w:shd w:val="clear" w:color="auto" w:fill="auto"/>
            <w:vAlign w:val="center"/>
          </w:tcPr>
          <w:p w14:paraId="72E30792">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1,597</w:t>
            </w:r>
          </w:p>
        </w:tc>
        <w:tc>
          <w:tcPr>
            <w:tcW w:w="635" w:type="pct"/>
            <w:tcBorders>
              <w:top w:val="nil"/>
              <w:left w:val="nil"/>
              <w:bottom w:val="single" w:color="000000" w:sz="8" w:space="0"/>
              <w:right w:val="single" w:color="000000" w:sz="8" w:space="0"/>
            </w:tcBorders>
            <w:shd w:val="clear" w:color="auto" w:fill="auto"/>
            <w:vAlign w:val="center"/>
          </w:tcPr>
          <w:p w14:paraId="0DC76F5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882</w:t>
            </w:r>
          </w:p>
        </w:tc>
        <w:tc>
          <w:tcPr>
            <w:tcW w:w="574" w:type="pct"/>
            <w:tcBorders>
              <w:top w:val="nil"/>
              <w:left w:val="nil"/>
              <w:bottom w:val="single" w:color="000000" w:sz="8" w:space="0"/>
              <w:right w:val="single" w:color="000000" w:sz="8" w:space="0"/>
            </w:tcBorders>
            <w:shd w:val="clear" w:color="auto" w:fill="auto"/>
            <w:vAlign w:val="center"/>
          </w:tcPr>
          <w:p w14:paraId="1AC78A35">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1,527</w:t>
            </w:r>
          </w:p>
        </w:tc>
      </w:tr>
      <w:tr w14:paraId="78619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114FC7">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DBC36">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13BF3D">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58936E63">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6.26</w:t>
            </w:r>
          </w:p>
        </w:tc>
        <w:tc>
          <w:tcPr>
            <w:tcW w:w="661"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5E33BC29">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6.45</w:t>
            </w:r>
          </w:p>
        </w:tc>
        <w:tc>
          <w:tcPr>
            <w:tcW w:w="635"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31FEDBC2">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12.37</w:t>
            </w:r>
          </w:p>
        </w:tc>
        <w:tc>
          <w:tcPr>
            <w:tcW w:w="574"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55CD4AFF">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7.41</w:t>
            </w:r>
          </w:p>
        </w:tc>
      </w:tr>
      <w:tr w14:paraId="185FA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632" w:type="pct"/>
            <w:tcBorders>
              <w:top w:val="nil"/>
              <w:left w:val="nil"/>
              <w:bottom w:val="nil"/>
              <w:right w:val="nil"/>
            </w:tcBorders>
            <w:shd w:val="clear" w:color="auto" w:fill="000000"/>
            <w:vAlign w:val="center"/>
          </w:tcPr>
          <w:p w14:paraId="5B3A1ADE">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nil"/>
              <w:left w:val="nil"/>
              <w:bottom w:val="nil"/>
              <w:right w:val="nil"/>
            </w:tcBorders>
            <w:shd w:val="clear" w:color="auto" w:fill="000000"/>
            <w:noWrap/>
            <w:vAlign w:val="bottom"/>
          </w:tcPr>
          <w:p w14:paraId="4BC5AAB3">
            <w:pPr>
              <w:spacing w:line="360" w:lineRule="auto"/>
              <w:rPr>
                <w:rFonts w:hint="default" w:ascii="Times New Roman" w:hAnsi="Times New Roman" w:cs="Times New Roman"/>
                <w:i w:val="0"/>
                <w:iCs w:val="0"/>
                <w:color w:val="000000"/>
                <w:sz w:val="24"/>
                <w:szCs w:val="24"/>
                <w:u w:val="none"/>
              </w:rPr>
            </w:pPr>
          </w:p>
        </w:tc>
        <w:tc>
          <w:tcPr>
            <w:tcW w:w="889" w:type="pct"/>
            <w:tcBorders>
              <w:top w:val="nil"/>
              <w:left w:val="nil"/>
              <w:bottom w:val="nil"/>
              <w:right w:val="nil"/>
            </w:tcBorders>
            <w:shd w:val="clear" w:color="auto" w:fill="000000"/>
            <w:noWrap/>
            <w:vAlign w:val="bottom"/>
          </w:tcPr>
          <w:p w14:paraId="37A77190">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nil"/>
              <w:right w:val="nil"/>
            </w:tcBorders>
            <w:shd w:val="clear" w:color="auto" w:fill="000000"/>
            <w:noWrap/>
            <w:vAlign w:val="bottom"/>
          </w:tcPr>
          <w:p w14:paraId="6B5031C0">
            <w:pPr>
              <w:spacing w:line="360" w:lineRule="auto"/>
              <w:rPr>
                <w:rFonts w:hint="default" w:ascii="Times New Roman" w:hAnsi="Times New Roman" w:cs="Times New Roman"/>
                <w:i w:val="0"/>
                <w:iCs w:val="0"/>
                <w:color w:val="000000"/>
                <w:sz w:val="24"/>
                <w:szCs w:val="24"/>
                <w:u w:val="none"/>
              </w:rPr>
            </w:pPr>
          </w:p>
        </w:tc>
        <w:tc>
          <w:tcPr>
            <w:tcW w:w="661" w:type="pct"/>
            <w:tcBorders>
              <w:top w:val="nil"/>
              <w:left w:val="nil"/>
              <w:bottom w:val="nil"/>
              <w:right w:val="nil"/>
            </w:tcBorders>
            <w:shd w:val="clear" w:color="auto" w:fill="000000"/>
            <w:noWrap/>
            <w:vAlign w:val="bottom"/>
          </w:tcPr>
          <w:p w14:paraId="3EC6A55A">
            <w:pPr>
              <w:spacing w:line="360" w:lineRule="auto"/>
              <w:rPr>
                <w:rFonts w:hint="default" w:ascii="Times New Roman" w:hAnsi="Times New Roman" w:cs="Times New Roman"/>
                <w:i w:val="0"/>
                <w:iCs w:val="0"/>
                <w:color w:val="000000"/>
                <w:sz w:val="24"/>
                <w:szCs w:val="24"/>
                <w:u w:val="none"/>
              </w:rPr>
            </w:pPr>
          </w:p>
        </w:tc>
        <w:tc>
          <w:tcPr>
            <w:tcW w:w="635" w:type="pct"/>
            <w:tcBorders>
              <w:top w:val="nil"/>
              <w:left w:val="nil"/>
              <w:bottom w:val="nil"/>
              <w:right w:val="nil"/>
            </w:tcBorders>
            <w:shd w:val="clear" w:color="auto" w:fill="000000"/>
            <w:noWrap/>
            <w:vAlign w:val="bottom"/>
          </w:tcPr>
          <w:p w14:paraId="0668AA5A">
            <w:pPr>
              <w:spacing w:line="360" w:lineRule="auto"/>
              <w:rPr>
                <w:rFonts w:hint="default" w:ascii="Times New Roman" w:hAnsi="Times New Roman" w:cs="Times New Roman"/>
                <w:i w:val="0"/>
                <w:iCs w:val="0"/>
                <w:color w:val="000000"/>
                <w:sz w:val="24"/>
                <w:szCs w:val="24"/>
                <w:u w:val="none"/>
              </w:rPr>
            </w:pPr>
          </w:p>
        </w:tc>
        <w:tc>
          <w:tcPr>
            <w:tcW w:w="574" w:type="pct"/>
            <w:tcBorders>
              <w:top w:val="nil"/>
              <w:left w:val="nil"/>
              <w:bottom w:val="nil"/>
              <w:right w:val="nil"/>
            </w:tcBorders>
            <w:shd w:val="clear" w:color="auto" w:fill="000000"/>
            <w:noWrap/>
            <w:vAlign w:val="bottom"/>
          </w:tcPr>
          <w:p w14:paraId="4DAAF9A8">
            <w:pPr>
              <w:spacing w:line="360" w:lineRule="auto"/>
              <w:rPr>
                <w:rFonts w:hint="default" w:ascii="Times New Roman" w:hAnsi="Times New Roman" w:cs="Times New Roman"/>
                <w:i w:val="0"/>
                <w:iCs w:val="0"/>
                <w:color w:val="000000"/>
                <w:sz w:val="24"/>
                <w:szCs w:val="24"/>
                <w:u w:val="none"/>
              </w:rPr>
            </w:pPr>
          </w:p>
        </w:tc>
      </w:tr>
      <w:tr w14:paraId="01C03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2" w:hRule="atLeast"/>
        </w:trPr>
        <w:tc>
          <w:tcPr>
            <w:tcW w:w="63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7FC11A">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Gearing Ratio (%)</w:t>
            </w:r>
          </w:p>
        </w:tc>
        <w:tc>
          <w:tcPr>
            <w:tcW w:w="102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424FA29">
            <w:pPr>
              <w:keepNext w:val="0"/>
              <w:keepLines w:val="0"/>
              <w:widowControl/>
              <w:suppressLineNumbers w:val="0"/>
              <w:spacing w:line="360" w:lineRule="auto"/>
              <w:jc w:val="center"/>
              <w:textAlignment w:val="center"/>
              <w:rPr>
                <w:rFonts w:hint="default" w:ascii="Times New Roman" w:hAnsi="Times New Roman" w:cs="Times New Roman"/>
                <w:i w:val="0"/>
                <w:iCs w:val="0"/>
                <w:color w:val="000000"/>
                <w:sz w:val="24"/>
                <w:szCs w:val="24"/>
                <w:u w:val="single"/>
              </w:rPr>
            </w:pPr>
            <w:r>
              <w:rPr>
                <w:rStyle w:val="7"/>
                <w:rFonts w:hint="default" w:ascii="Times New Roman" w:hAnsi="Times New Roman" w:eastAsia="SimSun" w:cs="Times New Roman"/>
                <w:sz w:val="24"/>
                <w:szCs w:val="24"/>
                <w:lang w:val="en-US" w:eastAsia="zh-CN" w:bidi="ar"/>
              </w:rPr>
              <w:t>Non-current liabilities x 100%</w:t>
            </w:r>
            <w:r>
              <w:rPr>
                <w:rStyle w:val="7"/>
                <w:rFonts w:hint="default" w:ascii="Times New Roman" w:hAnsi="Times New Roman" w:eastAsia="SimSun" w:cs="Times New Roman"/>
                <w:sz w:val="24"/>
                <w:szCs w:val="24"/>
                <w:lang w:val="en-US" w:eastAsia="zh-CN" w:bidi="ar"/>
              </w:rPr>
              <w:br w:type="textWrapping"/>
            </w:r>
            <w:r>
              <w:rPr>
                <w:rStyle w:val="8"/>
                <w:rFonts w:hint="default" w:ascii="Times New Roman" w:hAnsi="Times New Roman" w:eastAsia="SimSun" w:cs="Times New Roman"/>
                <w:sz w:val="24"/>
                <w:szCs w:val="24"/>
                <w:u w:val="single"/>
                <w:lang w:val="en-US" w:eastAsia="zh-CN" w:bidi="ar"/>
              </w:rPr>
              <w:t xml:space="preserve">Non-current liabilities + total equity </w:t>
            </w:r>
          </w:p>
        </w:tc>
        <w:tc>
          <w:tcPr>
            <w:tcW w:w="8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AAB024">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Non-current liabilities </w:t>
            </w:r>
          </w:p>
        </w:tc>
        <w:tc>
          <w:tcPr>
            <w:tcW w:w="5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A28591">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51,411</w:t>
            </w:r>
          </w:p>
        </w:tc>
        <w:tc>
          <w:tcPr>
            <w:tcW w:w="6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8453BE">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49,544</w:t>
            </w:r>
          </w:p>
        </w:tc>
        <w:tc>
          <w:tcPr>
            <w:tcW w:w="6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51513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47,213</w:t>
            </w:r>
          </w:p>
        </w:tc>
        <w:tc>
          <w:tcPr>
            <w:tcW w:w="5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A9EB7">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46,649</w:t>
            </w:r>
          </w:p>
        </w:tc>
      </w:tr>
      <w:tr w14:paraId="52FAA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6BECDB">
            <w:pPr>
              <w:spacing w:line="360" w:lineRule="auto"/>
              <w:jc w:val="center"/>
              <w:rPr>
                <w:rFonts w:hint="default" w:ascii="Times New Roman" w:hAnsi="Times New Roman" w:cs="Times New Roman"/>
                <w:b/>
                <w:bCs/>
                <w:i w:val="0"/>
                <w:iCs w:val="0"/>
                <w:color w:val="000000"/>
                <w:sz w:val="24"/>
                <w:szCs w:val="24"/>
                <w:u w:val="none"/>
              </w:rPr>
            </w:pPr>
          </w:p>
        </w:tc>
        <w:tc>
          <w:tcPr>
            <w:tcW w:w="102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AE4F82">
            <w:pPr>
              <w:spacing w:line="360" w:lineRule="auto"/>
              <w:jc w:val="center"/>
              <w:rPr>
                <w:rFonts w:hint="default" w:ascii="Times New Roman" w:hAnsi="Times New Roman" w:cs="Times New Roman"/>
                <w:i w:val="0"/>
                <w:iCs w:val="0"/>
                <w:color w:val="000000"/>
                <w:sz w:val="24"/>
                <w:szCs w:val="24"/>
                <w:u w:val="singl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A0FBC0">
            <w:pPr>
              <w:keepNext w:val="0"/>
              <w:keepLines w:val="0"/>
              <w:widowControl/>
              <w:suppressLineNumbers w:val="0"/>
              <w:spacing w:line="360" w:lineRule="auto"/>
              <w:jc w:val="left"/>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Total equity </w:t>
            </w:r>
          </w:p>
        </w:tc>
        <w:tc>
          <w:tcPr>
            <w:tcW w:w="578" w:type="pct"/>
            <w:tcBorders>
              <w:top w:val="nil"/>
              <w:left w:val="nil"/>
              <w:bottom w:val="single" w:color="000000" w:sz="8" w:space="0"/>
              <w:right w:val="single" w:color="000000" w:sz="8" w:space="0"/>
            </w:tcBorders>
            <w:shd w:val="clear" w:color="auto" w:fill="auto"/>
            <w:vAlign w:val="center"/>
          </w:tcPr>
          <w:p w14:paraId="32B95B2D">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21,284</w:t>
            </w:r>
          </w:p>
        </w:tc>
        <w:tc>
          <w:tcPr>
            <w:tcW w:w="661" w:type="pct"/>
            <w:tcBorders>
              <w:top w:val="nil"/>
              <w:left w:val="nil"/>
              <w:bottom w:val="single" w:color="000000" w:sz="8" w:space="0"/>
              <w:right w:val="single" w:color="000000" w:sz="8" w:space="0"/>
            </w:tcBorders>
            <w:shd w:val="clear" w:color="auto" w:fill="auto"/>
            <w:vAlign w:val="center"/>
          </w:tcPr>
          <w:p w14:paraId="4734A5C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24,860</w:t>
            </w:r>
          </w:p>
        </w:tc>
        <w:tc>
          <w:tcPr>
            <w:tcW w:w="635" w:type="pct"/>
            <w:tcBorders>
              <w:top w:val="nil"/>
              <w:left w:val="nil"/>
              <w:bottom w:val="single" w:color="000000" w:sz="8" w:space="0"/>
              <w:right w:val="single" w:color="000000" w:sz="8" w:space="0"/>
            </w:tcBorders>
            <w:shd w:val="clear" w:color="auto" w:fill="auto"/>
            <w:vAlign w:val="center"/>
          </w:tcPr>
          <w:p w14:paraId="782E9499">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25,826</w:t>
            </w:r>
          </w:p>
        </w:tc>
        <w:tc>
          <w:tcPr>
            <w:tcW w:w="574" w:type="pct"/>
            <w:tcBorders>
              <w:top w:val="nil"/>
              <w:left w:val="nil"/>
              <w:bottom w:val="single" w:color="000000" w:sz="8" w:space="0"/>
              <w:right w:val="single" w:color="000000" w:sz="8" w:space="0"/>
            </w:tcBorders>
            <w:shd w:val="clear" w:color="auto" w:fill="auto"/>
            <w:vAlign w:val="center"/>
          </w:tcPr>
          <w:p w14:paraId="5B782A7F">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27,480</w:t>
            </w:r>
          </w:p>
        </w:tc>
      </w:tr>
      <w:tr w14:paraId="23C15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63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E67C6F">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1BB295">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7D8876">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5E88935B">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w:t>
            </w:r>
          </w:p>
        </w:tc>
        <w:tc>
          <w:tcPr>
            <w:tcW w:w="661"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6BE91742">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67%</w:t>
            </w:r>
          </w:p>
        </w:tc>
        <w:tc>
          <w:tcPr>
            <w:tcW w:w="635"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4FCB79E6">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65%</w:t>
            </w:r>
          </w:p>
        </w:tc>
        <w:tc>
          <w:tcPr>
            <w:tcW w:w="574" w:type="pct"/>
            <w:tcBorders>
              <w:top w:val="single" w:color="000000" w:sz="4" w:space="0"/>
              <w:left w:val="single" w:color="000000" w:sz="4" w:space="0"/>
              <w:bottom w:val="single" w:color="000000" w:sz="4" w:space="0"/>
              <w:right w:val="single" w:color="000000" w:sz="4" w:space="0"/>
            </w:tcBorders>
            <w:shd w:val="clear" w:color="auto" w:fill="C6E0B4"/>
            <w:noWrap/>
            <w:vAlign w:val="bottom"/>
          </w:tcPr>
          <w:p w14:paraId="18AC7969">
            <w:pPr>
              <w:keepNext w:val="0"/>
              <w:keepLines w:val="0"/>
              <w:widowControl/>
              <w:suppressLineNumbers w:val="0"/>
              <w:spacing w:line="360" w:lineRule="auto"/>
              <w:jc w:val="center"/>
              <w:textAlignment w:val="bottom"/>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63%</w:t>
            </w:r>
          </w:p>
        </w:tc>
      </w:tr>
      <w:tr w14:paraId="54B67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5" w:hRule="atLeast"/>
        </w:trPr>
        <w:tc>
          <w:tcPr>
            <w:tcW w:w="632" w:type="pct"/>
            <w:tcBorders>
              <w:top w:val="nil"/>
              <w:left w:val="nil"/>
              <w:bottom w:val="nil"/>
              <w:right w:val="nil"/>
            </w:tcBorders>
            <w:shd w:val="clear" w:color="auto" w:fill="000000"/>
            <w:vAlign w:val="center"/>
          </w:tcPr>
          <w:p w14:paraId="15D115AC">
            <w:pPr>
              <w:spacing w:line="360" w:lineRule="auto"/>
              <w:jc w:val="center"/>
              <w:rPr>
                <w:rFonts w:hint="default" w:ascii="Times New Roman" w:hAnsi="Times New Roman" w:cs="Times New Roman"/>
                <w:b/>
                <w:bCs/>
                <w:i w:val="0"/>
                <w:iCs w:val="0"/>
                <w:color w:val="000000"/>
                <w:sz w:val="24"/>
                <w:szCs w:val="24"/>
                <w:u w:val="none"/>
              </w:rPr>
            </w:pPr>
          </w:p>
        </w:tc>
        <w:tc>
          <w:tcPr>
            <w:tcW w:w="1028" w:type="pct"/>
            <w:tcBorders>
              <w:top w:val="nil"/>
              <w:left w:val="nil"/>
              <w:bottom w:val="nil"/>
              <w:right w:val="nil"/>
            </w:tcBorders>
            <w:shd w:val="clear" w:color="auto" w:fill="000000"/>
            <w:noWrap/>
            <w:vAlign w:val="bottom"/>
          </w:tcPr>
          <w:p w14:paraId="61C327CD">
            <w:pPr>
              <w:spacing w:line="360" w:lineRule="auto"/>
              <w:rPr>
                <w:rFonts w:hint="default" w:ascii="Times New Roman" w:hAnsi="Times New Roman" w:cs="Times New Roman"/>
                <w:i w:val="0"/>
                <w:iCs w:val="0"/>
                <w:color w:val="000000"/>
                <w:sz w:val="24"/>
                <w:szCs w:val="24"/>
                <w:u w:val="none"/>
              </w:rPr>
            </w:pPr>
          </w:p>
        </w:tc>
        <w:tc>
          <w:tcPr>
            <w:tcW w:w="889" w:type="pct"/>
            <w:tcBorders>
              <w:top w:val="nil"/>
              <w:left w:val="nil"/>
              <w:bottom w:val="nil"/>
              <w:right w:val="nil"/>
            </w:tcBorders>
            <w:shd w:val="clear" w:color="auto" w:fill="000000"/>
            <w:noWrap/>
            <w:vAlign w:val="bottom"/>
          </w:tcPr>
          <w:p w14:paraId="7DC668F5">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nil"/>
              <w:right w:val="nil"/>
            </w:tcBorders>
            <w:shd w:val="clear" w:color="auto" w:fill="000000"/>
            <w:noWrap/>
            <w:vAlign w:val="bottom"/>
          </w:tcPr>
          <w:p w14:paraId="6B7C5057">
            <w:pPr>
              <w:spacing w:line="360" w:lineRule="auto"/>
              <w:jc w:val="center"/>
              <w:rPr>
                <w:rFonts w:hint="default" w:ascii="Times New Roman" w:hAnsi="Times New Roman" w:cs="Times New Roman"/>
                <w:i w:val="0"/>
                <w:iCs w:val="0"/>
                <w:color w:val="000000"/>
                <w:sz w:val="24"/>
                <w:szCs w:val="24"/>
                <w:u w:val="none"/>
              </w:rPr>
            </w:pPr>
          </w:p>
        </w:tc>
        <w:tc>
          <w:tcPr>
            <w:tcW w:w="661" w:type="pct"/>
            <w:tcBorders>
              <w:top w:val="nil"/>
              <w:left w:val="nil"/>
              <w:bottom w:val="nil"/>
              <w:right w:val="nil"/>
            </w:tcBorders>
            <w:shd w:val="clear" w:color="auto" w:fill="000000"/>
            <w:noWrap/>
            <w:vAlign w:val="bottom"/>
          </w:tcPr>
          <w:p w14:paraId="3784D3AB">
            <w:pPr>
              <w:spacing w:line="360" w:lineRule="auto"/>
              <w:jc w:val="center"/>
              <w:rPr>
                <w:rFonts w:hint="default" w:ascii="Times New Roman" w:hAnsi="Times New Roman" w:cs="Times New Roman"/>
                <w:i w:val="0"/>
                <w:iCs w:val="0"/>
                <w:color w:val="000000"/>
                <w:sz w:val="24"/>
                <w:szCs w:val="24"/>
                <w:u w:val="none"/>
              </w:rPr>
            </w:pPr>
          </w:p>
        </w:tc>
        <w:tc>
          <w:tcPr>
            <w:tcW w:w="635" w:type="pct"/>
            <w:tcBorders>
              <w:top w:val="nil"/>
              <w:left w:val="nil"/>
              <w:bottom w:val="nil"/>
              <w:right w:val="nil"/>
            </w:tcBorders>
            <w:shd w:val="clear" w:color="auto" w:fill="000000"/>
            <w:noWrap/>
            <w:vAlign w:val="bottom"/>
          </w:tcPr>
          <w:p w14:paraId="76E08723">
            <w:pPr>
              <w:spacing w:line="360" w:lineRule="auto"/>
              <w:jc w:val="center"/>
              <w:rPr>
                <w:rFonts w:hint="default" w:ascii="Times New Roman" w:hAnsi="Times New Roman" w:cs="Times New Roman"/>
                <w:i w:val="0"/>
                <w:iCs w:val="0"/>
                <w:color w:val="000000"/>
                <w:sz w:val="24"/>
                <w:szCs w:val="24"/>
                <w:u w:val="none"/>
              </w:rPr>
            </w:pPr>
          </w:p>
        </w:tc>
        <w:tc>
          <w:tcPr>
            <w:tcW w:w="574" w:type="pct"/>
            <w:tcBorders>
              <w:top w:val="nil"/>
              <w:left w:val="nil"/>
              <w:bottom w:val="nil"/>
              <w:right w:val="nil"/>
            </w:tcBorders>
            <w:shd w:val="clear" w:color="auto" w:fill="000000"/>
            <w:noWrap/>
            <w:vAlign w:val="bottom"/>
          </w:tcPr>
          <w:p w14:paraId="67CD4EFF">
            <w:pPr>
              <w:spacing w:line="360" w:lineRule="auto"/>
              <w:jc w:val="center"/>
              <w:rPr>
                <w:rFonts w:hint="default" w:ascii="Times New Roman" w:hAnsi="Times New Roman" w:cs="Times New Roman"/>
                <w:i w:val="0"/>
                <w:iCs w:val="0"/>
                <w:color w:val="000000"/>
                <w:sz w:val="24"/>
                <w:szCs w:val="24"/>
                <w:u w:val="none"/>
              </w:rPr>
            </w:pPr>
          </w:p>
        </w:tc>
      </w:tr>
      <w:tr w14:paraId="57856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632" w:type="pct"/>
            <w:tcBorders>
              <w:top w:val="single" w:color="000000" w:sz="8" w:space="0"/>
              <w:left w:val="single" w:color="000000" w:sz="8" w:space="0"/>
              <w:bottom w:val="single" w:color="000000" w:sz="8" w:space="0"/>
              <w:right w:val="single" w:color="000000" w:sz="8" w:space="0"/>
            </w:tcBorders>
            <w:shd w:val="clear" w:color="auto" w:fill="FFFF00"/>
            <w:vAlign w:val="center"/>
          </w:tcPr>
          <w:p w14:paraId="447AD70C">
            <w:pPr>
              <w:keepNext w:val="0"/>
              <w:keepLines w:val="0"/>
              <w:widowControl/>
              <w:suppressLineNumbers w:val="0"/>
              <w:spacing w:line="36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Investment Ratio </w:t>
            </w:r>
          </w:p>
        </w:tc>
        <w:tc>
          <w:tcPr>
            <w:tcW w:w="1028" w:type="pct"/>
            <w:tcBorders>
              <w:top w:val="single" w:color="000000" w:sz="8" w:space="0"/>
              <w:left w:val="nil"/>
              <w:bottom w:val="single" w:color="000000" w:sz="8" w:space="0"/>
              <w:right w:val="single" w:color="000000" w:sz="8" w:space="0"/>
            </w:tcBorders>
            <w:shd w:val="clear" w:color="auto" w:fill="auto"/>
            <w:noWrap/>
            <w:vAlign w:val="center"/>
          </w:tcPr>
          <w:p w14:paraId="4A05C9BF">
            <w:pPr>
              <w:spacing w:line="360" w:lineRule="auto"/>
              <w:rPr>
                <w:rFonts w:hint="default" w:ascii="Times New Roman" w:hAnsi="Times New Roman" w:cs="Times New Roman"/>
                <w:i w:val="0"/>
                <w:iCs w:val="0"/>
                <w:color w:val="000000"/>
                <w:sz w:val="24"/>
                <w:szCs w:val="24"/>
                <w:u w:val="none"/>
              </w:rPr>
            </w:pPr>
          </w:p>
        </w:tc>
        <w:tc>
          <w:tcPr>
            <w:tcW w:w="889" w:type="pct"/>
            <w:tcBorders>
              <w:top w:val="single" w:color="000000" w:sz="8" w:space="0"/>
              <w:left w:val="nil"/>
              <w:bottom w:val="single" w:color="000000" w:sz="8" w:space="0"/>
              <w:right w:val="single" w:color="000000" w:sz="8" w:space="0"/>
            </w:tcBorders>
            <w:shd w:val="clear" w:color="auto" w:fill="auto"/>
            <w:noWrap/>
            <w:vAlign w:val="center"/>
          </w:tcPr>
          <w:p w14:paraId="19C34846">
            <w:pPr>
              <w:spacing w:line="360" w:lineRule="auto"/>
              <w:rPr>
                <w:rFonts w:hint="default" w:ascii="Times New Roman" w:hAnsi="Times New Roman" w:cs="Times New Roman"/>
                <w:i w:val="0"/>
                <w:iCs w:val="0"/>
                <w:color w:val="000000"/>
                <w:sz w:val="24"/>
                <w:szCs w:val="24"/>
                <w:u w:val="none"/>
              </w:rPr>
            </w:pPr>
          </w:p>
        </w:tc>
        <w:tc>
          <w:tcPr>
            <w:tcW w:w="578" w:type="pct"/>
            <w:tcBorders>
              <w:top w:val="single" w:color="000000" w:sz="8" w:space="0"/>
              <w:left w:val="nil"/>
              <w:bottom w:val="single" w:color="000000" w:sz="8" w:space="0"/>
              <w:right w:val="single" w:color="000000" w:sz="8" w:space="0"/>
            </w:tcBorders>
            <w:shd w:val="clear" w:color="auto" w:fill="auto"/>
            <w:noWrap/>
            <w:vAlign w:val="center"/>
          </w:tcPr>
          <w:p w14:paraId="29F0DDC5">
            <w:pPr>
              <w:spacing w:line="360" w:lineRule="auto"/>
              <w:jc w:val="right"/>
              <w:rPr>
                <w:rFonts w:hint="default" w:ascii="Times New Roman" w:hAnsi="Times New Roman" w:cs="Times New Roman"/>
                <w:b/>
                <w:bCs/>
                <w:i w:val="0"/>
                <w:iCs w:val="0"/>
                <w:color w:val="000000"/>
                <w:sz w:val="24"/>
                <w:szCs w:val="24"/>
                <w:u w:val="none"/>
              </w:rPr>
            </w:pPr>
          </w:p>
        </w:tc>
        <w:tc>
          <w:tcPr>
            <w:tcW w:w="661" w:type="pct"/>
            <w:tcBorders>
              <w:top w:val="single" w:color="000000" w:sz="8" w:space="0"/>
              <w:left w:val="nil"/>
              <w:bottom w:val="single" w:color="000000" w:sz="8" w:space="0"/>
              <w:right w:val="single" w:color="000000" w:sz="8" w:space="0"/>
            </w:tcBorders>
            <w:shd w:val="clear" w:color="auto" w:fill="auto"/>
            <w:noWrap/>
            <w:vAlign w:val="center"/>
          </w:tcPr>
          <w:p w14:paraId="17028756">
            <w:pPr>
              <w:spacing w:line="360" w:lineRule="auto"/>
              <w:jc w:val="right"/>
              <w:rPr>
                <w:rFonts w:hint="default" w:ascii="Times New Roman" w:hAnsi="Times New Roman" w:cs="Times New Roman"/>
                <w:b/>
                <w:bCs/>
                <w:i w:val="0"/>
                <w:iCs w:val="0"/>
                <w:color w:val="000000"/>
                <w:sz w:val="24"/>
                <w:szCs w:val="24"/>
                <w:u w:val="none"/>
              </w:rPr>
            </w:pPr>
          </w:p>
        </w:tc>
        <w:tc>
          <w:tcPr>
            <w:tcW w:w="635" w:type="pct"/>
            <w:tcBorders>
              <w:top w:val="single" w:color="000000" w:sz="8" w:space="0"/>
              <w:left w:val="nil"/>
              <w:bottom w:val="single" w:color="000000" w:sz="8" w:space="0"/>
              <w:right w:val="single" w:color="000000" w:sz="8" w:space="0"/>
            </w:tcBorders>
            <w:shd w:val="clear" w:color="auto" w:fill="auto"/>
            <w:noWrap/>
            <w:vAlign w:val="center"/>
          </w:tcPr>
          <w:p w14:paraId="44979524">
            <w:pPr>
              <w:spacing w:line="360" w:lineRule="auto"/>
              <w:jc w:val="right"/>
              <w:rPr>
                <w:rFonts w:hint="default" w:ascii="Times New Roman" w:hAnsi="Times New Roman" w:cs="Times New Roman"/>
                <w:b/>
                <w:bCs/>
                <w:i w:val="0"/>
                <w:iCs w:val="0"/>
                <w:color w:val="000000"/>
                <w:sz w:val="24"/>
                <w:szCs w:val="24"/>
                <w:u w:val="none"/>
              </w:rPr>
            </w:pPr>
          </w:p>
        </w:tc>
        <w:tc>
          <w:tcPr>
            <w:tcW w:w="574" w:type="pct"/>
            <w:tcBorders>
              <w:top w:val="single" w:color="000000" w:sz="8" w:space="0"/>
              <w:left w:val="nil"/>
              <w:bottom w:val="single" w:color="000000" w:sz="8" w:space="0"/>
              <w:right w:val="single" w:color="000000" w:sz="8" w:space="0"/>
            </w:tcBorders>
            <w:shd w:val="clear" w:color="auto" w:fill="auto"/>
            <w:noWrap/>
            <w:vAlign w:val="center"/>
          </w:tcPr>
          <w:p w14:paraId="124FF51F">
            <w:pPr>
              <w:spacing w:line="360" w:lineRule="auto"/>
              <w:jc w:val="right"/>
              <w:rPr>
                <w:rFonts w:hint="default" w:ascii="Times New Roman" w:hAnsi="Times New Roman" w:cs="Times New Roman"/>
                <w:b/>
                <w:bCs/>
                <w:i w:val="0"/>
                <w:iCs w:val="0"/>
                <w:color w:val="000000"/>
                <w:sz w:val="24"/>
                <w:szCs w:val="24"/>
                <w:u w:val="none"/>
              </w:rPr>
            </w:pPr>
          </w:p>
        </w:tc>
      </w:tr>
      <w:tr w14:paraId="41DFF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632"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D4F640B">
            <w:pPr>
              <w:keepNext w:val="0"/>
              <w:keepLines w:val="0"/>
              <w:widowControl/>
              <w:suppressLineNumbers w:val="0"/>
              <w:spacing w:line="36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Earnings per Share </w:t>
            </w:r>
          </w:p>
        </w:tc>
        <w:tc>
          <w:tcPr>
            <w:tcW w:w="1028" w:type="pct"/>
            <w:tcBorders>
              <w:top w:val="nil"/>
              <w:left w:val="nil"/>
              <w:bottom w:val="nil"/>
              <w:right w:val="single" w:color="000000" w:sz="8" w:space="0"/>
            </w:tcBorders>
            <w:shd w:val="clear" w:color="auto" w:fill="auto"/>
            <w:noWrap/>
            <w:vAlign w:val="center"/>
          </w:tcPr>
          <w:p w14:paraId="3A5532DD">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single"/>
              </w:rPr>
            </w:pPr>
            <w:r>
              <w:rPr>
                <w:rFonts w:hint="default" w:ascii="Times New Roman" w:hAnsi="Times New Roman" w:eastAsia="SimSun" w:cs="Times New Roman"/>
                <w:i w:val="0"/>
                <w:iCs w:val="0"/>
                <w:color w:val="000000"/>
                <w:kern w:val="0"/>
                <w:sz w:val="24"/>
                <w:szCs w:val="24"/>
                <w:u w:val="single"/>
                <w:lang w:val="en-US" w:eastAsia="zh-CN" w:bidi="ar"/>
              </w:rPr>
              <w:t>Net income (Profit for the Year)</w:t>
            </w:r>
          </w:p>
        </w:tc>
        <w:tc>
          <w:tcPr>
            <w:tcW w:w="889" w:type="pct"/>
            <w:tcBorders>
              <w:top w:val="single" w:color="000000" w:sz="8" w:space="0"/>
              <w:left w:val="single" w:color="000000" w:sz="8" w:space="0"/>
              <w:bottom w:val="nil"/>
              <w:right w:val="single" w:color="000000" w:sz="8" w:space="0"/>
            </w:tcBorders>
            <w:shd w:val="clear" w:color="auto" w:fill="auto"/>
            <w:noWrap/>
            <w:vAlign w:val="center"/>
          </w:tcPr>
          <w:p w14:paraId="6F84AA58">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Net income </w:t>
            </w:r>
          </w:p>
        </w:tc>
        <w:tc>
          <w:tcPr>
            <w:tcW w:w="578" w:type="pct"/>
            <w:tcBorders>
              <w:top w:val="nil"/>
              <w:left w:val="nil"/>
              <w:bottom w:val="single" w:color="000000" w:sz="8" w:space="0"/>
              <w:right w:val="single" w:color="000000" w:sz="8" w:space="0"/>
            </w:tcBorders>
            <w:shd w:val="clear" w:color="auto" w:fill="auto"/>
            <w:vAlign w:val="center"/>
          </w:tcPr>
          <w:p w14:paraId="4AFB2543">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9,804</w:t>
            </w:r>
          </w:p>
        </w:tc>
        <w:tc>
          <w:tcPr>
            <w:tcW w:w="661" w:type="pct"/>
            <w:tcBorders>
              <w:top w:val="nil"/>
              <w:left w:val="nil"/>
              <w:bottom w:val="single" w:color="000000" w:sz="8" w:space="0"/>
              <w:right w:val="single" w:color="000000" w:sz="8" w:space="0"/>
            </w:tcBorders>
            <w:shd w:val="clear" w:color="auto" w:fill="auto"/>
            <w:vAlign w:val="center"/>
          </w:tcPr>
          <w:p w14:paraId="04935C2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7,768</w:t>
            </w:r>
          </w:p>
        </w:tc>
        <w:tc>
          <w:tcPr>
            <w:tcW w:w="635" w:type="pct"/>
            <w:tcBorders>
              <w:top w:val="nil"/>
              <w:left w:val="nil"/>
              <w:bottom w:val="single" w:color="000000" w:sz="8" w:space="0"/>
              <w:right w:val="single" w:color="000000" w:sz="8" w:space="0"/>
            </w:tcBorders>
            <w:shd w:val="clear" w:color="auto" w:fill="auto"/>
            <w:vAlign w:val="center"/>
          </w:tcPr>
          <w:p w14:paraId="3FBEAFF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9,571</w:t>
            </w:r>
          </w:p>
        </w:tc>
        <w:tc>
          <w:tcPr>
            <w:tcW w:w="574" w:type="pct"/>
            <w:tcBorders>
              <w:top w:val="nil"/>
              <w:left w:val="nil"/>
              <w:bottom w:val="single" w:color="000000" w:sz="8" w:space="0"/>
              <w:right w:val="single" w:color="000000" w:sz="8" w:space="0"/>
            </w:tcBorders>
            <w:shd w:val="clear" w:color="auto" w:fill="auto"/>
            <w:vAlign w:val="center"/>
          </w:tcPr>
          <w:p w14:paraId="3844EEE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10,703</w:t>
            </w:r>
          </w:p>
        </w:tc>
      </w:tr>
      <w:tr w14:paraId="68279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63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C890CDA">
            <w:pPr>
              <w:spacing w:line="360" w:lineRule="auto"/>
              <w:rPr>
                <w:rFonts w:hint="default" w:ascii="Times New Roman" w:hAnsi="Times New Roman" w:cs="Times New Roman"/>
                <w:b/>
                <w:bCs/>
                <w:i w:val="0"/>
                <w:iCs w:val="0"/>
                <w:color w:val="000000"/>
                <w:sz w:val="24"/>
                <w:szCs w:val="24"/>
                <w:u w:val="none"/>
              </w:rPr>
            </w:pPr>
          </w:p>
        </w:tc>
        <w:tc>
          <w:tcPr>
            <w:tcW w:w="1028" w:type="pct"/>
            <w:tcBorders>
              <w:top w:val="nil"/>
              <w:left w:val="nil"/>
              <w:bottom w:val="nil"/>
              <w:right w:val="single" w:color="000000" w:sz="8" w:space="0"/>
            </w:tcBorders>
            <w:shd w:val="clear" w:color="auto" w:fill="auto"/>
            <w:noWrap/>
            <w:vAlign w:val="center"/>
          </w:tcPr>
          <w:p w14:paraId="18D9F6BA">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Number of ordinary shares </w:t>
            </w:r>
          </w:p>
        </w:tc>
        <w:tc>
          <w:tcPr>
            <w:tcW w:w="889" w:type="pct"/>
            <w:tcBorders>
              <w:top w:val="nil"/>
              <w:left w:val="nil"/>
              <w:bottom w:val="single" w:color="000000" w:sz="8" w:space="0"/>
              <w:right w:val="single" w:color="000000" w:sz="8" w:space="0"/>
            </w:tcBorders>
            <w:shd w:val="clear" w:color="auto" w:fill="auto"/>
            <w:noWrap/>
            <w:vAlign w:val="center"/>
          </w:tcPr>
          <w:p w14:paraId="76A58E79">
            <w:pPr>
              <w:keepNext w:val="0"/>
              <w:keepLines w:val="0"/>
              <w:widowControl/>
              <w:suppressLineNumbers w:val="0"/>
              <w:spacing w:line="36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Number of ordinary shares </w:t>
            </w:r>
          </w:p>
        </w:tc>
        <w:tc>
          <w:tcPr>
            <w:tcW w:w="578" w:type="pct"/>
            <w:tcBorders>
              <w:top w:val="nil"/>
              <w:left w:val="nil"/>
              <w:bottom w:val="single" w:color="000000" w:sz="8" w:space="0"/>
              <w:right w:val="single" w:color="000000" w:sz="8" w:space="0"/>
            </w:tcBorders>
            <w:shd w:val="clear" w:color="auto" w:fill="auto"/>
            <w:vAlign w:val="center"/>
          </w:tcPr>
          <w:p w14:paraId="070A76C9">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7,040</w:t>
            </w:r>
          </w:p>
        </w:tc>
        <w:tc>
          <w:tcPr>
            <w:tcW w:w="661" w:type="pct"/>
            <w:tcBorders>
              <w:top w:val="nil"/>
              <w:left w:val="nil"/>
              <w:bottom w:val="single" w:color="000000" w:sz="8" w:space="0"/>
              <w:right w:val="single" w:color="000000" w:sz="8" w:space="0"/>
            </w:tcBorders>
            <w:shd w:val="clear" w:color="auto" w:fill="auto"/>
            <w:vAlign w:val="center"/>
          </w:tcPr>
          <w:p w14:paraId="1E029D4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7,040</w:t>
            </w:r>
          </w:p>
        </w:tc>
        <w:tc>
          <w:tcPr>
            <w:tcW w:w="635" w:type="pct"/>
            <w:tcBorders>
              <w:top w:val="nil"/>
              <w:left w:val="nil"/>
              <w:bottom w:val="single" w:color="000000" w:sz="8" w:space="0"/>
              <w:right w:val="single" w:color="000000" w:sz="8" w:space="0"/>
            </w:tcBorders>
            <w:shd w:val="clear" w:color="auto" w:fill="auto"/>
            <w:vAlign w:val="center"/>
          </w:tcPr>
          <w:p w14:paraId="23A446D7">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7,040</w:t>
            </w:r>
          </w:p>
        </w:tc>
        <w:tc>
          <w:tcPr>
            <w:tcW w:w="574" w:type="pct"/>
            <w:tcBorders>
              <w:top w:val="nil"/>
              <w:left w:val="nil"/>
              <w:bottom w:val="single" w:color="000000" w:sz="8" w:space="0"/>
              <w:right w:val="single" w:color="000000" w:sz="8" w:space="0"/>
            </w:tcBorders>
            <w:shd w:val="clear" w:color="auto" w:fill="auto"/>
            <w:vAlign w:val="center"/>
          </w:tcPr>
          <w:p w14:paraId="330D1EFB">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7,040</w:t>
            </w:r>
          </w:p>
        </w:tc>
      </w:tr>
      <w:tr w14:paraId="2E400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632"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476B922">
            <w:pPr>
              <w:spacing w:line="360" w:lineRule="auto"/>
              <w:rPr>
                <w:rFonts w:hint="default" w:ascii="Times New Roman" w:hAnsi="Times New Roman" w:cs="Times New Roman"/>
                <w:b/>
                <w:bCs/>
                <w:i w:val="0"/>
                <w:iCs w:val="0"/>
                <w:color w:val="000000"/>
                <w:sz w:val="24"/>
                <w:szCs w:val="24"/>
                <w:u w:val="none"/>
              </w:rPr>
            </w:pPr>
          </w:p>
        </w:tc>
        <w:tc>
          <w:tcPr>
            <w:tcW w:w="1028" w:type="pct"/>
            <w:tcBorders>
              <w:top w:val="nil"/>
              <w:left w:val="nil"/>
              <w:bottom w:val="single" w:color="000000" w:sz="8" w:space="0"/>
              <w:right w:val="single" w:color="000000" w:sz="8" w:space="0"/>
            </w:tcBorders>
            <w:shd w:val="clear" w:color="auto" w:fill="auto"/>
            <w:noWrap/>
            <w:vAlign w:val="center"/>
          </w:tcPr>
          <w:p w14:paraId="64991C45">
            <w:pPr>
              <w:spacing w:line="360" w:lineRule="auto"/>
              <w:rPr>
                <w:rFonts w:hint="default" w:ascii="Times New Roman" w:hAnsi="Times New Roman" w:cs="Times New Roman"/>
                <w:i w:val="0"/>
                <w:iCs w:val="0"/>
                <w:color w:val="000000"/>
                <w:sz w:val="24"/>
                <w:szCs w:val="24"/>
                <w:u w:val="none"/>
              </w:rPr>
            </w:pPr>
          </w:p>
        </w:tc>
        <w:tc>
          <w:tcPr>
            <w:tcW w:w="889" w:type="pct"/>
            <w:tcBorders>
              <w:top w:val="nil"/>
              <w:left w:val="single" w:color="000000" w:sz="8" w:space="0"/>
              <w:bottom w:val="single" w:color="000000" w:sz="8" w:space="0"/>
              <w:right w:val="single" w:color="000000" w:sz="8" w:space="0"/>
            </w:tcBorders>
            <w:shd w:val="clear" w:color="auto" w:fill="auto"/>
            <w:noWrap/>
            <w:vAlign w:val="center"/>
          </w:tcPr>
          <w:p w14:paraId="364F8FAF">
            <w:pPr>
              <w:spacing w:line="360" w:lineRule="auto"/>
              <w:rPr>
                <w:rFonts w:hint="default" w:ascii="Times New Roman" w:hAnsi="Times New Roman" w:cs="Times New Roman"/>
                <w:i w:val="0"/>
                <w:iCs w:val="0"/>
                <w:color w:val="000000"/>
                <w:sz w:val="24"/>
                <w:szCs w:val="24"/>
                <w:u w:val="none"/>
              </w:rPr>
            </w:pPr>
          </w:p>
        </w:tc>
        <w:tc>
          <w:tcPr>
            <w:tcW w:w="578" w:type="pct"/>
            <w:tcBorders>
              <w:top w:val="nil"/>
              <w:left w:val="nil"/>
              <w:bottom w:val="single" w:color="000000" w:sz="8" w:space="0"/>
              <w:right w:val="single" w:color="000000" w:sz="8" w:space="0"/>
            </w:tcBorders>
            <w:shd w:val="clear" w:color="auto" w:fill="A9D08E"/>
            <w:vAlign w:val="center"/>
          </w:tcPr>
          <w:p w14:paraId="050E4CEE">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1.39</w:t>
            </w:r>
          </w:p>
        </w:tc>
        <w:tc>
          <w:tcPr>
            <w:tcW w:w="661" w:type="pct"/>
            <w:tcBorders>
              <w:top w:val="nil"/>
              <w:left w:val="nil"/>
              <w:bottom w:val="single" w:color="000000" w:sz="8" w:space="0"/>
              <w:right w:val="single" w:color="000000" w:sz="8" w:space="0"/>
            </w:tcBorders>
            <w:shd w:val="clear" w:color="auto" w:fill="A9D08E"/>
            <w:vAlign w:val="center"/>
          </w:tcPr>
          <w:p w14:paraId="1BC22FD0">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1.10</w:t>
            </w:r>
          </w:p>
        </w:tc>
        <w:tc>
          <w:tcPr>
            <w:tcW w:w="635" w:type="pct"/>
            <w:tcBorders>
              <w:top w:val="nil"/>
              <w:left w:val="nil"/>
              <w:bottom w:val="single" w:color="000000" w:sz="8" w:space="0"/>
              <w:right w:val="single" w:color="000000" w:sz="8" w:space="0"/>
            </w:tcBorders>
            <w:shd w:val="clear" w:color="auto" w:fill="A9D08E"/>
            <w:vAlign w:val="center"/>
          </w:tcPr>
          <w:p w14:paraId="1FEB7686">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1.36</w:t>
            </w:r>
          </w:p>
        </w:tc>
        <w:tc>
          <w:tcPr>
            <w:tcW w:w="574" w:type="pct"/>
            <w:tcBorders>
              <w:top w:val="nil"/>
              <w:left w:val="nil"/>
              <w:bottom w:val="single" w:color="000000" w:sz="8" w:space="0"/>
              <w:right w:val="single" w:color="000000" w:sz="8" w:space="0"/>
            </w:tcBorders>
            <w:shd w:val="clear" w:color="auto" w:fill="A9D08E"/>
            <w:vAlign w:val="center"/>
          </w:tcPr>
          <w:p w14:paraId="14290337">
            <w:pPr>
              <w:keepNext w:val="0"/>
              <w:keepLines w:val="0"/>
              <w:widowControl/>
              <w:suppressLineNumbers w:val="0"/>
              <w:spacing w:line="360" w:lineRule="auto"/>
              <w:jc w:val="center"/>
              <w:textAlignment w:val="center"/>
              <w:rPr>
                <w:rFonts w:hint="default" w:ascii="Times New Roman" w:hAnsi="Times New Roman" w:cs="Times New Roman"/>
                <w:b/>
                <w:bCs/>
                <w:i w:val="0"/>
                <w:iCs w:val="0"/>
                <w:color w:val="231F20"/>
                <w:sz w:val="24"/>
                <w:szCs w:val="24"/>
                <w:u w:val="none"/>
              </w:rPr>
            </w:pPr>
            <w:r>
              <w:rPr>
                <w:rFonts w:hint="default" w:ascii="Times New Roman" w:hAnsi="Times New Roman" w:eastAsia="SimSun" w:cs="Times New Roman"/>
                <w:b/>
                <w:bCs/>
                <w:i w:val="0"/>
                <w:iCs w:val="0"/>
                <w:color w:val="231F20"/>
                <w:kern w:val="0"/>
                <w:sz w:val="24"/>
                <w:szCs w:val="24"/>
                <w:u w:val="none"/>
                <w:lang w:val="en-US" w:eastAsia="zh-CN" w:bidi="ar"/>
              </w:rPr>
              <w:t>1.52</w:t>
            </w:r>
          </w:p>
        </w:tc>
      </w:tr>
    </w:tbl>
    <w:p w14:paraId="2A200DDC">
      <w:pPr>
        <w:spacing w:line="360" w:lineRule="auto"/>
        <w:rPr>
          <w:rFonts w:hint="default" w:ascii="Times New Roman" w:hAnsi="Times New Roman" w:cs="Times New Roman"/>
          <w:b/>
          <w:bCs/>
          <w:sz w:val="24"/>
          <w:szCs w:val="24"/>
          <w:u w:val="single"/>
        </w:rPr>
      </w:pPr>
    </w:p>
    <w:p w14:paraId="1CF83E1C">
      <w:pPr>
        <w:spacing w:after="0" w:afterAutospacing="0" w:line="360" w:lineRule="auto"/>
        <w:rPr>
          <w:rFonts w:hint="default" w:ascii="Times New Roman" w:hAnsi="Times New Roman" w:cs="Times New Roman"/>
          <w:b/>
          <w:bCs/>
          <w:sz w:val="24"/>
          <w:szCs w:val="24"/>
          <w:u w:val="single"/>
        </w:rPr>
      </w:pPr>
    </w:p>
    <w:p w14:paraId="76447412">
      <w:pPr>
        <w:spacing w:before="233" w:beforeLines="64" w:beforeAutospacing="0" w:line="360" w:lineRule="auto"/>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FIG1.1</w:t>
      </w:r>
      <w:r>
        <w:rPr>
          <w:rFonts w:hint="default" w:ascii="Times New Roman" w:hAnsi="Times New Roman" w:cs="Times New Roman"/>
          <w:b/>
          <w:bCs/>
          <w:sz w:val="24"/>
          <w:szCs w:val="24"/>
          <w:u w:val="single"/>
          <w:lang w:val="en-GB"/>
        </w:rPr>
        <w:drawing>
          <wp:inline distT="0" distB="0" distL="114300" distR="114300">
            <wp:extent cx="5939790" cy="2545715"/>
            <wp:effectExtent l="0" t="0" r="3810" b="6985"/>
            <wp:docPr id="2" name="Picture 2" descr="coca_cola_financial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ca_cola_financial_trends"/>
                    <pic:cNvPicPr>
                      <a:picLocks noChangeAspect="1"/>
                    </pic:cNvPicPr>
                  </pic:nvPicPr>
                  <pic:blipFill>
                    <a:blip r:embed="rId7"/>
                    <a:stretch>
                      <a:fillRect/>
                    </a:stretch>
                  </pic:blipFill>
                  <pic:spPr>
                    <a:xfrm>
                      <a:off x="0" y="0"/>
                      <a:ext cx="5939790" cy="2545715"/>
                    </a:xfrm>
                    <a:prstGeom prst="rect">
                      <a:avLst/>
                    </a:prstGeom>
                  </pic:spPr>
                </pic:pic>
              </a:graphicData>
            </a:graphic>
          </wp:inline>
        </w:drawing>
      </w:r>
    </w:p>
    <w:p w14:paraId="7E4BB526">
      <w:pPr>
        <w:spacing w:line="360" w:lineRule="auto"/>
        <w:rPr>
          <w:rFonts w:hint="default" w:ascii="Times New Roman" w:hAnsi="Times New Roman" w:cs="Times New Roman"/>
          <w:b/>
          <w:bCs/>
          <w:sz w:val="24"/>
          <w:szCs w:val="24"/>
          <w:u w:val="single"/>
          <w:lang w:val="en-GB"/>
        </w:rPr>
      </w:pPr>
    </w:p>
    <w:p w14:paraId="71F10EFD">
      <w:pPr>
        <w:spacing w:line="360" w:lineRule="auto"/>
        <w:rPr>
          <w:rFonts w:hint="default" w:ascii="Times New Roman" w:hAnsi="Times New Roman" w:cs="Times New Roman"/>
          <w:b/>
          <w:bCs/>
          <w:sz w:val="24"/>
          <w:szCs w:val="24"/>
          <w:u w:val="single"/>
          <w:lang w:val="en-GB"/>
        </w:rPr>
      </w:pPr>
      <w:r>
        <w:rPr>
          <w:rFonts w:hint="default" w:ascii="Times New Roman" w:hAnsi="Times New Roman" w:cs="Times New Roman"/>
          <w:b/>
          <w:bCs/>
          <w:sz w:val="24"/>
          <w:szCs w:val="24"/>
          <w:u w:val="single"/>
          <w:lang w:val="en-GB"/>
        </w:rPr>
        <w:t>DEFINITION OF TERMS</w:t>
      </w:r>
    </w:p>
    <w:p w14:paraId="733FABFF">
      <w:pPr>
        <w:spacing w:line="360" w:lineRule="auto"/>
        <w:rPr>
          <w:rFonts w:hint="default" w:ascii="Times New Roman" w:hAnsi="Times New Roman"/>
          <w:b w:val="0"/>
          <w:bCs w:val="0"/>
          <w:sz w:val="24"/>
          <w:szCs w:val="24"/>
          <w:u w:val="none"/>
        </w:rPr>
      </w:pPr>
      <w:r>
        <w:rPr>
          <w:rFonts w:hint="default" w:ascii="Times New Roman" w:hAnsi="Times New Roman"/>
          <w:b/>
          <w:bCs/>
          <w:sz w:val="24"/>
          <w:szCs w:val="24"/>
          <w:u w:val="none"/>
        </w:rPr>
        <w:t>PROFITABILITY RATIOS</w:t>
      </w:r>
      <w:r>
        <w:rPr>
          <w:rFonts w:hint="default" w:ascii="Times New Roman" w:hAnsi="Times New Roman"/>
          <w:b w:val="0"/>
          <w:bCs w:val="0"/>
          <w:sz w:val="24"/>
          <w:szCs w:val="24"/>
          <w:u w:val="none"/>
        </w:rPr>
        <w:t xml:space="preserve">: These ratios assess a business's ability to make money in relation to its assets, sales, or capital used. They demonstrate how well a business uses its resources to produce financial returns and how efficient it is at converting profits into revenue. </w:t>
      </w:r>
    </w:p>
    <w:p w14:paraId="0E903919">
      <w:pPr>
        <w:spacing w:line="360" w:lineRule="auto"/>
        <w:rPr>
          <w:rFonts w:hint="default" w:ascii="Times New Roman" w:hAnsi="Times New Roman"/>
          <w:b w:val="0"/>
          <w:bCs w:val="0"/>
          <w:sz w:val="24"/>
          <w:szCs w:val="24"/>
          <w:u w:val="none"/>
        </w:rPr>
      </w:pPr>
      <w:r>
        <w:rPr>
          <w:rFonts w:hint="default" w:ascii="Times New Roman" w:hAnsi="Times New Roman"/>
          <w:b/>
          <w:bCs/>
          <w:sz w:val="24"/>
          <w:szCs w:val="24"/>
          <w:u w:val="none"/>
        </w:rPr>
        <w:t>EFFICIENCY RATIOS:</w:t>
      </w:r>
      <w:r>
        <w:rPr>
          <w:rFonts w:hint="default" w:ascii="Times New Roman" w:hAnsi="Times New Roman"/>
          <w:b w:val="0"/>
          <w:bCs w:val="0"/>
          <w:sz w:val="24"/>
          <w:szCs w:val="24"/>
          <w:u w:val="none"/>
        </w:rPr>
        <w:t xml:space="preserve"> These ratios evaluate how well a business manages its assets and activities. The effectiveness and speed at which resources are converted into cash or income are the main topics of these ratios. </w:t>
      </w:r>
    </w:p>
    <w:p w14:paraId="0A1C55F6">
      <w:pPr>
        <w:spacing w:line="360" w:lineRule="auto"/>
        <w:rPr>
          <w:rFonts w:hint="default" w:ascii="Times New Roman" w:hAnsi="Times New Roman"/>
          <w:b w:val="0"/>
          <w:bCs w:val="0"/>
          <w:sz w:val="24"/>
          <w:szCs w:val="24"/>
          <w:u w:val="none"/>
        </w:rPr>
      </w:pPr>
      <w:r>
        <w:rPr>
          <w:rFonts w:hint="default" w:ascii="Times New Roman" w:hAnsi="Times New Roman"/>
          <w:b/>
          <w:bCs/>
          <w:sz w:val="24"/>
          <w:szCs w:val="24"/>
          <w:u w:val="none"/>
        </w:rPr>
        <w:t>LIQUIDITY RATIOS:</w:t>
      </w:r>
      <w:r>
        <w:rPr>
          <w:rFonts w:hint="default" w:ascii="Times New Roman" w:hAnsi="Times New Roman"/>
          <w:b w:val="0"/>
          <w:bCs w:val="0"/>
          <w:sz w:val="24"/>
          <w:szCs w:val="24"/>
          <w:u w:val="none"/>
        </w:rPr>
        <w:t xml:space="preserve"> Liquidity ratios evaluate a company's ability to settle its short-term debts on time by using its current or near-cash assets. These are quite important for assessing one's present financial status. </w:t>
      </w:r>
    </w:p>
    <w:p w14:paraId="34E16440">
      <w:pPr>
        <w:spacing w:line="360" w:lineRule="auto"/>
        <w:rPr>
          <w:rFonts w:hint="default" w:ascii="Times New Roman" w:hAnsi="Times New Roman"/>
          <w:b w:val="0"/>
          <w:bCs w:val="0"/>
          <w:sz w:val="24"/>
          <w:szCs w:val="24"/>
          <w:u w:val="none"/>
        </w:rPr>
      </w:pPr>
      <w:r>
        <w:rPr>
          <w:rFonts w:hint="default" w:ascii="Times New Roman" w:hAnsi="Times New Roman"/>
          <w:b/>
          <w:bCs/>
          <w:sz w:val="24"/>
          <w:szCs w:val="24"/>
          <w:u w:val="none"/>
        </w:rPr>
        <w:t>INVESTMENT RATIOS:</w:t>
      </w:r>
      <w:r>
        <w:rPr>
          <w:rFonts w:hint="default" w:ascii="Times New Roman" w:hAnsi="Times New Roman"/>
          <w:b w:val="0"/>
          <w:bCs w:val="0"/>
          <w:sz w:val="24"/>
          <w:szCs w:val="24"/>
          <w:u w:val="none"/>
        </w:rPr>
        <w:t xml:space="preserve"> Also known as investor ratios, these metrics provide information on a company's market value and returns from the perspective of its shareholders. These ratios can be used to assess financial success in relation to share value and dividend policy. </w:t>
      </w:r>
    </w:p>
    <w:p w14:paraId="4F89AC9F">
      <w:pPr>
        <w:spacing w:line="360" w:lineRule="auto"/>
        <w:rPr>
          <w:rFonts w:hint="default" w:ascii="Times New Roman" w:hAnsi="Times New Roman"/>
          <w:b w:val="0"/>
          <w:bCs w:val="0"/>
          <w:sz w:val="24"/>
          <w:szCs w:val="24"/>
          <w:u w:val="none"/>
        </w:rPr>
      </w:pPr>
      <w:r>
        <w:rPr>
          <w:rFonts w:hint="default" w:ascii="Times New Roman" w:hAnsi="Times New Roman"/>
          <w:b/>
          <w:bCs/>
          <w:sz w:val="24"/>
          <w:szCs w:val="24"/>
          <w:u w:val="none"/>
        </w:rPr>
        <w:t xml:space="preserve">GEARING RATIOS: </w:t>
      </w:r>
      <w:r>
        <w:rPr>
          <w:rFonts w:hint="default" w:ascii="Times New Roman" w:hAnsi="Times New Roman"/>
          <w:b w:val="0"/>
          <w:bCs w:val="0"/>
          <w:sz w:val="24"/>
          <w:szCs w:val="24"/>
          <w:u w:val="none"/>
        </w:rPr>
        <w:t xml:space="preserve">Gearing ratios examine the relationship between debt and equity in a company's capital structure. The extent of the company's reliance on external funding and the financial risk associated with borrowing are reflected. </w:t>
      </w:r>
    </w:p>
    <w:p w14:paraId="7601FEEB">
      <w:pPr>
        <w:spacing w:line="360" w:lineRule="auto"/>
        <w:rPr>
          <w:rFonts w:hint="default" w:ascii="Times New Roman" w:hAnsi="Times New Roman"/>
          <w:b w:val="0"/>
          <w:bCs w:val="0"/>
          <w:sz w:val="24"/>
          <w:szCs w:val="24"/>
          <w:u w:val="none"/>
        </w:rPr>
      </w:pPr>
    </w:p>
    <w:p w14:paraId="76369A09">
      <w:pPr>
        <w:spacing w:line="360" w:lineRule="auto"/>
        <w:rPr>
          <w:rFonts w:hint="default" w:ascii="Times New Roman" w:hAnsi="Times New Roman" w:cs="Times New Roman"/>
          <w:b w:val="0"/>
          <w:bCs w:val="0"/>
          <w:sz w:val="24"/>
          <w:szCs w:val="24"/>
          <w:u w:val="none"/>
        </w:rPr>
      </w:pPr>
      <w:r>
        <w:rPr>
          <w:rFonts w:hint="default" w:ascii="Times New Roman" w:hAnsi="Times New Roman"/>
          <w:b w:val="0"/>
          <w:bCs w:val="0"/>
          <w:sz w:val="24"/>
          <w:szCs w:val="24"/>
          <w:u w:val="none"/>
        </w:rPr>
        <w:t xml:space="preserve">              </w:t>
      </w:r>
    </w:p>
    <w:p w14:paraId="1617B810">
      <w:pPr>
        <w:spacing w:line="360" w:lineRule="auto"/>
        <w:rPr>
          <w:rFonts w:hint="default" w:ascii="Times New Roman" w:hAnsi="Times New Roman" w:cs="Times New Roman"/>
          <w:b/>
          <w:bCs/>
          <w:sz w:val="24"/>
          <w:szCs w:val="24"/>
          <w:u w:val="single"/>
        </w:rPr>
      </w:pPr>
    </w:p>
    <w:p w14:paraId="3E9F5933">
      <w:pPr>
        <w:spacing w:line="360" w:lineRule="auto"/>
        <w:rPr>
          <w:rFonts w:hint="default" w:ascii="Times New Roman" w:hAnsi="Times New Roman" w:cs="Times New Roman"/>
          <w:b/>
          <w:bCs/>
          <w:sz w:val="24"/>
          <w:szCs w:val="24"/>
          <w:u w:val="single"/>
        </w:rPr>
      </w:pPr>
    </w:p>
    <w:p w14:paraId="32564356">
      <w:pPr>
        <w:spacing w:line="360" w:lineRule="auto"/>
        <w:rPr>
          <w:rFonts w:hint="default" w:ascii="Times New Roman" w:hAnsi="Times New Roman" w:cs="Times New Roman"/>
          <w:b/>
          <w:bCs/>
          <w:sz w:val="24"/>
          <w:szCs w:val="24"/>
          <w:u w:val="single"/>
        </w:rPr>
      </w:pPr>
    </w:p>
    <w:p w14:paraId="331808E5">
      <w:pPr>
        <w:spacing w:line="360" w:lineRule="auto"/>
        <w:rPr>
          <w:rFonts w:hint="default" w:ascii="Times New Roman" w:hAnsi="Times New Roman" w:cs="Times New Roman"/>
          <w:b/>
          <w:bCs/>
          <w:sz w:val="24"/>
          <w:szCs w:val="24"/>
          <w:u w:val="single"/>
        </w:rPr>
      </w:pPr>
    </w:p>
    <w:p w14:paraId="16BFE761">
      <w:pPr>
        <w:spacing w:line="360" w:lineRule="auto"/>
        <w:rPr>
          <w:rFonts w:hint="default" w:ascii="Times New Roman" w:hAnsi="Times New Roman" w:cs="Times New Roman"/>
          <w:b/>
          <w:bCs/>
          <w:sz w:val="24"/>
          <w:szCs w:val="24"/>
          <w:u w:val="single"/>
        </w:rPr>
      </w:pPr>
    </w:p>
    <w:p w14:paraId="0F8C1C81">
      <w:pPr>
        <w:spacing w:line="360" w:lineRule="auto"/>
        <w:rPr>
          <w:rFonts w:hint="default" w:ascii="Times New Roman" w:hAnsi="Times New Roman" w:cs="Times New Roman"/>
          <w:b/>
          <w:bCs/>
          <w:sz w:val="24"/>
          <w:szCs w:val="24"/>
          <w:u w:val="single"/>
        </w:rPr>
      </w:pPr>
    </w:p>
    <w:p w14:paraId="01B3194A">
      <w:pPr>
        <w:spacing w:line="360" w:lineRule="auto"/>
        <w:rPr>
          <w:rFonts w:hint="default" w:ascii="Times New Roman" w:hAnsi="Times New Roman" w:cs="Times New Roman"/>
          <w:b/>
          <w:bCs/>
          <w:sz w:val="24"/>
          <w:szCs w:val="24"/>
          <w:u w:val="single"/>
        </w:rPr>
      </w:pPr>
    </w:p>
    <w:p w14:paraId="2C176206">
      <w:pPr>
        <w:spacing w:line="360" w:lineRule="auto"/>
        <w:rPr>
          <w:rFonts w:hint="default" w:ascii="Times New Roman" w:hAnsi="Times New Roman" w:cs="Times New Roman"/>
          <w:b/>
          <w:bCs/>
          <w:sz w:val="24"/>
          <w:szCs w:val="24"/>
          <w:u w:val="single"/>
        </w:rPr>
      </w:pPr>
    </w:p>
    <w:p w14:paraId="0F5E66A8">
      <w:pPr>
        <w:spacing w:line="360" w:lineRule="auto"/>
        <w:rPr>
          <w:rFonts w:hint="default" w:ascii="Times New Roman" w:hAnsi="Times New Roman" w:cs="Times New Roman"/>
          <w:b/>
          <w:bCs/>
          <w:sz w:val="24"/>
          <w:szCs w:val="24"/>
          <w:u w:val="single"/>
        </w:rPr>
      </w:pPr>
    </w:p>
    <w:p w14:paraId="61F75C48">
      <w:pPr>
        <w:spacing w:line="360" w:lineRule="auto"/>
        <w:rPr>
          <w:rFonts w:hint="default" w:ascii="Times New Roman" w:hAnsi="Times New Roman" w:cs="Times New Roman"/>
          <w:b/>
          <w:bCs/>
          <w:sz w:val="24"/>
          <w:szCs w:val="24"/>
          <w:u w:val="single"/>
        </w:rPr>
      </w:pPr>
    </w:p>
    <w:p w14:paraId="3A648DFB">
      <w:pPr>
        <w:spacing w:line="360" w:lineRule="auto"/>
        <w:rPr>
          <w:rFonts w:hint="default" w:ascii="Times New Roman" w:hAnsi="Times New Roman" w:cs="Times New Roman"/>
          <w:b/>
          <w:bCs/>
          <w:sz w:val="24"/>
          <w:szCs w:val="24"/>
          <w:u w:val="single"/>
        </w:rPr>
      </w:pPr>
    </w:p>
    <w:p w14:paraId="1B55B9D5">
      <w:pPr>
        <w:spacing w:line="360" w:lineRule="auto"/>
        <w:rPr>
          <w:rFonts w:hint="default" w:ascii="Times New Roman" w:hAnsi="Times New Roman" w:cs="Times New Roman"/>
          <w:b/>
          <w:bCs/>
          <w:sz w:val="24"/>
          <w:szCs w:val="24"/>
          <w:u w:val="single"/>
        </w:rPr>
      </w:pPr>
    </w:p>
    <w:p w14:paraId="263279B0">
      <w:pPr>
        <w:spacing w:line="360" w:lineRule="auto"/>
        <w:rPr>
          <w:rFonts w:hint="default" w:ascii="Times New Roman" w:hAnsi="Times New Roman" w:cs="Times New Roman"/>
          <w:b/>
          <w:bCs/>
          <w:sz w:val="24"/>
          <w:szCs w:val="24"/>
          <w:u w:val="single"/>
        </w:rPr>
      </w:pPr>
    </w:p>
    <w:p w14:paraId="4695E9F0">
      <w:pPr>
        <w:spacing w:line="360" w:lineRule="auto"/>
        <w:rPr>
          <w:rFonts w:hint="default" w:ascii="Times New Roman" w:hAnsi="Times New Roman" w:cs="Times New Roman"/>
          <w:b/>
          <w:bCs/>
          <w:sz w:val="24"/>
          <w:szCs w:val="24"/>
          <w:u w:val="single"/>
        </w:rPr>
      </w:pPr>
    </w:p>
    <w:p w14:paraId="0BEBA5CF">
      <w:pPr>
        <w:spacing w:line="360" w:lineRule="auto"/>
        <w:rPr>
          <w:rFonts w:hint="default" w:ascii="Times New Roman" w:hAnsi="Times New Roman" w:cs="Times New Roman"/>
          <w:b/>
          <w:bCs/>
          <w:sz w:val="24"/>
          <w:szCs w:val="24"/>
          <w:u w:val="single"/>
        </w:rPr>
      </w:pPr>
    </w:p>
    <w:p w14:paraId="0840DF10">
      <w:pPr>
        <w:spacing w:line="360" w:lineRule="auto"/>
        <w:rPr>
          <w:rFonts w:hint="default" w:ascii="Times New Roman" w:hAnsi="Times New Roman" w:cs="Times New Roman"/>
          <w:b/>
          <w:bCs/>
          <w:sz w:val="24"/>
          <w:szCs w:val="24"/>
          <w:u w:val="single"/>
        </w:rPr>
      </w:pPr>
    </w:p>
    <w:p w14:paraId="377847F2">
      <w:pPr>
        <w:spacing w:line="360" w:lineRule="auto"/>
        <w:rPr>
          <w:rFonts w:hint="default" w:ascii="Times New Roman" w:hAnsi="Times New Roman" w:cs="Times New Roman"/>
          <w:b/>
          <w:bCs/>
          <w:sz w:val="24"/>
          <w:szCs w:val="24"/>
          <w:u w:val="single"/>
        </w:rPr>
      </w:pPr>
    </w:p>
    <w:p w14:paraId="59337015">
      <w:pPr>
        <w:spacing w:line="360" w:lineRule="auto"/>
        <w:rPr>
          <w:rFonts w:hint="default" w:ascii="Times New Roman" w:hAnsi="Times New Roman" w:cs="Times New Roman"/>
          <w:b/>
          <w:bCs/>
          <w:sz w:val="24"/>
          <w:szCs w:val="24"/>
          <w:u w:val="single"/>
        </w:rPr>
      </w:pPr>
    </w:p>
    <w:p w14:paraId="07AC8BFC">
      <w:pPr>
        <w:spacing w:line="360" w:lineRule="auto"/>
        <w:rPr>
          <w:rFonts w:hint="default" w:ascii="Times New Roman" w:hAnsi="Times New Roman" w:cs="Times New Roman"/>
          <w:b/>
          <w:bCs/>
          <w:sz w:val="24"/>
          <w:szCs w:val="24"/>
          <w:u w:val="single"/>
        </w:rPr>
      </w:pPr>
    </w:p>
    <w:p w14:paraId="2DE20E48">
      <w:pPr>
        <w:spacing w:line="360" w:lineRule="auto"/>
        <w:rPr>
          <w:rFonts w:hint="default" w:ascii="Times New Roman" w:hAnsi="Times New Roman" w:cs="Times New Roman"/>
          <w:b/>
          <w:bCs/>
          <w:sz w:val="24"/>
          <w:szCs w:val="24"/>
          <w:u w:val="single"/>
        </w:rPr>
      </w:pPr>
    </w:p>
    <w:p w14:paraId="78FF876E">
      <w:pPr>
        <w:spacing w:line="360" w:lineRule="auto"/>
        <w:rPr>
          <w:rFonts w:hint="default" w:ascii="Times New Roman" w:hAnsi="Times New Roman" w:cs="Times New Roman"/>
          <w:b/>
          <w:bCs/>
          <w:sz w:val="24"/>
          <w:szCs w:val="24"/>
          <w:u w:val="single"/>
        </w:rPr>
      </w:pPr>
    </w:p>
    <w:p w14:paraId="3E18D1EF">
      <w:pPr>
        <w:spacing w:line="360" w:lineRule="auto"/>
        <w:rPr>
          <w:rFonts w:hint="default" w:ascii="Times New Roman" w:hAnsi="Times New Roman" w:cs="Times New Roman"/>
          <w:b/>
          <w:bCs/>
          <w:sz w:val="24"/>
          <w:szCs w:val="24"/>
          <w:u w:val="single"/>
        </w:rPr>
      </w:pPr>
    </w:p>
    <w:p w14:paraId="378D9761">
      <w:pPr>
        <w:spacing w:line="360" w:lineRule="auto"/>
        <w:rPr>
          <w:rFonts w:hint="default" w:ascii="Times New Roman" w:hAnsi="Times New Roman" w:cs="Times New Roman"/>
          <w:b/>
          <w:bCs/>
          <w:sz w:val="24"/>
          <w:szCs w:val="24"/>
          <w:u w:val="single"/>
        </w:rPr>
      </w:pPr>
    </w:p>
    <w:p w14:paraId="1BCCE699">
      <w:pPr>
        <w:spacing w:line="360" w:lineRule="auto"/>
        <w:rPr>
          <w:rFonts w:hint="default" w:ascii="Times New Roman" w:hAnsi="Times New Roman" w:cs="Times New Roman"/>
          <w:b/>
          <w:bCs/>
          <w:sz w:val="24"/>
          <w:szCs w:val="24"/>
          <w:u w:val="single"/>
        </w:rPr>
      </w:pPr>
    </w:p>
    <w:p w14:paraId="3CB0BCF4">
      <w:pPr>
        <w:spacing w:line="360" w:lineRule="auto"/>
        <w:rPr>
          <w:rFonts w:hint="default" w:ascii="Times New Roman" w:hAnsi="Times New Roman" w:cs="Times New Roman"/>
          <w:b/>
          <w:bCs/>
          <w:sz w:val="24"/>
          <w:szCs w:val="24"/>
          <w:u w:val="single"/>
        </w:rPr>
      </w:pPr>
    </w:p>
    <w:p w14:paraId="5D57A89A">
      <w:pPr>
        <w:spacing w:line="360" w:lineRule="auto"/>
        <w:rPr>
          <w:rFonts w:hint="default" w:ascii="Times New Roman" w:hAnsi="Times New Roman" w:cs="Times New Roman"/>
          <w:b/>
          <w:bCs/>
          <w:sz w:val="24"/>
          <w:szCs w:val="24"/>
          <w:u w:val="single"/>
        </w:rPr>
      </w:pPr>
    </w:p>
    <w:p w14:paraId="7A2C2BC6">
      <w:pPr>
        <w:spacing w:line="360" w:lineRule="auto"/>
        <w:rPr>
          <w:rFonts w:hint="default" w:ascii="Times New Roman" w:hAnsi="Times New Roman" w:cs="Times New Roman"/>
          <w:b/>
          <w:bCs/>
          <w:sz w:val="24"/>
          <w:szCs w:val="24"/>
          <w:u w:val="single"/>
        </w:rPr>
      </w:pPr>
    </w:p>
    <w:p w14:paraId="3A090CBE">
      <w:pPr>
        <w:spacing w:line="360" w:lineRule="auto"/>
        <w:rPr>
          <w:rFonts w:hint="default" w:ascii="Times New Roman" w:hAnsi="Times New Roman" w:cs="Times New Roman"/>
          <w:b/>
          <w:bCs/>
          <w:sz w:val="24"/>
          <w:szCs w:val="24"/>
          <w:u w:val="single"/>
        </w:rPr>
      </w:pPr>
    </w:p>
    <w:p w14:paraId="5AF20D56">
      <w:pPr>
        <w:spacing w:line="360" w:lineRule="auto"/>
        <w:rPr>
          <w:rFonts w:hint="default" w:ascii="Times New Roman" w:hAnsi="Times New Roman" w:cs="Times New Roman"/>
          <w:b/>
          <w:bCs/>
          <w:sz w:val="24"/>
          <w:szCs w:val="24"/>
          <w:u w:val="single"/>
        </w:rPr>
      </w:pPr>
    </w:p>
    <w:p w14:paraId="78E6E749">
      <w:pPr>
        <w:spacing w:line="360" w:lineRule="auto"/>
        <w:rPr>
          <w:rFonts w:hint="default" w:ascii="Times New Roman" w:hAnsi="Times New Roman" w:cs="Times New Roman"/>
          <w:b/>
          <w:bCs/>
          <w:sz w:val="24"/>
          <w:szCs w:val="24"/>
          <w:u w:val="single"/>
        </w:rPr>
      </w:pPr>
    </w:p>
    <w:p w14:paraId="03A8BA19">
      <w:pPr>
        <w:spacing w:line="360" w:lineRule="auto"/>
        <w:rPr>
          <w:rFonts w:hint="default" w:ascii="Times New Roman" w:hAnsi="Times New Roman" w:cs="Times New Roman"/>
          <w:b/>
          <w:bCs/>
          <w:sz w:val="24"/>
          <w:szCs w:val="24"/>
          <w:u w:val="single"/>
        </w:rPr>
      </w:pPr>
    </w:p>
    <w:p w14:paraId="2287A7F8">
      <w:pPr>
        <w:spacing w:line="360" w:lineRule="auto"/>
        <w:rPr>
          <w:rFonts w:hint="default" w:ascii="Times New Roman" w:hAnsi="Times New Roman" w:cs="Times New Roman"/>
          <w:b/>
          <w:bCs/>
          <w:sz w:val="24"/>
          <w:szCs w:val="24"/>
          <w:u w:val="single"/>
        </w:rPr>
      </w:pPr>
    </w:p>
    <w:p w14:paraId="0F6E8B06">
      <w:pPr>
        <w:spacing w:line="360" w:lineRule="auto"/>
        <w:rPr>
          <w:rFonts w:hint="default" w:ascii="Times New Roman" w:hAnsi="Times New Roman" w:cs="Times New Roman"/>
          <w:b/>
          <w:bCs/>
          <w:sz w:val="24"/>
          <w:szCs w:val="24"/>
          <w:u w:val="single"/>
        </w:rPr>
      </w:pPr>
    </w:p>
    <w:p w14:paraId="652D68FF">
      <w:pPr>
        <w:spacing w:line="360" w:lineRule="auto"/>
        <w:rPr>
          <w:rFonts w:hint="default" w:ascii="Times New Roman" w:hAnsi="Times New Roman" w:cs="Times New Roman"/>
          <w:b/>
          <w:bCs/>
          <w:sz w:val="24"/>
          <w:szCs w:val="24"/>
          <w:u w:val="single"/>
        </w:rPr>
      </w:pPr>
    </w:p>
    <w:p w14:paraId="1483E87D">
      <w:pPr>
        <w:spacing w:line="360" w:lineRule="auto"/>
        <w:rPr>
          <w:rFonts w:hint="default" w:ascii="Times New Roman" w:hAnsi="Times New Roman" w:cs="Times New Roman"/>
          <w:b/>
          <w:bCs/>
          <w:sz w:val="24"/>
          <w:szCs w:val="24"/>
          <w:u w:val="single"/>
        </w:rPr>
      </w:pPr>
    </w:p>
    <w:p w14:paraId="4CE2BB23">
      <w:pPr>
        <w:spacing w:line="360" w:lineRule="auto"/>
        <w:rPr>
          <w:rFonts w:hint="default" w:ascii="Times New Roman" w:hAnsi="Times New Roman" w:cs="Times New Roman"/>
          <w:b/>
          <w:bCs/>
          <w:sz w:val="24"/>
          <w:szCs w:val="24"/>
          <w:u w:val="single"/>
        </w:rPr>
      </w:pPr>
    </w:p>
    <w:p w14:paraId="1E79FC9E">
      <w:pPr>
        <w:spacing w:line="360" w:lineRule="auto"/>
        <w:rPr>
          <w:rFonts w:hint="default" w:ascii="Times New Roman" w:hAnsi="Times New Roman" w:cs="Times New Roman"/>
          <w:b/>
          <w:bCs/>
          <w:sz w:val="24"/>
          <w:szCs w:val="24"/>
          <w:u w:val="single"/>
        </w:rPr>
      </w:pPr>
    </w:p>
    <w:p w14:paraId="0E9E2188">
      <w:pPr>
        <w:spacing w:line="360" w:lineRule="auto"/>
        <w:rPr>
          <w:rFonts w:hint="default" w:ascii="Times New Roman" w:hAnsi="Times New Roman" w:cs="Times New Roman"/>
          <w:b/>
          <w:bCs/>
          <w:sz w:val="24"/>
          <w:szCs w:val="24"/>
          <w:u w:val="single"/>
        </w:rPr>
      </w:pPr>
    </w:p>
    <w:p w14:paraId="6B241DC0">
      <w:pPr>
        <w:spacing w:line="360" w:lineRule="auto"/>
        <w:rPr>
          <w:rFonts w:hint="default" w:ascii="Times New Roman" w:hAnsi="Times New Roman" w:cs="Times New Roman"/>
          <w:b/>
          <w:bCs/>
          <w:sz w:val="24"/>
          <w:szCs w:val="24"/>
          <w:u w:val="single"/>
        </w:rPr>
      </w:pPr>
    </w:p>
    <w:p w14:paraId="648226B9">
      <w:pPr>
        <w:spacing w:line="36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REFERENCES</w:t>
      </w:r>
    </w:p>
    <w:p w14:paraId="3A73C2A9">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Beverage Digest. (2023) Leading carbonated soft drink (CSD) companies in the United States in 2022, based on volume share. Statista. Available at: https://www.statista.com/statistics/225504/leading-carbonated-soft-drink-companies-in-the-us/ (Accessed: </w:t>
      </w:r>
      <w:r>
        <w:rPr>
          <w:rFonts w:hint="default" w:ascii="Times New Roman" w:hAnsi="Times New Roman"/>
          <w:b w:val="0"/>
          <w:bCs w:val="0"/>
          <w:sz w:val="24"/>
          <w:szCs w:val="24"/>
          <w:u w:val="none"/>
          <w:lang w:val="en-GB"/>
        </w:rPr>
        <w:t>1</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April</w:t>
      </w:r>
      <w:r>
        <w:rPr>
          <w:rFonts w:hint="default" w:ascii="Times New Roman" w:hAnsi="Times New Roman"/>
          <w:b w:val="0"/>
          <w:bCs w:val="0"/>
          <w:sz w:val="24"/>
          <w:szCs w:val="24"/>
          <w:u w:val="none"/>
        </w:rPr>
        <w:t xml:space="preserve"> 2025).</w:t>
      </w:r>
    </w:p>
    <w:p w14:paraId="4B42BDE0">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Break Free From Plastic. (2024) ‘2023 Global Brand Audit: The Coca-Cola Company is once again the top global plastic polluter’, Break Free From Plastic, 7 February. Available at: https://www.breakfreefromplastic.org/2024/02/07/bffp-movement-unveils-2023-global-brand-audit-results/ (Accessed: </w:t>
      </w:r>
      <w:r>
        <w:rPr>
          <w:rFonts w:hint="default" w:ascii="Times New Roman" w:hAnsi="Times New Roman"/>
          <w:b w:val="0"/>
          <w:bCs w:val="0"/>
          <w:sz w:val="24"/>
          <w:szCs w:val="24"/>
          <w:u w:val="none"/>
          <w:lang w:val="en-GB"/>
        </w:rPr>
        <w:t>1</w:t>
      </w:r>
      <w:r>
        <w:rPr>
          <w:rFonts w:hint="default" w:ascii="Times New Roman" w:hAnsi="Times New Roman"/>
          <w:b w:val="0"/>
          <w:bCs w:val="0"/>
          <w:sz w:val="24"/>
          <w:szCs w:val="24"/>
          <w:u w:val="none"/>
        </w:rPr>
        <w:t xml:space="preserve"> April 2025).</w:t>
      </w:r>
    </w:p>
    <w:p w14:paraId="692406AE">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bstrategyhub.com, 2019. SWOT Analysis of Coca Cola. Available at: https://bstrategyhub.com/swot-analysis-of-coca-cola-2019-coca-cola-swot-analysis/ (Accessed </w:t>
      </w:r>
      <w:r>
        <w:rPr>
          <w:rFonts w:hint="default" w:ascii="Times New Roman" w:hAnsi="Times New Roman"/>
          <w:b w:val="0"/>
          <w:bCs w:val="0"/>
          <w:sz w:val="24"/>
          <w:szCs w:val="24"/>
          <w:u w:val="none"/>
          <w:lang w:val="en-GB"/>
        </w:rPr>
        <w:t>3</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April</w:t>
      </w:r>
      <w:r>
        <w:rPr>
          <w:rFonts w:hint="default" w:ascii="Times New Roman" w:hAnsi="Times New Roman"/>
          <w:b w:val="0"/>
          <w:bCs w:val="0"/>
          <w:sz w:val="24"/>
          <w:szCs w:val="24"/>
          <w:u w:val="none"/>
        </w:rPr>
        <w:t xml:space="preserve"> 2025).</w:t>
      </w:r>
    </w:p>
    <w:p w14:paraId="6793A17B">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 Financial Times, 2024. Coca-Cola draws fire after watering down environmental targets. Available at: https://www.ft.com/content/75d5fb6d-2bc8-4621-a955-9c70897541cd (Accessed</w:t>
      </w:r>
      <w:r>
        <w:rPr>
          <w:rFonts w:hint="default" w:ascii="Times New Roman" w:hAnsi="Times New Roman"/>
          <w:b w:val="0"/>
          <w:bCs w:val="0"/>
          <w:sz w:val="24"/>
          <w:szCs w:val="24"/>
          <w:u w:val="none"/>
          <w:lang w:val="en-GB"/>
        </w:rPr>
        <w:t>:</w:t>
      </w:r>
      <w:r>
        <w:rPr>
          <w:rFonts w:hint="default" w:ascii="Times New Roman" w:hAnsi="Times New Roman"/>
          <w:b w:val="0"/>
          <w:bCs w:val="0"/>
          <w:sz w:val="24"/>
          <w:szCs w:val="24"/>
          <w:u w:val="none"/>
        </w:rPr>
        <w:t xml:space="preserve"> 1 May 2025).</w:t>
      </w:r>
    </w:p>
    <w:p w14:paraId="029F5EB3">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Marketing Week. (2024) Coca-Cola's brand value from 2006 to 2024 (in billion U.S. dollars). Statista. Statista Inc. (Accessed:</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1 April</w:t>
      </w:r>
      <w:r>
        <w:rPr>
          <w:rFonts w:hint="default" w:ascii="Times New Roman" w:hAnsi="Times New Roman"/>
          <w:b w:val="0"/>
          <w:bCs w:val="0"/>
          <w:sz w:val="24"/>
          <w:szCs w:val="24"/>
          <w:u w:val="none"/>
        </w:rPr>
        <w:t xml:space="preserve"> 2025</w:t>
      </w:r>
      <w:r>
        <w:rPr>
          <w:rFonts w:hint="default" w:ascii="Times New Roman" w:hAnsi="Times New Roman"/>
          <w:b w:val="0"/>
          <w:bCs w:val="0"/>
          <w:sz w:val="24"/>
          <w:szCs w:val="24"/>
          <w:u w:val="none"/>
        </w:rPr>
        <w:t>).</w:t>
      </w:r>
    </w:p>
    <w:p w14:paraId="23299F36">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Porter, M.E. (1979) ‘How Competitive Forces Shape Strategy’, Harvard Business Review, 57(2), pp. 137–145</w:t>
      </w:r>
    </w:p>
    <w:p w14:paraId="4E533F97">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Rigik, E. (2014) ‘Tracking Today’s Retail Beverage Trends’, Convenience Store Decisions, 25(11), p. 22. Available at: https://research.ebsco.com/linkprocessor/plink?id=ca6b6264-eda1-3192-ae51-1c87ace80e41 (Accessed:  </w:t>
      </w:r>
      <w:r>
        <w:rPr>
          <w:rFonts w:hint="default" w:ascii="Times New Roman" w:hAnsi="Times New Roman"/>
          <w:b w:val="0"/>
          <w:bCs w:val="0"/>
          <w:sz w:val="24"/>
          <w:szCs w:val="24"/>
          <w:u w:val="none"/>
          <w:lang w:val="en-GB"/>
        </w:rPr>
        <w:t>22</w:t>
      </w:r>
      <w:r>
        <w:rPr>
          <w:rFonts w:hint="default" w:ascii="Times New Roman" w:hAnsi="Times New Roman"/>
          <w:b w:val="0"/>
          <w:bCs w:val="0"/>
          <w:sz w:val="24"/>
          <w:szCs w:val="24"/>
          <w:u w:val="none"/>
        </w:rPr>
        <w:t xml:space="preserve"> April 2025).</w:t>
      </w:r>
    </w:p>
    <w:p w14:paraId="747753A1">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The Coca-Cola Company. (2025) Brands. Available at: https://www.coca-colacompany.com/brands (Accessed: 19 April 2025).</w:t>
      </w:r>
    </w:p>
    <w:p w14:paraId="40EA4DAF">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The Coca-Cola Company. (2025) History. Available at: https://www.coca-cola.com/gb/en/about-us/history (Accessed: </w:t>
      </w:r>
      <w:r>
        <w:rPr>
          <w:rFonts w:hint="default" w:ascii="Times New Roman" w:hAnsi="Times New Roman"/>
          <w:b w:val="0"/>
          <w:bCs w:val="0"/>
          <w:sz w:val="24"/>
          <w:szCs w:val="24"/>
          <w:u w:val="none"/>
          <w:lang w:val="en-GB"/>
        </w:rPr>
        <w:t>9</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April</w:t>
      </w:r>
      <w:r>
        <w:rPr>
          <w:rFonts w:hint="default" w:ascii="Times New Roman" w:hAnsi="Times New Roman"/>
          <w:b w:val="0"/>
          <w:bCs w:val="0"/>
          <w:sz w:val="24"/>
          <w:szCs w:val="24"/>
          <w:u w:val="none"/>
        </w:rPr>
        <w:t xml:space="preserve"> 2025</w:t>
      </w:r>
      <w:r>
        <w:rPr>
          <w:rFonts w:hint="default" w:ascii="Times New Roman" w:hAnsi="Times New Roman"/>
          <w:b w:val="0"/>
          <w:bCs w:val="0"/>
          <w:sz w:val="24"/>
          <w:szCs w:val="24"/>
          <w:u w:val="none"/>
        </w:rPr>
        <w:t>).</w:t>
      </w:r>
    </w:p>
    <w:p w14:paraId="384EFFD7">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The Coca-Cola Company. (2025) Iconic ‘Share a Coke’ is Back for a New Generation. Available at: https://www.coca-colacompany.com/media-center/iconic-share-a-coke-is-back-for-a-new-generation (Accessed: </w:t>
      </w:r>
      <w:r>
        <w:rPr>
          <w:rFonts w:hint="default" w:ascii="Times New Roman" w:hAnsi="Times New Roman"/>
          <w:b w:val="0"/>
          <w:bCs w:val="0"/>
          <w:sz w:val="24"/>
          <w:szCs w:val="24"/>
          <w:u w:val="none"/>
          <w:lang w:val="en-GB"/>
        </w:rPr>
        <w:t>3</w:t>
      </w:r>
      <w:r>
        <w:rPr>
          <w:rFonts w:hint="default" w:ascii="Times New Roman" w:hAnsi="Times New Roman"/>
          <w:b w:val="0"/>
          <w:bCs w:val="0"/>
          <w:sz w:val="24"/>
          <w:szCs w:val="24"/>
          <w:u w:val="none"/>
        </w:rPr>
        <w:t xml:space="preserve"> May 2025).</w:t>
      </w:r>
    </w:p>
    <w:p w14:paraId="596F2D01">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The Coca-Cola Company. (2025) Sustainability. Available at: https://www.coca-colacompany.com/about-us/sustainability (Accessed:</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15</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April</w:t>
      </w:r>
      <w:r>
        <w:rPr>
          <w:rFonts w:hint="default" w:ascii="Times New Roman" w:hAnsi="Times New Roman"/>
          <w:b w:val="0"/>
          <w:bCs w:val="0"/>
          <w:sz w:val="24"/>
          <w:szCs w:val="24"/>
          <w:u w:val="none"/>
        </w:rPr>
        <w:t xml:space="preserve"> 2025</w:t>
      </w:r>
      <w:r>
        <w:rPr>
          <w:rFonts w:hint="default" w:ascii="Times New Roman" w:hAnsi="Times New Roman"/>
          <w:b w:val="0"/>
          <w:bCs w:val="0"/>
          <w:sz w:val="24"/>
          <w:szCs w:val="24"/>
          <w:u w:val="none"/>
        </w:rPr>
        <w:t>).</w:t>
      </w:r>
    </w:p>
    <w:p w14:paraId="67DDE168">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The Coca-Cola Company. (2025) The Coca-Cola System. Available at: https://www.coca-colacompany.com/about-us/coca-cola-system#:~:text=The%20Coca%E2%80%91Cola%20Company%20does,syrups%20to%20authorized%20bottling%20partners (Accessed: 1</w:t>
      </w:r>
      <w:r>
        <w:rPr>
          <w:rFonts w:hint="default" w:ascii="Times New Roman" w:hAnsi="Times New Roman"/>
          <w:b w:val="0"/>
          <w:bCs w:val="0"/>
          <w:sz w:val="24"/>
          <w:szCs w:val="24"/>
          <w:u w:val="none"/>
          <w:lang w:val="en-GB"/>
        </w:rPr>
        <w:t xml:space="preserve"> </w:t>
      </w:r>
      <w:r>
        <w:rPr>
          <w:rFonts w:hint="default" w:ascii="Times New Roman" w:hAnsi="Times New Roman"/>
          <w:b w:val="0"/>
          <w:bCs w:val="0"/>
          <w:sz w:val="24"/>
          <w:szCs w:val="24"/>
          <w:u w:val="none"/>
        </w:rPr>
        <w:t>May 2025).</w:t>
      </w:r>
    </w:p>
    <w:p w14:paraId="45AD2CB7">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The Sun. (2025) Coca-Cola cans recalled over 'plastic contamination' in 900 cases. Available at: https://www.thesun.co.uk/news/34807801/coca-cola-coke-cans-recall-plastic-contamination/ (Accessed:</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9</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April</w:t>
      </w:r>
      <w:r>
        <w:rPr>
          <w:rFonts w:hint="default" w:ascii="Times New Roman" w:hAnsi="Times New Roman"/>
          <w:b w:val="0"/>
          <w:bCs w:val="0"/>
          <w:sz w:val="24"/>
          <w:szCs w:val="24"/>
          <w:u w:val="none"/>
        </w:rPr>
        <w:t xml:space="preserve"> 2025</w:t>
      </w:r>
      <w:r>
        <w:rPr>
          <w:rFonts w:hint="default" w:ascii="Times New Roman" w:hAnsi="Times New Roman"/>
          <w:b w:val="0"/>
          <w:bCs w:val="0"/>
          <w:sz w:val="24"/>
          <w:szCs w:val="24"/>
          <w:u w:val="none"/>
        </w:rPr>
        <w:t>).</w:t>
      </w:r>
    </w:p>
    <w:p w14:paraId="358FBB23">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The Coca-Cola Company. (2022) Annual Report 2022. Available at: https://stocklight.com/stocks/us/nyse-ko/the-coca-cola/annual-reports/nyse-ko-2022-10K-22657897.pdf (Accessed: 1 May 2025).</w:t>
      </w:r>
    </w:p>
    <w:p w14:paraId="297E2C1B">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The Coca-Cola Company. (2024) Annual Report 2024. Available at: https://stocklight.com/stocks/us/nyse-ko/the-coca-cola/annual-reports/nyse-ko-2024-10K-24652148.pdf (Accessed: </w:t>
      </w:r>
      <w:r>
        <w:rPr>
          <w:rFonts w:hint="default" w:ascii="Times New Roman" w:hAnsi="Times New Roman"/>
          <w:b w:val="0"/>
          <w:bCs w:val="0"/>
          <w:sz w:val="24"/>
          <w:szCs w:val="24"/>
          <w:u w:val="none"/>
          <w:lang w:val="en-GB"/>
        </w:rPr>
        <w:t>9</w:t>
      </w:r>
      <w:r>
        <w:rPr>
          <w:rFonts w:hint="default" w:ascii="Times New Roman" w:hAnsi="Times New Roman"/>
          <w:b w:val="0"/>
          <w:bCs w:val="0"/>
          <w:sz w:val="24"/>
          <w:szCs w:val="24"/>
          <w:u w:val="none"/>
        </w:rPr>
        <w:t xml:space="preserve"> </w:t>
      </w:r>
      <w:r>
        <w:rPr>
          <w:rFonts w:hint="default" w:ascii="Times New Roman" w:hAnsi="Times New Roman"/>
          <w:b w:val="0"/>
          <w:bCs w:val="0"/>
          <w:sz w:val="24"/>
          <w:szCs w:val="24"/>
          <w:u w:val="none"/>
          <w:lang w:val="en-GB"/>
        </w:rPr>
        <w:t>April</w:t>
      </w:r>
      <w:r>
        <w:rPr>
          <w:rFonts w:hint="default" w:ascii="Times New Roman" w:hAnsi="Times New Roman"/>
          <w:b w:val="0"/>
          <w:bCs w:val="0"/>
          <w:sz w:val="24"/>
          <w:szCs w:val="24"/>
          <w:u w:val="none"/>
        </w:rPr>
        <w:t xml:space="preserve"> 2025</w:t>
      </w:r>
      <w:r>
        <w:rPr>
          <w:rFonts w:hint="default" w:ascii="Times New Roman" w:hAnsi="Times New Roman"/>
          <w:b w:val="0"/>
          <w:bCs w:val="0"/>
          <w:sz w:val="24"/>
          <w:szCs w:val="24"/>
          <w:u w:val="none"/>
        </w:rPr>
        <w:t>).</w:t>
      </w:r>
    </w:p>
    <w:p w14:paraId="287ABEB5">
      <w:pPr>
        <w:numPr>
          <w:ilvl w:val="0"/>
          <w:numId w:val="1"/>
        </w:numPr>
        <w:spacing w:line="360" w:lineRule="auto"/>
        <w:ind w:left="420" w:leftChars="0" w:hanging="420" w:firstLineChars="0"/>
        <w:rPr>
          <w:rFonts w:hint="default" w:ascii="Times New Roman" w:hAnsi="Times New Roman"/>
          <w:b w:val="0"/>
          <w:bCs w:val="0"/>
          <w:sz w:val="24"/>
          <w:szCs w:val="24"/>
          <w:u w:val="none"/>
        </w:rPr>
      </w:pPr>
      <w:r>
        <w:rPr>
          <w:rFonts w:hint="default" w:ascii="Times New Roman" w:hAnsi="Times New Roman"/>
          <w:b w:val="0"/>
          <w:bCs w:val="0"/>
          <w:sz w:val="24"/>
          <w:szCs w:val="24"/>
          <w:u w:val="none"/>
        </w:rPr>
        <w:t xml:space="preserve">Statista. (2024) Coca-Cola brand value from 2006 to 2024. Available at: https://www.statista.com/statistics/326065/coca-cola-brand-value/ (Accessed: </w:t>
      </w:r>
      <w:r>
        <w:rPr>
          <w:rFonts w:hint="default" w:ascii="Times New Roman" w:hAnsi="Times New Roman"/>
          <w:b w:val="0"/>
          <w:bCs w:val="0"/>
          <w:sz w:val="24"/>
          <w:szCs w:val="24"/>
          <w:u w:val="none"/>
          <w:lang w:val="en-GB"/>
        </w:rPr>
        <w:t>28 April</w:t>
      </w:r>
      <w:r>
        <w:rPr>
          <w:rFonts w:hint="default" w:ascii="Times New Roman" w:hAnsi="Times New Roman"/>
          <w:b w:val="0"/>
          <w:bCs w:val="0"/>
          <w:sz w:val="24"/>
          <w:szCs w:val="24"/>
          <w:u w:val="none"/>
        </w:rPr>
        <w:t xml:space="preserve"> 2025).</w:t>
      </w:r>
    </w:p>
    <w:p w14:paraId="5FE20411">
      <w:pPr>
        <w:numPr>
          <w:ilvl w:val="0"/>
          <w:numId w:val="1"/>
        </w:numPr>
        <w:spacing w:line="360" w:lineRule="auto"/>
        <w:ind w:left="420" w:leftChars="0" w:hanging="420" w:firstLineChars="0"/>
        <w:rPr>
          <w:rFonts w:hint="default" w:ascii="Times New Roman" w:hAnsi="Times New Roman" w:cs="Times New Roman"/>
          <w:b w:val="0"/>
          <w:bCs w:val="0"/>
          <w:sz w:val="24"/>
          <w:szCs w:val="24"/>
          <w:u w:val="none"/>
        </w:rPr>
      </w:pPr>
    </w:p>
    <w:p w14:paraId="051E5C43">
      <w:pPr>
        <w:spacing w:line="360" w:lineRule="auto"/>
        <w:rPr>
          <w:rFonts w:hint="default" w:ascii="Times New Roman" w:hAnsi="Times New Roman" w:cs="Times New Roman"/>
          <w:b/>
          <w:bCs/>
          <w:sz w:val="24"/>
          <w:szCs w:val="24"/>
          <w:u w:val="single"/>
        </w:rPr>
      </w:pPr>
    </w:p>
    <w:p w14:paraId="4BD4433F">
      <w:pPr>
        <w:spacing w:line="360" w:lineRule="auto"/>
        <w:rPr>
          <w:rFonts w:hint="default" w:ascii="Times New Roman" w:hAnsi="Times New Roman" w:cs="Times New Roman"/>
          <w:b/>
          <w:bCs/>
          <w:sz w:val="24"/>
          <w:szCs w:val="24"/>
          <w:u w:val="single"/>
        </w:rPr>
      </w:pPr>
    </w:p>
    <w:p w14:paraId="1D275DAC">
      <w:pPr>
        <w:spacing w:line="360" w:lineRule="auto"/>
        <w:rPr>
          <w:rFonts w:hint="default" w:ascii="Times New Roman" w:hAnsi="Times New Roman" w:cs="Times New Roman"/>
          <w:b/>
          <w:bCs/>
          <w:sz w:val="24"/>
          <w:szCs w:val="24"/>
          <w:u w:val="single"/>
        </w:rPr>
      </w:pPr>
    </w:p>
    <w:p w14:paraId="49E8C6AF">
      <w:pPr>
        <w:spacing w:line="360" w:lineRule="auto"/>
        <w:rPr>
          <w:rFonts w:hint="default" w:ascii="Times New Roman" w:hAnsi="Times New Roman" w:cs="Times New Roman"/>
          <w:b/>
          <w:bCs/>
          <w:sz w:val="24"/>
          <w:szCs w:val="24"/>
          <w:u w:val="single"/>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AB1CCD"/>
    <w:multiLevelType w:val="singleLevel"/>
    <w:tmpl w:val="0DAB1C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628AE"/>
    <w:rsid w:val="00064404"/>
    <w:rsid w:val="000709D2"/>
    <w:rsid w:val="000C6432"/>
    <w:rsid w:val="00120311"/>
    <w:rsid w:val="001343FF"/>
    <w:rsid w:val="0016648A"/>
    <w:rsid w:val="001A01D0"/>
    <w:rsid w:val="002057DE"/>
    <w:rsid w:val="00274D94"/>
    <w:rsid w:val="0028548A"/>
    <w:rsid w:val="003B0431"/>
    <w:rsid w:val="00427D68"/>
    <w:rsid w:val="00444309"/>
    <w:rsid w:val="004907BB"/>
    <w:rsid w:val="004A0457"/>
    <w:rsid w:val="004B3152"/>
    <w:rsid w:val="005814EC"/>
    <w:rsid w:val="005F764E"/>
    <w:rsid w:val="00696A4B"/>
    <w:rsid w:val="00707363"/>
    <w:rsid w:val="007530FF"/>
    <w:rsid w:val="007F3C50"/>
    <w:rsid w:val="009B4B1B"/>
    <w:rsid w:val="00A853D2"/>
    <w:rsid w:val="00AF2DB8"/>
    <w:rsid w:val="00B1570D"/>
    <w:rsid w:val="00C61FC6"/>
    <w:rsid w:val="00CD2A08"/>
    <w:rsid w:val="00CF30C5"/>
    <w:rsid w:val="00E46D02"/>
    <w:rsid w:val="03DF1C92"/>
    <w:rsid w:val="0A70485D"/>
    <w:rsid w:val="0A73612F"/>
    <w:rsid w:val="0B0C52A3"/>
    <w:rsid w:val="1750389F"/>
    <w:rsid w:val="1A5B172C"/>
    <w:rsid w:val="1EF562D8"/>
    <w:rsid w:val="23500376"/>
    <w:rsid w:val="244207B2"/>
    <w:rsid w:val="26E940EB"/>
    <w:rsid w:val="2AF56D18"/>
    <w:rsid w:val="2B2B03BE"/>
    <w:rsid w:val="2EFF57A9"/>
    <w:rsid w:val="312C1F99"/>
    <w:rsid w:val="31FF0314"/>
    <w:rsid w:val="38985ACA"/>
    <w:rsid w:val="41EE4C11"/>
    <w:rsid w:val="430912A7"/>
    <w:rsid w:val="44374B84"/>
    <w:rsid w:val="491A55F0"/>
    <w:rsid w:val="4D460A90"/>
    <w:rsid w:val="5C1D30FF"/>
    <w:rsid w:val="6BDA6500"/>
    <w:rsid w:val="71B8433C"/>
    <w:rsid w:val="7AB92E7B"/>
    <w:rsid w:val="7BD62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font61"/>
    <w:uiPriority w:val="0"/>
    <w:rPr>
      <w:rFonts w:hint="default" w:ascii="Calibri" w:hAnsi="Calibri" w:cs="Calibri"/>
      <w:color w:val="000000"/>
      <w:sz w:val="22"/>
      <w:szCs w:val="22"/>
      <w:u w:val="single"/>
    </w:rPr>
  </w:style>
  <w:style w:type="character" w:customStyle="1" w:styleId="6">
    <w:name w:val="font01"/>
    <w:uiPriority w:val="0"/>
    <w:rPr>
      <w:rFonts w:hint="default" w:ascii="Calibri" w:hAnsi="Calibri" w:cs="Calibri"/>
      <w:color w:val="000000"/>
      <w:sz w:val="22"/>
      <w:szCs w:val="22"/>
      <w:u w:val="none"/>
    </w:rPr>
  </w:style>
  <w:style w:type="character" w:customStyle="1" w:styleId="7">
    <w:name w:val="font112"/>
    <w:uiPriority w:val="0"/>
    <w:rPr>
      <w:rFonts w:hint="default" w:ascii="Calibri" w:hAnsi="Calibri" w:cs="Calibri"/>
      <w:color w:val="000000"/>
      <w:sz w:val="24"/>
      <w:szCs w:val="24"/>
      <w:u w:val="single"/>
    </w:rPr>
  </w:style>
  <w:style w:type="character" w:customStyle="1" w:styleId="8">
    <w:name w:val="font131"/>
    <w:uiPriority w:val="0"/>
    <w:rPr>
      <w:rFonts w:hint="default" w:ascii="Calibri" w:hAnsi="Calibri" w:cs="Calibri"/>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601</Words>
  <Characters>3428</Characters>
  <Lines>28</Lines>
  <Paragraphs>8</Paragraphs>
  <TotalTime>6</TotalTime>
  <ScaleCrop>false</ScaleCrop>
  <LinksUpToDate>false</LinksUpToDate>
  <CharactersWithSpaces>4021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2025-03-20T10:35:00Z</dcterms:created>
  <dc:creator>Sarah Ebi</dc:creator>
  <cp:lastModifiedBy>Sarah Ebi</cp:lastModifiedBy>
  <dcterms:modified xsi:type="dcterms:W3CDTF">2025-05-12T10:47:37Z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C3ACB103BA634DCFAC3C482F8C986234_12</vt:lpwstr>
  </property>
</Properties>
</file>