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PowerBI Assignment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Task: The dataset provided contains HR Analytics of a specific company. Your objective is to create an HR Analytics dashboard using this information that presents key insights that can be derived from this data. You can work 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Calculating total number of employees, attrition, attrition rate, average age, average salary, average years at company and other key metrics and displaying these in an appropriate format.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Displaying attrition by education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Displaying attrition by salary slab</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Displaying attrition by age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Displaying attrition by years at company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Displaying attrition by job role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Displaying attrition by gender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Displaying job roles by job satisfaction rates.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Incorporating appropriate filters for example by department.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These are only some examples of steps to take to set up your HR Analytics dashboard. You may visualize other metrics and insights that you find interesting or valuable. Select the most appropriate visualization types, ensure that you have processed and cleaned the data if needed, and format the final dashboard in an effective manner. Submit the final result as a pbix file.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