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D05C9" w14:textId="77777777" w:rsidR="005A359C" w:rsidRPr="0068405B" w:rsidRDefault="00E25A8B" w:rsidP="00144BFC">
      <w:pPr>
        <w:spacing w:before="100" w:beforeAutospacing="1" w:after="100" w:afterAutospacing="1" w:line="288" w:lineRule="auto"/>
        <w:rPr>
          <w:rFonts w:ascii="Times New Roman" w:hAnsi="Times New Roman" w:cs="Times New Roman"/>
          <w:b/>
          <w:sz w:val="28"/>
          <w:szCs w:val="28"/>
        </w:rPr>
      </w:pPr>
      <w:r w:rsidRPr="0068405B">
        <w:rPr>
          <w:rFonts w:ascii="Times New Roman" w:hAnsi="Times New Roman" w:cs="Times New Roman"/>
          <w:b/>
          <w:sz w:val="28"/>
          <w:szCs w:val="28"/>
        </w:rPr>
        <w:t xml:space="preserve">A Statistical Evaluation of </w:t>
      </w:r>
      <w:proofErr w:type="spellStart"/>
      <w:r w:rsidRPr="0068405B">
        <w:rPr>
          <w:rFonts w:ascii="Times New Roman" w:hAnsi="Times New Roman" w:cs="Times New Roman"/>
          <w:b/>
          <w:sz w:val="28"/>
          <w:szCs w:val="28"/>
        </w:rPr>
        <w:t>TriX</w:t>
      </w:r>
      <w:proofErr w:type="spellEnd"/>
      <w:r w:rsidRPr="0068405B">
        <w:rPr>
          <w:rFonts w:ascii="Times New Roman" w:hAnsi="Times New Roman" w:cs="Times New Roman"/>
          <w:b/>
          <w:sz w:val="28"/>
          <w:szCs w:val="28"/>
        </w:rPr>
        <w:t xml:space="preserve"> Software’s Performance</w:t>
      </w:r>
    </w:p>
    <w:p w14:paraId="4091CC86" w14:textId="77777777"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 xml:space="preserve">In order to increase the efficiency of the loose freight process, recently we had a trial with </w:t>
      </w:r>
      <w:proofErr w:type="spellStart"/>
      <w:r w:rsidRPr="0068405B">
        <w:rPr>
          <w:rFonts w:ascii="Times New Roman" w:hAnsi="Times New Roman" w:cs="Times New Roman"/>
        </w:rPr>
        <w:t>TriX</w:t>
      </w:r>
      <w:proofErr w:type="spellEnd"/>
      <w:r w:rsidRPr="0068405B">
        <w:rPr>
          <w:rFonts w:ascii="Times New Roman" w:hAnsi="Times New Roman" w:cs="Times New Roman"/>
        </w:rPr>
        <w:t xml:space="preserve"> Software’s solution to the problem. We would like to statistically evaluate the efficiency enhancement based on the test results before fully convert to the new software.</w:t>
      </w:r>
    </w:p>
    <w:p w14:paraId="650D1024" w14:textId="77777777"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Currently, 2% of trucks are more than 37 feet filled and only 7% of trucks are between 35 and 37 feet filled. In the evaluation process, we implemented both Bootstrapping and Monte-Carlo simulation methods to evaluate the statistical significance of the new software. We only focus on trucks that are filled between 35 and 37 feet, and those filled above 37 feet.</w:t>
      </w:r>
    </w:p>
    <w:p w14:paraId="1307942F" w14:textId="77777777" w:rsidR="005A359C" w:rsidRPr="0068405B" w:rsidRDefault="00E25A8B" w:rsidP="00144BFC">
      <w:pPr>
        <w:numPr>
          <w:ilvl w:val="0"/>
          <w:numId w:val="3"/>
        </w:numPr>
        <w:spacing w:before="100" w:beforeAutospacing="1" w:after="100" w:afterAutospacing="1" w:line="288" w:lineRule="auto"/>
        <w:ind w:left="288" w:hanging="288"/>
        <w:rPr>
          <w:rFonts w:ascii="Times New Roman" w:hAnsi="Times New Roman" w:cs="Times New Roman"/>
        </w:rPr>
      </w:pPr>
      <w:r w:rsidRPr="0068405B">
        <w:rPr>
          <w:rFonts w:ascii="Times New Roman" w:hAnsi="Times New Roman" w:cs="Times New Roman"/>
        </w:rPr>
        <w:t>Bootstrapping</w:t>
      </w:r>
    </w:p>
    <w:p w14:paraId="1E08B48D" w14:textId="44F22D43"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Based on the current distribution of fill percentage of trucks, we first simulated a sample of 1,000 trucks’ fill levels under the assumption that they are independent to each other. Then we performed Bootstrapping and computed the estimated value, the confidence interval (lower bound &amp; upper bound) and the standard error. Results are summarized as follows:</w:t>
      </w:r>
    </w:p>
    <w:tbl>
      <w:tblPr>
        <w:tblStyle w:val="ListTable1Light"/>
        <w:tblW w:w="7985" w:type="dxa"/>
        <w:jc w:val="center"/>
        <w:tblLayout w:type="fixed"/>
        <w:tblLook w:val="0620" w:firstRow="1" w:lastRow="0" w:firstColumn="0" w:lastColumn="0" w:noHBand="1" w:noVBand="1"/>
      </w:tblPr>
      <w:tblGrid>
        <w:gridCol w:w="1316"/>
        <w:gridCol w:w="1122"/>
        <w:gridCol w:w="1316"/>
        <w:gridCol w:w="929"/>
        <w:gridCol w:w="1122"/>
        <w:gridCol w:w="1122"/>
        <w:gridCol w:w="1058"/>
      </w:tblGrid>
      <w:tr w:rsidR="00D9166E" w:rsidRPr="0068405B" w14:paraId="7E193F56" w14:textId="77777777" w:rsidTr="00D9166E">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4F034CB4"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Confidence Interval</w:t>
            </w:r>
          </w:p>
        </w:tc>
        <w:tc>
          <w:tcPr>
            <w:tcW w:w="1224" w:type="dxa"/>
          </w:tcPr>
          <w:p w14:paraId="4CA27A2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Truck Fill Level</w:t>
            </w:r>
          </w:p>
        </w:tc>
        <w:tc>
          <w:tcPr>
            <w:tcW w:w="1440" w:type="dxa"/>
          </w:tcPr>
          <w:p w14:paraId="1035A93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Number of bootstraps</w:t>
            </w:r>
          </w:p>
        </w:tc>
        <w:tc>
          <w:tcPr>
            <w:tcW w:w="1008" w:type="dxa"/>
          </w:tcPr>
          <w:p w14:paraId="75A9D53B" w14:textId="04EA6A58"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Est.</w:t>
            </w:r>
            <w:r w:rsidR="004E5819" w:rsidRPr="0068405B">
              <w:rPr>
                <w:rFonts w:ascii="Times New Roman" w:hAnsi="Times New Roman" w:cs="Times New Roman"/>
                <w:b w:val="0"/>
              </w:rPr>
              <w:t xml:space="preserve"> </w:t>
            </w:r>
            <w:r w:rsidRPr="0068405B">
              <w:rPr>
                <w:rFonts w:ascii="Times New Roman" w:hAnsi="Times New Roman" w:cs="Times New Roman"/>
                <w:b w:val="0"/>
              </w:rPr>
              <w:t>Value</w:t>
            </w:r>
          </w:p>
        </w:tc>
        <w:tc>
          <w:tcPr>
            <w:tcW w:w="1224" w:type="dxa"/>
          </w:tcPr>
          <w:p w14:paraId="0F663D5C"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CI Lower Bound</w:t>
            </w:r>
          </w:p>
        </w:tc>
        <w:tc>
          <w:tcPr>
            <w:tcW w:w="1224" w:type="dxa"/>
          </w:tcPr>
          <w:p w14:paraId="604CAEE3"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CI Higher Bound</w:t>
            </w:r>
          </w:p>
        </w:tc>
        <w:tc>
          <w:tcPr>
            <w:tcW w:w="1152" w:type="dxa"/>
          </w:tcPr>
          <w:p w14:paraId="78DE2AB4"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Std. Error</w:t>
            </w:r>
          </w:p>
        </w:tc>
      </w:tr>
      <w:tr w:rsidR="00D9166E" w:rsidRPr="0068405B" w14:paraId="0ADFA1EC" w14:textId="77777777" w:rsidTr="00D9166E">
        <w:trPr>
          <w:jc w:val="center"/>
        </w:trPr>
        <w:tc>
          <w:tcPr>
            <w:tcW w:w="1440" w:type="dxa"/>
          </w:tcPr>
          <w:p w14:paraId="299FC18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70CF1DB2"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30-35</w:t>
            </w:r>
          </w:p>
        </w:tc>
        <w:tc>
          <w:tcPr>
            <w:tcW w:w="1440" w:type="dxa"/>
          </w:tcPr>
          <w:p w14:paraId="54B31978"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100</w:t>
            </w:r>
          </w:p>
        </w:tc>
        <w:tc>
          <w:tcPr>
            <w:tcW w:w="1008" w:type="dxa"/>
          </w:tcPr>
          <w:p w14:paraId="75E4E855"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0.198</w:t>
            </w:r>
          </w:p>
        </w:tc>
        <w:tc>
          <w:tcPr>
            <w:tcW w:w="1224" w:type="dxa"/>
          </w:tcPr>
          <w:p w14:paraId="69B1F99D"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0.175</w:t>
            </w:r>
          </w:p>
        </w:tc>
        <w:tc>
          <w:tcPr>
            <w:tcW w:w="1224" w:type="dxa"/>
          </w:tcPr>
          <w:p w14:paraId="6BC1FC3C"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0.220</w:t>
            </w:r>
          </w:p>
        </w:tc>
        <w:tc>
          <w:tcPr>
            <w:tcW w:w="1152" w:type="dxa"/>
          </w:tcPr>
          <w:p w14:paraId="0BF681D6"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0.001403</w:t>
            </w:r>
          </w:p>
        </w:tc>
      </w:tr>
      <w:tr w:rsidR="00D9166E" w:rsidRPr="0068405B" w14:paraId="41938974" w14:textId="77777777" w:rsidTr="00D9166E">
        <w:trPr>
          <w:jc w:val="center"/>
        </w:trPr>
        <w:tc>
          <w:tcPr>
            <w:tcW w:w="1440" w:type="dxa"/>
          </w:tcPr>
          <w:p w14:paraId="40539088"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60DC9B47"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30-35</w:t>
            </w:r>
          </w:p>
        </w:tc>
        <w:tc>
          <w:tcPr>
            <w:tcW w:w="1440" w:type="dxa"/>
          </w:tcPr>
          <w:p w14:paraId="0A3DE5E3" w14:textId="7B025D6F"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w:t>
            </w:r>
            <w:r w:rsidR="004E5819" w:rsidRPr="0068405B">
              <w:rPr>
                <w:rFonts w:ascii="Times New Roman" w:hAnsi="Times New Roman" w:cs="Times New Roman"/>
              </w:rPr>
              <w:t>,</w:t>
            </w:r>
            <w:r w:rsidRPr="0068405B">
              <w:rPr>
                <w:rFonts w:ascii="Times New Roman" w:hAnsi="Times New Roman" w:cs="Times New Roman"/>
              </w:rPr>
              <w:t>000</w:t>
            </w:r>
          </w:p>
        </w:tc>
        <w:tc>
          <w:tcPr>
            <w:tcW w:w="1008" w:type="dxa"/>
          </w:tcPr>
          <w:p w14:paraId="03A8E8F2"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0.198</w:t>
            </w:r>
          </w:p>
        </w:tc>
        <w:tc>
          <w:tcPr>
            <w:tcW w:w="1224" w:type="dxa"/>
          </w:tcPr>
          <w:p w14:paraId="01FD373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0.178</w:t>
            </w:r>
          </w:p>
        </w:tc>
        <w:tc>
          <w:tcPr>
            <w:tcW w:w="1224" w:type="dxa"/>
          </w:tcPr>
          <w:p w14:paraId="6A3C5F18"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0.218</w:t>
            </w:r>
          </w:p>
        </w:tc>
        <w:tc>
          <w:tcPr>
            <w:tcW w:w="1152" w:type="dxa"/>
          </w:tcPr>
          <w:p w14:paraId="2919105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0.000392</w:t>
            </w:r>
          </w:p>
        </w:tc>
      </w:tr>
      <w:tr w:rsidR="00D9166E" w:rsidRPr="0068405B" w14:paraId="596BDD27" w14:textId="77777777" w:rsidTr="00D9166E">
        <w:trPr>
          <w:jc w:val="center"/>
        </w:trPr>
        <w:tc>
          <w:tcPr>
            <w:tcW w:w="1440" w:type="dxa"/>
          </w:tcPr>
          <w:p w14:paraId="540D106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143B9438"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30-35</w:t>
            </w:r>
          </w:p>
        </w:tc>
        <w:tc>
          <w:tcPr>
            <w:tcW w:w="1440" w:type="dxa"/>
          </w:tcPr>
          <w:p w14:paraId="4CB1D66D" w14:textId="24C75A38"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w:t>
            </w:r>
            <w:r w:rsidR="004E5819" w:rsidRPr="0068405B">
              <w:rPr>
                <w:rFonts w:ascii="Times New Roman" w:hAnsi="Times New Roman" w:cs="Times New Roman"/>
              </w:rPr>
              <w:t>,</w:t>
            </w:r>
            <w:r w:rsidRPr="0068405B">
              <w:rPr>
                <w:rFonts w:ascii="Times New Roman" w:hAnsi="Times New Roman" w:cs="Times New Roman"/>
              </w:rPr>
              <w:t>500</w:t>
            </w:r>
          </w:p>
        </w:tc>
        <w:tc>
          <w:tcPr>
            <w:tcW w:w="1008" w:type="dxa"/>
          </w:tcPr>
          <w:p w14:paraId="5D7BE245"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0.174</w:t>
            </w:r>
          </w:p>
        </w:tc>
        <w:tc>
          <w:tcPr>
            <w:tcW w:w="1224" w:type="dxa"/>
          </w:tcPr>
          <w:p w14:paraId="74A466A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0.154</w:t>
            </w:r>
          </w:p>
        </w:tc>
        <w:tc>
          <w:tcPr>
            <w:tcW w:w="1224" w:type="dxa"/>
          </w:tcPr>
          <w:p w14:paraId="6202081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0.194</w:t>
            </w:r>
          </w:p>
        </w:tc>
        <w:tc>
          <w:tcPr>
            <w:tcW w:w="1152" w:type="dxa"/>
          </w:tcPr>
          <w:p w14:paraId="02FDB094"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0.000238</w:t>
            </w:r>
          </w:p>
        </w:tc>
      </w:tr>
      <w:tr w:rsidR="00D9166E" w:rsidRPr="0068405B" w14:paraId="09575836" w14:textId="77777777" w:rsidTr="00D9166E">
        <w:trPr>
          <w:jc w:val="center"/>
        </w:trPr>
        <w:tc>
          <w:tcPr>
            <w:tcW w:w="1440" w:type="dxa"/>
          </w:tcPr>
          <w:p w14:paraId="1A1014A3"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75F4782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30-35</w:t>
            </w:r>
          </w:p>
        </w:tc>
        <w:tc>
          <w:tcPr>
            <w:tcW w:w="1440" w:type="dxa"/>
          </w:tcPr>
          <w:p w14:paraId="3EB30A59" w14:textId="0EDCE998"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5</w:t>
            </w:r>
            <w:r w:rsidR="004E5819" w:rsidRPr="0068405B">
              <w:rPr>
                <w:rFonts w:ascii="Times New Roman" w:hAnsi="Times New Roman" w:cs="Times New Roman"/>
              </w:rPr>
              <w:t>,</w:t>
            </w:r>
            <w:r w:rsidRPr="0068405B">
              <w:rPr>
                <w:rFonts w:ascii="Times New Roman" w:hAnsi="Times New Roman" w:cs="Times New Roman"/>
              </w:rPr>
              <w:t>000</w:t>
            </w:r>
          </w:p>
        </w:tc>
        <w:tc>
          <w:tcPr>
            <w:tcW w:w="1008" w:type="dxa"/>
          </w:tcPr>
          <w:p w14:paraId="75A0D491"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0.201</w:t>
            </w:r>
          </w:p>
        </w:tc>
        <w:tc>
          <w:tcPr>
            <w:tcW w:w="1224" w:type="dxa"/>
          </w:tcPr>
          <w:p w14:paraId="3607AF85"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0.181</w:t>
            </w:r>
          </w:p>
        </w:tc>
        <w:tc>
          <w:tcPr>
            <w:tcW w:w="1224" w:type="dxa"/>
          </w:tcPr>
          <w:p w14:paraId="5FE54A12"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0.222</w:t>
            </w:r>
          </w:p>
        </w:tc>
        <w:tc>
          <w:tcPr>
            <w:tcW w:w="1152" w:type="dxa"/>
          </w:tcPr>
          <w:p w14:paraId="7A577CB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0.000178</w:t>
            </w:r>
          </w:p>
        </w:tc>
      </w:tr>
      <w:tr w:rsidR="00D9166E" w:rsidRPr="0068405B" w14:paraId="00510DC5" w14:textId="77777777" w:rsidTr="00D9166E">
        <w:trPr>
          <w:jc w:val="center"/>
        </w:trPr>
        <w:tc>
          <w:tcPr>
            <w:tcW w:w="1440" w:type="dxa"/>
          </w:tcPr>
          <w:p w14:paraId="76DFD539"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0403E219"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&lt;10</w:t>
            </w:r>
          </w:p>
        </w:tc>
        <w:tc>
          <w:tcPr>
            <w:tcW w:w="1440" w:type="dxa"/>
          </w:tcPr>
          <w:p w14:paraId="24058C43"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100</w:t>
            </w:r>
          </w:p>
        </w:tc>
        <w:tc>
          <w:tcPr>
            <w:tcW w:w="1008" w:type="dxa"/>
          </w:tcPr>
          <w:p w14:paraId="03E29C24"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0.085</w:t>
            </w:r>
          </w:p>
        </w:tc>
        <w:tc>
          <w:tcPr>
            <w:tcW w:w="1224" w:type="dxa"/>
          </w:tcPr>
          <w:p w14:paraId="278CD497"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0.072</w:t>
            </w:r>
          </w:p>
        </w:tc>
        <w:tc>
          <w:tcPr>
            <w:tcW w:w="1224" w:type="dxa"/>
          </w:tcPr>
          <w:p w14:paraId="60C47195"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0.100</w:t>
            </w:r>
          </w:p>
        </w:tc>
        <w:tc>
          <w:tcPr>
            <w:tcW w:w="1152" w:type="dxa"/>
          </w:tcPr>
          <w:p w14:paraId="6B463AF7"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0.000830</w:t>
            </w:r>
          </w:p>
        </w:tc>
      </w:tr>
      <w:tr w:rsidR="00D9166E" w:rsidRPr="0068405B" w14:paraId="1FE5E7A8" w14:textId="77777777" w:rsidTr="00D9166E">
        <w:trPr>
          <w:jc w:val="center"/>
        </w:trPr>
        <w:tc>
          <w:tcPr>
            <w:tcW w:w="1440" w:type="dxa"/>
          </w:tcPr>
          <w:p w14:paraId="4089F1BE"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070BE231"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&lt;10</w:t>
            </w:r>
          </w:p>
        </w:tc>
        <w:tc>
          <w:tcPr>
            <w:tcW w:w="1440" w:type="dxa"/>
          </w:tcPr>
          <w:p w14:paraId="6DF11D55" w14:textId="4BFA1820"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w:t>
            </w:r>
            <w:r w:rsidR="004E5819" w:rsidRPr="0068405B">
              <w:rPr>
                <w:rFonts w:ascii="Times New Roman" w:hAnsi="Times New Roman" w:cs="Times New Roman"/>
              </w:rPr>
              <w:t>,</w:t>
            </w:r>
            <w:r w:rsidRPr="0068405B">
              <w:rPr>
                <w:rFonts w:ascii="Times New Roman" w:hAnsi="Times New Roman" w:cs="Times New Roman"/>
              </w:rPr>
              <w:t>000</w:t>
            </w:r>
          </w:p>
        </w:tc>
        <w:tc>
          <w:tcPr>
            <w:tcW w:w="1008" w:type="dxa"/>
          </w:tcPr>
          <w:p w14:paraId="55FF342C"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0.096</w:t>
            </w:r>
          </w:p>
        </w:tc>
        <w:tc>
          <w:tcPr>
            <w:tcW w:w="1224" w:type="dxa"/>
          </w:tcPr>
          <w:p w14:paraId="3A816436"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0.081</w:t>
            </w:r>
          </w:p>
        </w:tc>
        <w:tc>
          <w:tcPr>
            <w:tcW w:w="1224" w:type="dxa"/>
          </w:tcPr>
          <w:p w14:paraId="10EE387F"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0.112</w:t>
            </w:r>
          </w:p>
        </w:tc>
        <w:tc>
          <w:tcPr>
            <w:tcW w:w="1152" w:type="dxa"/>
          </w:tcPr>
          <w:p w14:paraId="1DFA218D"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0.000303</w:t>
            </w:r>
          </w:p>
        </w:tc>
      </w:tr>
      <w:tr w:rsidR="00D9166E" w:rsidRPr="0068405B" w14:paraId="1B81C447" w14:textId="77777777" w:rsidTr="00D9166E">
        <w:trPr>
          <w:jc w:val="center"/>
        </w:trPr>
        <w:tc>
          <w:tcPr>
            <w:tcW w:w="1440" w:type="dxa"/>
          </w:tcPr>
          <w:p w14:paraId="51F4CBCE"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Pr>
          <w:p w14:paraId="373B8B62"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&lt;10</w:t>
            </w:r>
          </w:p>
        </w:tc>
        <w:tc>
          <w:tcPr>
            <w:tcW w:w="1440" w:type="dxa"/>
          </w:tcPr>
          <w:p w14:paraId="025EF783" w14:textId="547C6E66"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w:t>
            </w:r>
            <w:r w:rsidR="004E5819" w:rsidRPr="0068405B">
              <w:rPr>
                <w:rFonts w:ascii="Times New Roman" w:hAnsi="Times New Roman" w:cs="Times New Roman"/>
              </w:rPr>
              <w:t>,</w:t>
            </w:r>
            <w:r w:rsidRPr="0068405B">
              <w:rPr>
                <w:rFonts w:ascii="Times New Roman" w:hAnsi="Times New Roman" w:cs="Times New Roman"/>
              </w:rPr>
              <w:t>500</w:t>
            </w:r>
          </w:p>
        </w:tc>
        <w:tc>
          <w:tcPr>
            <w:tcW w:w="1008" w:type="dxa"/>
          </w:tcPr>
          <w:p w14:paraId="104A05F4"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0.091</w:t>
            </w:r>
          </w:p>
        </w:tc>
        <w:tc>
          <w:tcPr>
            <w:tcW w:w="1224" w:type="dxa"/>
          </w:tcPr>
          <w:p w14:paraId="02D31F5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0.076</w:t>
            </w:r>
          </w:p>
        </w:tc>
        <w:tc>
          <w:tcPr>
            <w:tcW w:w="1224" w:type="dxa"/>
          </w:tcPr>
          <w:p w14:paraId="7864F6F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0.106</w:t>
            </w:r>
          </w:p>
        </w:tc>
        <w:tc>
          <w:tcPr>
            <w:tcW w:w="1152" w:type="dxa"/>
          </w:tcPr>
          <w:p w14:paraId="546400D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0.000179</w:t>
            </w:r>
          </w:p>
        </w:tc>
      </w:tr>
      <w:tr w:rsidR="00D9166E" w:rsidRPr="0068405B" w14:paraId="4B5F929B" w14:textId="77777777" w:rsidTr="00D9166E">
        <w:trPr>
          <w:jc w:val="center"/>
        </w:trPr>
        <w:tc>
          <w:tcPr>
            <w:tcW w:w="1440" w:type="dxa"/>
            <w:tcBorders>
              <w:bottom w:val="single" w:sz="4" w:space="0" w:color="auto"/>
            </w:tcBorders>
          </w:tcPr>
          <w:p w14:paraId="5C538EC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224" w:type="dxa"/>
            <w:tcBorders>
              <w:bottom w:val="single" w:sz="4" w:space="0" w:color="auto"/>
            </w:tcBorders>
          </w:tcPr>
          <w:p w14:paraId="0C99C1A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&lt;10</w:t>
            </w:r>
          </w:p>
        </w:tc>
        <w:tc>
          <w:tcPr>
            <w:tcW w:w="1440" w:type="dxa"/>
            <w:tcBorders>
              <w:bottom w:val="single" w:sz="4" w:space="0" w:color="auto"/>
            </w:tcBorders>
          </w:tcPr>
          <w:p w14:paraId="01A747EA" w14:textId="44A412AD"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5</w:t>
            </w:r>
            <w:r w:rsidR="004E5819" w:rsidRPr="0068405B">
              <w:rPr>
                <w:rFonts w:ascii="Times New Roman" w:hAnsi="Times New Roman" w:cs="Times New Roman"/>
              </w:rPr>
              <w:t>,</w:t>
            </w:r>
            <w:r w:rsidRPr="0068405B">
              <w:rPr>
                <w:rFonts w:ascii="Times New Roman" w:hAnsi="Times New Roman" w:cs="Times New Roman"/>
              </w:rPr>
              <w:t>000</w:t>
            </w:r>
          </w:p>
        </w:tc>
        <w:tc>
          <w:tcPr>
            <w:tcW w:w="1008" w:type="dxa"/>
            <w:tcBorders>
              <w:bottom w:val="single" w:sz="4" w:space="0" w:color="auto"/>
            </w:tcBorders>
          </w:tcPr>
          <w:p w14:paraId="097E957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0.084</w:t>
            </w:r>
          </w:p>
        </w:tc>
        <w:tc>
          <w:tcPr>
            <w:tcW w:w="1224" w:type="dxa"/>
            <w:tcBorders>
              <w:bottom w:val="single" w:sz="4" w:space="0" w:color="auto"/>
            </w:tcBorders>
          </w:tcPr>
          <w:p w14:paraId="58394F5F"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0.070</w:t>
            </w:r>
          </w:p>
        </w:tc>
        <w:tc>
          <w:tcPr>
            <w:tcW w:w="1224" w:type="dxa"/>
            <w:tcBorders>
              <w:bottom w:val="single" w:sz="4" w:space="0" w:color="auto"/>
            </w:tcBorders>
          </w:tcPr>
          <w:p w14:paraId="29A6E3FD"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0.098</w:t>
            </w:r>
          </w:p>
        </w:tc>
        <w:tc>
          <w:tcPr>
            <w:tcW w:w="1152" w:type="dxa"/>
            <w:tcBorders>
              <w:bottom w:val="single" w:sz="4" w:space="0" w:color="auto"/>
            </w:tcBorders>
          </w:tcPr>
          <w:p w14:paraId="0285356F"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0.000123</w:t>
            </w:r>
          </w:p>
        </w:tc>
      </w:tr>
    </w:tbl>
    <w:p w14:paraId="7AC339F4" w14:textId="6BD48D56"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From the table we can see that as the number of bootstraps increases, the range of the confidence interval doesn’t change much, but the</w:t>
      </w:r>
      <w:r w:rsidR="00D64C02">
        <w:rPr>
          <w:rFonts w:ascii="Times New Roman" w:hAnsi="Times New Roman" w:cs="Times New Roman"/>
        </w:rPr>
        <w:t xml:space="preserve"> size</w:t>
      </w:r>
      <w:r w:rsidR="00D64C02">
        <w:rPr>
          <w:rFonts w:ascii="Times New Roman" w:hAnsi="Times New Roman" w:cs="Times New Roman" w:hint="eastAsia"/>
        </w:rPr>
        <w:t>s</w:t>
      </w:r>
      <w:r w:rsidR="00D64C02">
        <w:rPr>
          <w:rFonts w:ascii="Times New Roman" w:hAnsi="Times New Roman" w:cs="Times New Roman"/>
        </w:rPr>
        <w:t xml:space="preserve"> of the standard errors</w:t>
      </w:r>
      <w:r w:rsidRPr="0068405B">
        <w:rPr>
          <w:rFonts w:ascii="Times New Roman" w:hAnsi="Times New Roman" w:cs="Times New Roman"/>
        </w:rPr>
        <w:t xml:space="preserve"> decrease, indicating that we are getting more confident about where the true percentage of the specified fill level lies. Such behavior is in line with what we have expected.</w:t>
      </w:r>
    </w:p>
    <w:p w14:paraId="02178827" w14:textId="19BF2A99"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Similarly, we simulated the case if 4,989 trucks went out, which is the same case as test day. Results are presented as follows:</w:t>
      </w:r>
    </w:p>
    <w:tbl>
      <w:tblPr>
        <w:tblStyle w:val="ListTable1Light"/>
        <w:tblW w:w="7985" w:type="dxa"/>
        <w:jc w:val="center"/>
        <w:tblLayout w:type="fixed"/>
        <w:tblLook w:val="0620" w:firstRow="1" w:lastRow="0" w:firstColumn="0" w:lastColumn="0" w:noHBand="1" w:noVBand="1"/>
      </w:tblPr>
      <w:tblGrid>
        <w:gridCol w:w="1316"/>
        <w:gridCol w:w="1122"/>
        <w:gridCol w:w="1316"/>
        <w:gridCol w:w="929"/>
        <w:gridCol w:w="1122"/>
        <w:gridCol w:w="1122"/>
        <w:gridCol w:w="1058"/>
      </w:tblGrid>
      <w:tr w:rsidR="00D9166E" w:rsidRPr="0068405B" w14:paraId="2880D48F" w14:textId="77777777" w:rsidTr="00D9166E">
        <w:trPr>
          <w:cnfStyle w:val="100000000000" w:firstRow="1" w:lastRow="0" w:firstColumn="0" w:lastColumn="0" w:oddVBand="0" w:evenVBand="0" w:oddHBand="0" w:evenHBand="0" w:firstRowFirstColumn="0" w:firstRowLastColumn="0" w:lastRowFirstColumn="0" w:lastRowLastColumn="0"/>
          <w:jc w:val="center"/>
        </w:trPr>
        <w:tc>
          <w:tcPr>
            <w:tcW w:w="1316" w:type="dxa"/>
          </w:tcPr>
          <w:p w14:paraId="12ED0ACE"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Confidence Interval</w:t>
            </w:r>
          </w:p>
        </w:tc>
        <w:tc>
          <w:tcPr>
            <w:tcW w:w="1122" w:type="dxa"/>
          </w:tcPr>
          <w:p w14:paraId="2AC44BD7"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Truck Fill Level</w:t>
            </w:r>
          </w:p>
        </w:tc>
        <w:tc>
          <w:tcPr>
            <w:tcW w:w="1316" w:type="dxa"/>
          </w:tcPr>
          <w:p w14:paraId="479E4A20"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Number of bootstraps</w:t>
            </w:r>
          </w:p>
        </w:tc>
        <w:tc>
          <w:tcPr>
            <w:tcW w:w="929" w:type="dxa"/>
          </w:tcPr>
          <w:p w14:paraId="1E8E915B"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Est. Value</w:t>
            </w:r>
          </w:p>
        </w:tc>
        <w:tc>
          <w:tcPr>
            <w:tcW w:w="1122" w:type="dxa"/>
          </w:tcPr>
          <w:p w14:paraId="5E6B20D4"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CI Lower Bound</w:t>
            </w:r>
          </w:p>
        </w:tc>
        <w:tc>
          <w:tcPr>
            <w:tcW w:w="1122" w:type="dxa"/>
          </w:tcPr>
          <w:p w14:paraId="4ED75DE0"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CI Higher Bound</w:t>
            </w:r>
          </w:p>
        </w:tc>
        <w:tc>
          <w:tcPr>
            <w:tcW w:w="1058" w:type="dxa"/>
          </w:tcPr>
          <w:p w14:paraId="373933B1" w14:textId="7777777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b w:val="0"/>
              </w:rPr>
            </w:pPr>
            <w:r w:rsidRPr="0068405B">
              <w:rPr>
                <w:rFonts w:ascii="Times New Roman" w:hAnsi="Times New Roman" w:cs="Times New Roman"/>
                <w:b w:val="0"/>
              </w:rPr>
              <w:t>Std. Error</w:t>
            </w:r>
          </w:p>
        </w:tc>
      </w:tr>
      <w:tr w:rsidR="00D9166E" w:rsidRPr="0068405B" w14:paraId="7E5490FF" w14:textId="77777777" w:rsidTr="00D9166E">
        <w:trPr>
          <w:jc w:val="center"/>
        </w:trPr>
        <w:tc>
          <w:tcPr>
            <w:tcW w:w="1316" w:type="dxa"/>
          </w:tcPr>
          <w:p w14:paraId="716741D2" w14:textId="1EBFB208"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95%</w:t>
            </w:r>
          </w:p>
        </w:tc>
        <w:tc>
          <w:tcPr>
            <w:tcW w:w="1122" w:type="dxa"/>
          </w:tcPr>
          <w:p w14:paraId="21550742" w14:textId="78E269A4"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35-37</w:t>
            </w:r>
          </w:p>
        </w:tc>
        <w:tc>
          <w:tcPr>
            <w:tcW w:w="1316" w:type="dxa"/>
          </w:tcPr>
          <w:p w14:paraId="56042D17" w14:textId="71EA197A"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200</w:t>
            </w:r>
          </w:p>
        </w:tc>
        <w:tc>
          <w:tcPr>
            <w:tcW w:w="929" w:type="dxa"/>
          </w:tcPr>
          <w:p w14:paraId="7942BB72" w14:textId="01F0035D"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0.071</w:t>
            </w:r>
          </w:p>
        </w:tc>
        <w:tc>
          <w:tcPr>
            <w:tcW w:w="1122" w:type="dxa"/>
          </w:tcPr>
          <w:p w14:paraId="101DFA6E" w14:textId="5F14F1B1"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0.064</w:t>
            </w:r>
          </w:p>
        </w:tc>
        <w:tc>
          <w:tcPr>
            <w:tcW w:w="1122" w:type="dxa"/>
          </w:tcPr>
          <w:p w14:paraId="691D04BB" w14:textId="3D5A4B9D"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0.078</w:t>
            </w:r>
          </w:p>
        </w:tc>
        <w:tc>
          <w:tcPr>
            <w:tcW w:w="1058" w:type="dxa"/>
          </w:tcPr>
          <w:p w14:paraId="194B71AC" w14:textId="255403CB"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0.000266</w:t>
            </w:r>
          </w:p>
        </w:tc>
      </w:tr>
      <w:tr w:rsidR="00D9166E" w:rsidRPr="0068405B" w14:paraId="293C5DEB" w14:textId="77777777" w:rsidTr="00D9166E">
        <w:trPr>
          <w:jc w:val="center"/>
        </w:trPr>
        <w:tc>
          <w:tcPr>
            <w:tcW w:w="1316" w:type="dxa"/>
          </w:tcPr>
          <w:p w14:paraId="0D4B8BB6" w14:textId="76864C56"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95%</w:t>
            </w:r>
          </w:p>
        </w:tc>
        <w:tc>
          <w:tcPr>
            <w:tcW w:w="1122" w:type="dxa"/>
          </w:tcPr>
          <w:p w14:paraId="263B8F5F" w14:textId="334F5AF9"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37+</w:t>
            </w:r>
          </w:p>
        </w:tc>
        <w:tc>
          <w:tcPr>
            <w:tcW w:w="1316" w:type="dxa"/>
          </w:tcPr>
          <w:p w14:paraId="55F80993" w14:textId="7413785B"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200</w:t>
            </w:r>
          </w:p>
        </w:tc>
        <w:tc>
          <w:tcPr>
            <w:tcW w:w="929" w:type="dxa"/>
          </w:tcPr>
          <w:p w14:paraId="279432FB" w14:textId="70678739"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0.021</w:t>
            </w:r>
          </w:p>
        </w:tc>
        <w:tc>
          <w:tcPr>
            <w:tcW w:w="1122" w:type="dxa"/>
          </w:tcPr>
          <w:p w14:paraId="7B749435" w14:textId="0B8193D8"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0.017</w:t>
            </w:r>
          </w:p>
        </w:tc>
        <w:tc>
          <w:tcPr>
            <w:tcW w:w="1122" w:type="dxa"/>
          </w:tcPr>
          <w:p w14:paraId="4266AAF7" w14:textId="09FAD1DB"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0.025</w:t>
            </w:r>
          </w:p>
        </w:tc>
        <w:tc>
          <w:tcPr>
            <w:tcW w:w="1058" w:type="dxa"/>
          </w:tcPr>
          <w:p w14:paraId="77B9AD5A" w14:textId="30A151A3"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0.000145</w:t>
            </w:r>
          </w:p>
        </w:tc>
      </w:tr>
      <w:tr w:rsidR="00D9166E" w:rsidRPr="0068405B" w14:paraId="4803F787" w14:textId="77777777" w:rsidTr="00D9166E">
        <w:trPr>
          <w:jc w:val="center"/>
        </w:trPr>
        <w:tc>
          <w:tcPr>
            <w:tcW w:w="1316" w:type="dxa"/>
          </w:tcPr>
          <w:p w14:paraId="0BEBBC8B" w14:textId="34AAE501"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122" w:type="dxa"/>
          </w:tcPr>
          <w:p w14:paraId="6DACCE80" w14:textId="39F8CD00"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35-37</w:t>
            </w:r>
          </w:p>
        </w:tc>
        <w:tc>
          <w:tcPr>
            <w:tcW w:w="1316" w:type="dxa"/>
          </w:tcPr>
          <w:p w14:paraId="197AF293" w14:textId="7A6CFA0E"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200</w:t>
            </w:r>
          </w:p>
        </w:tc>
        <w:tc>
          <w:tcPr>
            <w:tcW w:w="929" w:type="dxa"/>
          </w:tcPr>
          <w:p w14:paraId="1CB89E70" w14:textId="463015DB"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0.071</w:t>
            </w:r>
          </w:p>
        </w:tc>
        <w:tc>
          <w:tcPr>
            <w:tcW w:w="1122" w:type="dxa"/>
          </w:tcPr>
          <w:p w14:paraId="71A2E888" w14:textId="084297A3"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0.066</w:t>
            </w:r>
          </w:p>
        </w:tc>
        <w:tc>
          <w:tcPr>
            <w:tcW w:w="1122" w:type="dxa"/>
          </w:tcPr>
          <w:p w14:paraId="11BF8BF1" w14:textId="47A9382C"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0.077</w:t>
            </w:r>
          </w:p>
        </w:tc>
        <w:tc>
          <w:tcPr>
            <w:tcW w:w="1058" w:type="dxa"/>
          </w:tcPr>
          <w:p w14:paraId="7C684AA1" w14:textId="4FCFA2F6"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0.000250</w:t>
            </w:r>
          </w:p>
        </w:tc>
      </w:tr>
      <w:tr w:rsidR="00D9166E" w:rsidRPr="0068405B" w14:paraId="4FB2D19A" w14:textId="77777777" w:rsidTr="00D9166E">
        <w:trPr>
          <w:jc w:val="center"/>
        </w:trPr>
        <w:tc>
          <w:tcPr>
            <w:tcW w:w="1316" w:type="dxa"/>
            <w:tcBorders>
              <w:bottom w:val="single" w:sz="4" w:space="0" w:color="auto"/>
            </w:tcBorders>
          </w:tcPr>
          <w:p w14:paraId="5B3BC564" w14:textId="2E678184"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90%</w:t>
            </w:r>
          </w:p>
        </w:tc>
        <w:tc>
          <w:tcPr>
            <w:tcW w:w="1122" w:type="dxa"/>
            <w:tcBorders>
              <w:bottom w:val="single" w:sz="4" w:space="0" w:color="auto"/>
            </w:tcBorders>
          </w:tcPr>
          <w:p w14:paraId="1F1074E2" w14:textId="64229DCC"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37+</w:t>
            </w:r>
          </w:p>
        </w:tc>
        <w:tc>
          <w:tcPr>
            <w:tcW w:w="1316" w:type="dxa"/>
            <w:tcBorders>
              <w:bottom w:val="single" w:sz="4" w:space="0" w:color="auto"/>
            </w:tcBorders>
          </w:tcPr>
          <w:p w14:paraId="5560B6A0" w14:textId="411F6433"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200</w:t>
            </w:r>
          </w:p>
        </w:tc>
        <w:tc>
          <w:tcPr>
            <w:tcW w:w="929" w:type="dxa"/>
            <w:tcBorders>
              <w:bottom w:val="single" w:sz="4" w:space="0" w:color="auto"/>
            </w:tcBorders>
          </w:tcPr>
          <w:p w14:paraId="7A4AFEA0" w14:textId="68CB1A06"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0.021</w:t>
            </w:r>
          </w:p>
        </w:tc>
        <w:tc>
          <w:tcPr>
            <w:tcW w:w="1122" w:type="dxa"/>
            <w:tcBorders>
              <w:bottom w:val="single" w:sz="4" w:space="0" w:color="auto"/>
            </w:tcBorders>
          </w:tcPr>
          <w:p w14:paraId="2A172C8C" w14:textId="1A832C7D"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0.018</w:t>
            </w:r>
          </w:p>
        </w:tc>
        <w:tc>
          <w:tcPr>
            <w:tcW w:w="1122" w:type="dxa"/>
            <w:tcBorders>
              <w:bottom w:val="single" w:sz="4" w:space="0" w:color="auto"/>
            </w:tcBorders>
          </w:tcPr>
          <w:p w14:paraId="5614CA67" w14:textId="1F6F7539"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0.025</w:t>
            </w:r>
          </w:p>
        </w:tc>
        <w:tc>
          <w:tcPr>
            <w:tcW w:w="1058" w:type="dxa"/>
            <w:tcBorders>
              <w:bottom w:val="single" w:sz="4" w:space="0" w:color="auto"/>
            </w:tcBorders>
          </w:tcPr>
          <w:p w14:paraId="76A5BF8F" w14:textId="5BCC40C7" w:rsidR="00D9166E" w:rsidRPr="0068405B" w:rsidRDefault="00D9166E"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0.000143</w:t>
            </w:r>
          </w:p>
        </w:tc>
      </w:tr>
    </w:tbl>
    <w:p w14:paraId="1C1850F6" w14:textId="77777777"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lastRenderedPageBreak/>
        <w:t xml:space="preserve">The percentages of the ‘35-37’ group and the ‘37+’ group are 0.074(=368/4989) and 0.022(=108/4989) respectively in the test day. Since both of them are within the corresponding 90% confidence interval computed based on the current distribution of fill percentage, we can conclude that </w:t>
      </w:r>
      <w:proofErr w:type="spellStart"/>
      <w:r w:rsidRPr="0068405B">
        <w:rPr>
          <w:rFonts w:ascii="Times New Roman" w:hAnsi="Times New Roman" w:cs="Times New Roman"/>
        </w:rPr>
        <w:t>TriX’s</w:t>
      </w:r>
      <w:proofErr w:type="spellEnd"/>
      <w:r w:rsidRPr="0068405B">
        <w:rPr>
          <w:rFonts w:ascii="Times New Roman" w:hAnsi="Times New Roman" w:cs="Times New Roman"/>
        </w:rPr>
        <w:t xml:space="preserve"> software did NOT increase the efficiency of the loose freight process of each group separately.</w:t>
      </w:r>
    </w:p>
    <w:p w14:paraId="0A5928C6" w14:textId="77777777" w:rsidR="005A359C" w:rsidRPr="0068405B" w:rsidRDefault="00E25A8B" w:rsidP="00144BFC">
      <w:pPr>
        <w:numPr>
          <w:ilvl w:val="0"/>
          <w:numId w:val="3"/>
        </w:numPr>
        <w:spacing w:before="100" w:beforeAutospacing="1" w:after="100" w:afterAutospacing="1" w:line="288" w:lineRule="auto"/>
        <w:ind w:left="288" w:hanging="288"/>
        <w:rPr>
          <w:rFonts w:ascii="Times New Roman" w:hAnsi="Times New Roman" w:cs="Times New Roman"/>
        </w:rPr>
      </w:pPr>
      <w:r w:rsidRPr="0068405B">
        <w:rPr>
          <w:rFonts w:ascii="Times New Roman" w:hAnsi="Times New Roman" w:cs="Times New Roman"/>
        </w:rPr>
        <w:t>Monte-Carlo simulation</w:t>
      </w:r>
    </w:p>
    <w:p w14:paraId="316AE4F7" w14:textId="6DD3C6C9"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 xml:space="preserve">Under this approach, we made a hypothesis that there is no difference between </w:t>
      </w:r>
      <w:proofErr w:type="spellStart"/>
      <w:r w:rsidRPr="0068405B">
        <w:rPr>
          <w:rFonts w:ascii="Times New Roman" w:hAnsi="Times New Roman" w:cs="Times New Roman"/>
        </w:rPr>
        <w:t>TriX’s</w:t>
      </w:r>
      <w:proofErr w:type="spellEnd"/>
      <w:r w:rsidRPr="0068405B">
        <w:rPr>
          <w:rFonts w:ascii="Times New Roman" w:hAnsi="Times New Roman" w:cs="Times New Roman"/>
        </w:rPr>
        <w:t xml:space="preserve"> algorithm and our current solution and tested if the Monte-Carlo simulation result was in accordance with the hypothesis. </w:t>
      </w:r>
    </w:p>
    <w:p w14:paraId="367FDD83" w14:textId="707E0713"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 xml:space="preserve">Specifically, we created 1,000 simulated lists of 4,989 trucks and computed the probability that the percentages of desired groups are no less than those of the test day. The simulation results are presented as follows: </w:t>
      </w:r>
    </w:p>
    <w:tbl>
      <w:tblPr>
        <w:tblStyle w:val="ListTable7Colorful"/>
        <w:tblW w:w="0" w:type="auto"/>
        <w:jc w:val="center"/>
        <w:tblLayout w:type="fixed"/>
        <w:tblLook w:val="0620" w:firstRow="1" w:lastRow="0" w:firstColumn="0" w:lastColumn="0" w:noHBand="1" w:noVBand="1"/>
      </w:tblPr>
      <w:tblGrid>
        <w:gridCol w:w="2160"/>
        <w:gridCol w:w="2592"/>
        <w:gridCol w:w="2160"/>
      </w:tblGrid>
      <w:tr w:rsidR="005A359C" w:rsidRPr="0068405B" w14:paraId="474052C8" w14:textId="77777777" w:rsidTr="0068405B">
        <w:trPr>
          <w:cnfStyle w:val="100000000000" w:firstRow="1" w:lastRow="0" w:firstColumn="0" w:lastColumn="0" w:oddVBand="0" w:evenVBand="0" w:oddHBand="0" w:evenHBand="0" w:firstRowFirstColumn="0" w:firstRowLastColumn="0" w:lastRowFirstColumn="0" w:lastRowLastColumn="0"/>
          <w:jc w:val="center"/>
        </w:trPr>
        <w:tc>
          <w:tcPr>
            <w:tcW w:w="2160" w:type="dxa"/>
          </w:tcPr>
          <w:p w14:paraId="6261CAB9"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i w:val="0"/>
                <w:sz w:val="22"/>
              </w:rPr>
            </w:pPr>
            <w:r w:rsidRPr="0068405B">
              <w:rPr>
                <w:rFonts w:ascii="Times New Roman" w:hAnsi="Times New Roman" w:cs="Times New Roman"/>
                <w:i w:val="0"/>
                <w:sz w:val="22"/>
              </w:rPr>
              <w:t>Truck Fill Level</w:t>
            </w:r>
          </w:p>
        </w:tc>
        <w:tc>
          <w:tcPr>
            <w:tcW w:w="2592" w:type="dxa"/>
          </w:tcPr>
          <w:p w14:paraId="5CAAF6C5"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i w:val="0"/>
                <w:sz w:val="22"/>
              </w:rPr>
            </w:pPr>
            <w:r w:rsidRPr="0068405B">
              <w:rPr>
                <w:rFonts w:ascii="Times New Roman" w:hAnsi="Times New Roman" w:cs="Times New Roman"/>
                <w:i w:val="0"/>
                <w:sz w:val="22"/>
              </w:rPr>
              <w:t>Number of simulations</w:t>
            </w:r>
          </w:p>
        </w:tc>
        <w:tc>
          <w:tcPr>
            <w:tcW w:w="2160" w:type="dxa"/>
          </w:tcPr>
          <w:p w14:paraId="25C9BC0F" w14:textId="1F0FAFC9" w:rsidR="005A359C" w:rsidRPr="0068405B" w:rsidRDefault="00E25A8B" w:rsidP="00144BFC">
            <w:pPr>
              <w:widowControl w:val="0"/>
              <w:spacing w:before="100" w:beforeAutospacing="1" w:after="100" w:afterAutospacing="1" w:line="288" w:lineRule="auto"/>
              <w:jc w:val="center"/>
              <w:rPr>
                <w:rFonts w:ascii="Times New Roman" w:hAnsi="Times New Roman" w:cs="Times New Roman"/>
                <w:i w:val="0"/>
                <w:sz w:val="22"/>
              </w:rPr>
            </w:pPr>
            <w:r w:rsidRPr="0068405B">
              <w:rPr>
                <w:rFonts w:ascii="Times New Roman" w:hAnsi="Times New Roman" w:cs="Times New Roman"/>
                <w:i w:val="0"/>
                <w:sz w:val="22"/>
              </w:rPr>
              <w:t>Est. Pr</w:t>
            </w:r>
            <w:r w:rsidR="0093144C" w:rsidRPr="0068405B">
              <w:rPr>
                <w:rFonts w:ascii="Times New Roman" w:hAnsi="Times New Roman" w:cs="Times New Roman"/>
                <w:i w:val="0"/>
                <w:sz w:val="22"/>
              </w:rPr>
              <w:t>obability</w:t>
            </w:r>
          </w:p>
        </w:tc>
      </w:tr>
      <w:tr w:rsidR="005A359C" w:rsidRPr="0068405B" w14:paraId="0DB7FA0C" w14:textId="77777777" w:rsidTr="0068405B">
        <w:trPr>
          <w:jc w:val="center"/>
        </w:trPr>
        <w:tc>
          <w:tcPr>
            <w:tcW w:w="2160" w:type="dxa"/>
          </w:tcPr>
          <w:p w14:paraId="09B49980"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35-37</w:t>
            </w:r>
          </w:p>
        </w:tc>
        <w:tc>
          <w:tcPr>
            <w:tcW w:w="2592" w:type="dxa"/>
          </w:tcPr>
          <w:p w14:paraId="70718AFB" w14:textId="1EB8F8A9"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w:t>
            </w:r>
            <w:r w:rsidR="00D9166E" w:rsidRPr="0068405B">
              <w:rPr>
                <w:rFonts w:ascii="Times New Roman" w:hAnsi="Times New Roman" w:cs="Times New Roman"/>
              </w:rPr>
              <w:t>,</w:t>
            </w:r>
            <w:r w:rsidRPr="0068405B">
              <w:rPr>
                <w:rFonts w:ascii="Times New Roman" w:hAnsi="Times New Roman" w:cs="Times New Roman"/>
              </w:rPr>
              <w:t>000</w:t>
            </w:r>
          </w:p>
        </w:tc>
        <w:tc>
          <w:tcPr>
            <w:tcW w:w="2160" w:type="dxa"/>
          </w:tcPr>
          <w:p w14:paraId="4EEDA3F6"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0.167</w:t>
            </w:r>
          </w:p>
        </w:tc>
      </w:tr>
      <w:tr w:rsidR="005A359C" w:rsidRPr="0068405B" w14:paraId="44BA0745" w14:textId="77777777" w:rsidTr="0068405B">
        <w:trPr>
          <w:jc w:val="center"/>
        </w:trPr>
        <w:tc>
          <w:tcPr>
            <w:tcW w:w="2160" w:type="dxa"/>
          </w:tcPr>
          <w:p w14:paraId="6600647E"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37+</w:t>
            </w:r>
          </w:p>
        </w:tc>
        <w:tc>
          <w:tcPr>
            <w:tcW w:w="2592" w:type="dxa"/>
          </w:tcPr>
          <w:p w14:paraId="381C1036" w14:textId="392827DD"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w:t>
            </w:r>
            <w:r w:rsidR="00D9166E" w:rsidRPr="0068405B">
              <w:rPr>
                <w:rFonts w:ascii="Times New Roman" w:hAnsi="Times New Roman" w:cs="Times New Roman"/>
              </w:rPr>
              <w:t>,</w:t>
            </w:r>
            <w:r w:rsidRPr="0068405B">
              <w:rPr>
                <w:rFonts w:ascii="Times New Roman" w:hAnsi="Times New Roman" w:cs="Times New Roman"/>
              </w:rPr>
              <w:t>000</w:t>
            </w:r>
          </w:p>
        </w:tc>
        <w:tc>
          <w:tcPr>
            <w:tcW w:w="2160" w:type="dxa"/>
          </w:tcPr>
          <w:p w14:paraId="27A6CAAD"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0.239</w:t>
            </w:r>
          </w:p>
        </w:tc>
      </w:tr>
      <w:tr w:rsidR="005A359C" w:rsidRPr="0068405B" w14:paraId="04771FD1" w14:textId="77777777" w:rsidTr="0068405B">
        <w:trPr>
          <w:jc w:val="center"/>
        </w:trPr>
        <w:tc>
          <w:tcPr>
            <w:tcW w:w="2160" w:type="dxa"/>
          </w:tcPr>
          <w:p w14:paraId="2FB5B34A"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35-37 &amp; 37+ jointly</w:t>
            </w:r>
          </w:p>
        </w:tc>
        <w:tc>
          <w:tcPr>
            <w:tcW w:w="2592" w:type="dxa"/>
          </w:tcPr>
          <w:p w14:paraId="68ABF3D3" w14:textId="548E132A"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1</w:t>
            </w:r>
            <w:r w:rsidR="00D9166E" w:rsidRPr="0068405B">
              <w:rPr>
                <w:rFonts w:ascii="Times New Roman" w:hAnsi="Times New Roman" w:cs="Times New Roman"/>
              </w:rPr>
              <w:t>,</w:t>
            </w:r>
            <w:r w:rsidRPr="0068405B">
              <w:rPr>
                <w:rFonts w:ascii="Times New Roman" w:hAnsi="Times New Roman" w:cs="Times New Roman"/>
              </w:rPr>
              <w:t>000</w:t>
            </w:r>
          </w:p>
        </w:tc>
        <w:tc>
          <w:tcPr>
            <w:tcW w:w="2160" w:type="dxa"/>
          </w:tcPr>
          <w:p w14:paraId="27B5CC9B" w14:textId="77777777" w:rsidR="005A359C" w:rsidRPr="0068405B" w:rsidRDefault="00E25A8B" w:rsidP="00144BFC">
            <w:pPr>
              <w:widowControl w:val="0"/>
              <w:spacing w:before="100" w:beforeAutospacing="1" w:after="100" w:afterAutospacing="1" w:line="288" w:lineRule="auto"/>
              <w:jc w:val="center"/>
              <w:rPr>
                <w:rFonts w:ascii="Times New Roman" w:hAnsi="Times New Roman" w:cs="Times New Roman"/>
              </w:rPr>
            </w:pPr>
            <w:r w:rsidRPr="0068405B">
              <w:rPr>
                <w:rFonts w:ascii="Times New Roman" w:hAnsi="Times New Roman" w:cs="Times New Roman"/>
              </w:rPr>
              <w:t>0.034</w:t>
            </w:r>
          </w:p>
        </w:tc>
      </w:tr>
    </w:tbl>
    <w:p w14:paraId="32749024" w14:textId="699C2367" w:rsidR="005A359C" w:rsidRPr="0068405B" w:rsidRDefault="00D64C02" w:rsidP="00144BFC">
      <w:pPr>
        <w:spacing w:before="100" w:beforeAutospacing="1" w:after="100" w:afterAutospacing="1" w:line="288" w:lineRule="auto"/>
        <w:rPr>
          <w:rFonts w:ascii="Times New Roman" w:hAnsi="Times New Roman" w:cs="Times New Roman"/>
        </w:rPr>
      </w:pPr>
      <w:r>
        <w:rPr>
          <w:rFonts w:ascii="Times New Roman" w:hAnsi="Times New Roman" w:cs="Times New Roman" w:hint="eastAsia"/>
        </w:rPr>
        <w:t>From the results we can see</w:t>
      </w:r>
      <w:r w:rsidR="00E25A8B" w:rsidRPr="0068405B">
        <w:rPr>
          <w:rFonts w:ascii="Times New Roman" w:hAnsi="Times New Roman" w:cs="Times New Roman"/>
        </w:rPr>
        <w:t>, for group ‘35-37’, about 16.7% simulated day</w:t>
      </w:r>
      <w:r>
        <w:rPr>
          <w:rFonts w:ascii="Times New Roman" w:hAnsi="Times New Roman" w:cs="Times New Roman" w:hint="eastAsia"/>
        </w:rPr>
        <w:t>s</w:t>
      </w:r>
      <w:r w:rsidR="00E25A8B" w:rsidRPr="0068405B">
        <w:rPr>
          <w:rFonts w:ascii="Times New Roman" w:hAnsi="Times New Roman" w:cs="Times New Roman"/>
        </w:rPr>
        <w:t xml:space="preserve"> using our current plan is better than </w:t>
      </w:r>
      <w:proofErr w:type="spellStart"/>
      <w:r w:rsidR="00E25A8B" w:rsidRPr="0068405B">
        <w:rPr>
          <w:rFonts w:ascii="Times New Roman" w:hAnsi="Times New Roman" w:cs="Times New Roman"/>
        </w:rPr>
        <w:t>Tr</w:t>
      </w:r>
      <w:bookmarkStart w:id="0" w:name="_GoBack"/>
      <w:bookmarkEnd w:id="0"/>
      <w:r w:rsidR="00E25A8B" w:rsidRPr="0068405B">
        <w:rPr>
          <w:rFonts w:ascii="Times New Roman" w:hAnsi="Times New Roman" w:cs="Times New Roman"/>
        </w:rPr>
        <w:t>iX’s</w:t>
      </w:r>
      <w:proofErr w:type="spellEnd"/>
      <w:r w:rsidR="00E25A8B" w:rsidRPr="0068405B">
        <w:rPr>
          <w:rFonts w:ascii="Times New Roman" w:hAnsi="Times New Roman" w:cs="Times New Roman"/>
        </w:rPr>
        <w:t xml:space="preserve"> performance. Similarly for group ‘37+’, 23.9% of the simulat</w:t>
      </w:r>
      <w:r w:rsidR="00D9166E" w:rsidRPr="0068405B">
        <w:rPr>
          <w:rFonts w:ascii="Times New Roman" w:hAnsi="Times New Roman" w:cs="Times New Roman"/>
        </w:rPr>
        <w:t>ed day</w:t>
      </w:r>
      <w:r>
        <w:rPr>
          <w:rFonts w:ascii="Times New Roman" w:hAnsi="Times New Roman" w:cs="Times New Roman" w:hint="eastAsia"/>
        </w:rPr>
        <w:t>s</w:t>
      </w:r>
      <w:r w:rsidR="00D9166E" w:rsidRPr="0068405B">
        <w:rPr>
          <w:rFonts w:ascii="Times New Roman" w:hAnsi="Times New Roman" w:cs="Times New Roman"/>
        </w:rPr>
        <w:t xml:space="preserve"> has more trucks than </w:t>
      </w:r>
      <w:proofErr w:type="spellStart"/>
      <w:r w:rsidR="00D9166E" w:rsidRPr="0068405B">
        <w:rPr>
          <w:rFonts w:ascii="Times New Roman" w:hAnsi="Times New Roman" w:cs="Times New Roman"/>
        </w:rPr>
        <w:t>TriX</w:t>
      </w:r>
      <w:r w:rsidR="00E25A8B" w:rsidRPr="0068405B">
        <w:rPr>
          <w:rFonts w:ascii="Times New Roman" w:hAnsi="Times New Roman" w:cs="Times New Roman"/>
        </w:rPr>
        <w:t>’s</w:t>
      </w:r>
      <w:proofErr w:type="spellEnd"/>
      <w:r w:rsidR="00E25A8B" w:rsidRPr="0068405B">
        <w:rPr>
          <w:rFonts w:ascii="Times New Roman" w:hAnsi="Times New Roman" w:cs="Times New Roman"/>
        </w:rPr>
        <w:t xml:space="preserve"> test day. The result</w:t>
      </w:r>
      <w:r w:rsidR="00D9166E" w:rsidRPr="0068405B">
        <w:rPr>
          <w:rFonts w:ascii="Times New Roman" w:hAnsi="Times New Roman" w:cs="Times New Roman"/>
        </w:rPr>
        <w:t xml:space="preserve">s indicate that </w:t>
      </w:r>
      <w:proofErr w:type="spellStart"/>
      <w:r w:rsidR="00D9166E" w:rsidRPr="0068405B">
        <w:rPr>
          <w:rFonts w:ascii="Times New Roman" w:hAnsi="Times New Roman" w:cs="Times New Roman"/>
        </w:rPr>
        <w:t>TriX</w:t>
      </w:r>
      <w:r w:rsidR="00E25A8B" w:rsidRPr="0068405B">
        <w:rPr>
          <w:rFonts w:ascii="Times New Roman" w:hAnsi="Times New Roman" w:cs="Times New Roman"/>
        </w:rPr>
        <w:t>’s</w:t>
      </w:r>
      <w:proofErr w:type="spellEnd"/>
      <w:r w:rsidR="00E25A8B" w:rsidRPr="0068405B">
        <w:rPr>
          <w:rFonts w:ascii="Times New Roman" w:hAnsi="Times New Roman" w:cs="Times New Roman"/>
        </w:rPr>
        <w:t xml:space="preserve"> algorithm is no better than the current one on each group separately.</w:t>
      </w:r>
    </w:p>
    <w:p w14:paraId="3FCE7695" w14:textId="18BFF3E8"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However, when we look at two groups jointly, the percentage is a lot lower, since we are counting the days that both group</w:t>
      </w:r>
      <w:r w:rsidR="00D9166E" w:rsidRPr="0068405B">
        <w:rPr>
          <w:rFonts w:ascii="Times New Roman" w:hAnsi="Times New Roman" w:cs="Times New Roman"/>
        </w:rPr>
        <w:t xml:space="preserve">s are better performed than </w:t>
      </w:r>
      <w:proofErr w:type="spellStart"/>
      <w:r w:rsidR="00D9166E" w:rsidRPr="0068405B">
        <w:rPr>
          <w:rFonts w:ascii="Times New Roman" w:hAnsi="Times New Roman" w:cs="Times New Roman"/>
        </w:rPr>
        <w:t>TriX</w:t>
      </w:r>
      <w:r w:rsidRPr="0068405B">
        <w:rPr>
          <w:rFonts w:ascii="Times New Roman" w:hAnsi="Times New Roman" w:cs="Times New Roman"/>
        </w:rPr>
        <w:t>’s</w:t>
      </w:r>
      <w:proofErr w:type="spellEnd"/>
      <w:r w:rsidRPr="0068405B">
        <w:rPr>
          <w:rFonts w:ascii="Times New Roman" w:hAnsi="Times New Roman" w:cs="Times New Roman"/>
        </w:rPr>
        <w:t xml:space="preserve"> result. Only 3.4% of the sim</w:t>
      </w:r>
      <w:r w:rsidR="00D9166E" w:rsidRPr="0068405B">
        <w:rPr>
          <w:rFonts w:ascii="Times New Roman" w:hAnsi="Times New Roman" w:cs="Times New Roman"/>
        </w:rPr>
        <w:t xml:space="preserve">ulated days are better than </w:t>
      </w:r>
      <w:proofErr w:type="spellStart"/>
      <w:r w:rsidR="00D9166E" w:rsidRPr="0068405B">
        <w:rPr>
          <w:rFonts w:ascii="Times New Roman" w:hAnsi="Times New Roman" w:cs="Times New Roman"/>
        </w:rPr>
        <w:t>TriX’</w:t>
      </w:r>
      <w:r w:rsidRPr="0068405B">
        <w:rPr>
          <w:rFonts w:ascii="Times New Roman" w:hAnsi="Times New Roman" w:cs="Times New Roman"/>
        </w:rPr>
        <w:t>s</w:t>
      </w:r>
      <w:proofErr w:type="spellEnd"/>
      <w:r w:rsidRPr="0068405B">
        <w:rPr>
          <w:rFonts w:ascii="Times New Roman" w:hAnsi="Times New Roman" w:cs="Times New Roman"/>
        </w:rPr>
        <w:t xml:space="preserve"> test day, which means when we consider two groups jointly, </w:t>
      </w:r>
      <w:proofErr w:type="spellStart"/>
      <w:r w:rsidRPr="0068405B">
        <w:rPr>
          <w:rFonts w:ascii="Times New Roman" w:hAnsi="Times New Roman" w:cs="Times New Roman"/>
        </w:rPr>
        <w:t>Trix’s</w:t>
      </w:r>
      <w:proofErr w:type="spellEnd"/>
      <w:r w:rsidRPr="0068405B">
        <w:rPr>
          <w:rFonts w:ascii="Times New Roman" w:hAnsi="Times New Roman" w:cs="Times New Roman"/>
        </w:rPr>
        <w:t xml:space="preserve"> algorithm is better than the current one at 90% confidence interval.</w:t>
      </w:r>
    </w:p>
    <w:p w14:paraId="3D399949" w14:textId="678970CB" w:rsidR="005A359C" w:rsidRPr="0068405B" w:rsidRDefault="00E25A8B" w:rsidP="00144BFC">
      <w:pPr>
        <w:numPr>
          <w:ilvl w:val="0"/>
          <w:numId w:val="3"/>
        </w:numPr>
        <w:spacing w:before="100" w:beforeAutospacing="1" w:after="100" w:afterAutospacing="1" w:line="288" w:lineRule="auto"/>
        <w:ind w:left="288" w:hanging="288"/>
        <w:rPr>
          <w:rFonts w:ascii="Times New Roman" w:hAnsi="Times New Roman" w:cs="Times New Roman"/>
        </w:rPr>
      </w:pPr>
      <w:r w:rsidRPr="0068405B">
        <w:rPr>
          <w:rFonts w:ascii="Times New Roman" w:hAnsi="Times New Roman" w:cs="Times New Roman"/>
        </w:rPr>
        <w:t>Conclusion</w:t>
      </w:r>
    </w:p>
    <w:p w14:paraId="3BE30755" w14:textId="45DE0CA7"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The above methods we adopted involved stochastic simulation and sampling to derive useful statistics from limited test data. Bootstrapping technique is especially helpful as it can provide satisfactory estimates even when the sample size is small. But it can be biased when the sample is severely skewed. Monte-Carlo method can avoid such situation by sampling data from the entire distribution, while its usage is limited when the underlying distribution is unavailable.</w:t>
      </w:r>
    </w:p>
    <w:p w14:paraId="5BC3CCB5" w14:textId="3DB4962A" w:rsidR="005A359C" w:rsidRPr="0068405B" w:rsidRDefault="00E25A8B" w:rsidP="00144BFC">
      <w:pPr>
        <w:spacing w:before="100" w:beforeAutospacing="1" w:after="100" w:afterAutospacing="1" w:line="288" w:lineRule="auto"/>
        <w:rPr>
          <w:rFonts w:ascii="Times New Roman" w:hAnsi="Times New Roman" w:cs="Times New Roman"/>
        </w:rPr>
      </w:pPr>
      <w:r w:rsidRPr="0068405B">
        <w:rPr>
          <w:rFonts w:ascii="Times New Roman" w:hAnsi="Times New Roman" w:cs="Times New Roman"/>
        </w:rPr>
        <w:t xml:space="preserve">Both approaches prove that </w:t>
      </w:r>
      <w:proofErr w:type="spellStart"/>
      <w:r w:rsidRPr="0068405B">
        <w:rPr>
          <w:rFonts w:ascii="Times New Roman" w:hAnsi="Times New Roman" w:cs="Times New Roman"/>
        </w:rPr>
        <w:t>TriX’s</w:t>
      </w:r>
      <w:proofErr w:type="spellEnd"/>
      <w:r w:rsidRPr="0068405B">
        <w:rPr>
          <w:rFonts w:ascii="Times New Roman" w:hAnsi="Times New Roman" w:cs="Times New Roman"/>
        </w:rPr>
        <w:t xml:space="preserve"> algorithm doesn’t increase the percentage of either ‘35-37’ group or ‘37+’ group separately. However, in the context that our goal is to increase the percentages of both ‘35-37’ and ‘37+’ groups, we can conclude from the Monte-Carlo simulation results that </w:t>
      </w:r>
      <w:proofErr w:type="spellStart"/>
      <w:r w:rsidRPr="0068405B">
        <w:rPr>
          <w:rFonts w:ascii="Times New Roman" w:hAnsi="Times New Roman" w:cs="Times New Roman"/>
        </w:rPr>
        <w:t>TriX’s</w:t>
      </w:r>
      <w:proofErr w:type="spellEnd"/>
      <w:r w:rsidRPr="0068405B">
        <w:rPr>
          <w:rFonts w:ascii="Times New Roman" w:hAnsi="Times New Roman" w:cs="Times New Roman"/>
        </w:rPr>
        <w:t xml:space="preserve"> software does make a difference at 90% confidence level. Therefore, we would recommen</w:t>
      </w:r>
      <w:r w:rsidR="0068405B">
        <w:rPr>
          <w:rFonts w:ascii="Times New Roman" w:hAnsi="Times New Roman" w:cs="Times New Roman"/>
        </w:rPr>
        <w:t xml:space="preserve">d converting to </w:t>
      </w:r>
      <w:proofErr w:type="spellStart"/>
      <w:r w:rsidR="0068405B">
        <w:rPr>
          <w:rFonts w:ascii="Times New Roman" w:hAnsi="Times New Roman" w:cs="Times New Roman"/>
        </w:rPr>
        <w:t>TriX’s</w:t>
      </w:r>
      <w:proofErr w:type="spellEnd"/>
      <w:r w:rsidR="0068405B">
        <w:rPr>
          <w:rFonts w:ascii="Times New Roman" w:hAnsi="Times New Roman" w:cs="Times New Roman"/>
        </w:rPr>
        <w:t xml:space="preserve"> software. </w:t>
      </w:r>
    </w:p>
    <w:sectPr w:rsidR="005A359C" w:rsidRPr="0068405B" w:rsidSect="00144BFC">
      <w:headerReference w:type="default" r:id="rId7"/>
      <w:pgSz w:w="12240" w:h="15840"/>
      <w:pgMar w:top="1440"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61851" w14:textId="77777777" w:rsidR="00336F0B" w:rsidRDefault="00336F0B">
      <w:pPr>
        <w:spacing w:line="240" w:lineRule="auto"/>
      </w:pPr>
      <w:r>
        <w:separator/>
      </w:r>
    </w:p>
  </w:endnote>
  <w:endnote w:type="continuationSeparator" w:id="0">
    <w:p w14:paraId="6525CFCA" w14:textId="77777777" w:rsidR="00336F0B" w:rsidRDefault="00336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9A8DB" w14:textId="77777777" w:rsidR="00336F0B" w:rsidRDefault="00336F0B">
      <w:pPr>
        <w:spacing w:line="240" w:lineRule="auto"/>
      </w:pPr>
      <w:r>
        <w:separator/>
      </w:r>
    </w:p>
  </w:footnote>
  <w:footnote w:type="continuationSeparator" w:id="0">
    <w:p w14:paraId="3E62AEA9" w14:textId="77777777" w:rsidR="00336F0B" w:rsidRDefault="00336F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96858" w14:textId="77777777" w:rsidR="00AE57D2" w:rsidRPr="00144BFC" w:rsidRDefault="00AE57D2">
    <w:pPr>
      <w:jc w:val="right"/>
      <w:rPr>
        <w:rFonts w:ascii="Times New Roman" w:hAnsi="Times New Roman" w:cs="Times New Roman"/>
      </w:rPr>
    </w:pPr>
  </w:p>
  <w:p w14:paraId="3DB4B902" w14:textId="77777777" w:rsidR="00AE57D2" w:rsidRPr="00144BFC" w:rsidRDefault="00AE57D2">
    <w:pPr>
      <w:jc w:val="right"/>
      <w:rPr>
        <w:rFonts w:ascii="Times New Roman" w:hAnsi="Times New Roman" w:cs="Times New Roman"/>
      </w:rPr>
    </w:pPr>
  </w:p>
  <w:p w14:paraId="140FC6C0" w14:textId="311ADD9A" w:rsidR="005A359C" w:rsidRPr="00144BFC" w:rsidRDefault="00C1043D">
    <w:pPr>
      <w:jc w:val="right"/>
      <w:rPr>
        <w:rFonts w:ascii="Times New Roman" w:hAnsi="Times New Roman" w:cs="Times New Roman"/>
      </w:rPr>
    </w:pPr>
    <w:r>
      <w:rPr>
        <w:rFonts w:ascii="Times New Roman" w:hAnsi="Times New Roman" w:cs="Times New Roman"/>
      </w:rPr>
      <w:t>MS</w:t>
    </w:r>
    <w:r w:rsidR="00E25A8B" w:rsidRPr="00144BFC">
      <w:rPr>
        <w:rFonts w:ascii="Times New Roman" w:hAnsi="Times New Roman" w:cs="Times New Roman"/>
      </w:rPr>
      <w:t>603 Assignment - Port of Oakland: Inventory Control</w:t>
    </w:r>
  </w:p>
  <w:p w14:paraId="3C485DA3" w14:textId="77777777" w:rsidR="005A359C" w:rsidRPr="00144BFC" w:rsidRDefault="00E25A8B">
    <w:pPr>
      <w:jc w:val="right"/>
      <w:rPr>
        <w:rFonts w:ascii="Times New Roman" w:hAnsi="Times New Roman" w:cs="Times New Roman"/>
      </w:rPr>
    </w:pPr>
    <w:proofErr w:type="spellStart"/>
    <w:r w:rsidRPr="00144BFC">
      <w:rPr>
        <w:rFonts w:ascii="Times New Roman" w:hAnsi="Times New Roman" w:cs="Times New Roman"/>
        <w:sz w:val="24"/>
        <w:szCs w:val="24"/>
      </w:rPr>
      <w:t>Chenxi</w:t>
    </w:r>
    <w:proofErr w:type="spellEnd"/>
    <w:r w:rsidRPr="00144BFC">
      <w:rPr>
        <w:rFonts w:ascii="Times New Roman" w:hAnsi="Times New Roman" w:cs="Times New Roman"/>
        <w:sz w:val="24"/>
        <w:szCs w:val="24"/>
      </w:rPr>
      <w:t xml:space="preserve"> Ge, Yue Lan, </w:t>
    </w:r>
    <w:proofErr w:type="spellStart"/>
    <w:r w:rsidRPr="00144BFC">
      <w:rPr>
        <w:rFonts w:ascii="Times New Roman" w:hAnsi="Times New Roman" w:cs="Times New Roman"/>
        <w:sz w:val="24"/>
        <w:szCs w:val="24"/>
      </w:rPr>
      <w:t>Dixin</w:t>
    </w:r>
    <w:proofErr w:type="spellEnd"/>
    <w:r w:rsidRPr="00144BFC">
      <w:rPr>
        <w:rFonts w:ascii="Times New Roman" w:hAnsi="Times New Roman" w:cs="Times New Roman"/>
        <w:sz w:val="24"/>
        <w:szCs w:val="24"/>
      </w:rPr>
      <w:t xml:space="preserve"> Yan, </w:t>
    </w:r>
    <w:proofErr w:type="spellStart"/>
    <w:r w:rsidRPr="00144BFC">
      <w:rPr>
        <w:rFonts w:ascii="Times New Roman" w:hAnsi="Times New Roman" w:cs="Times New Roman"/>
        <w:sz w:val="24"/>
        <w:szCs w:val="24"/>
      </w:rPr>
      <w:t>Xiaowen</w:t>
    </w:r>
    <w:proofErr w:type="spellEnd"/>
    <w:r w:rsidRPr="00144BFC">
      <w:rPr>
        <w:rFonts w:ascii="Times New Roman" w:hAnsi="Times New Roman" w:cs="Times New Roman"/>
        <w:sz w:val="24"/>
        <w:szCs w:val="24"/>
      </w:rPr>
      <w:t xml:space="preserve"> Zhang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13801"/>
    <w:multiLevelType w:val="hybridMultilevel"/>
    <w:tmpl w:val="8910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B6028"/>
    <w:multiLevelType w:val="multilevel"/>
    <w:tmpl w:val="6702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5B767C2"/>
    <w:multiLevelType w:val="multilevel"/>
    <w:tmpl w:val="7DA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A359C"/>
    <w:rsid w:val="0014292B"/>
    <w:rsid w:val="00144BFC"/>
    <w:rsid w:val="00165330"/>
    <w:rsid w:val="00336F0B"/>
    <w:rsid w:val="004E5819"/>
    <w:rsid w:val="005A359C"/>
    <w:rsid w:val="0068405B"/>
    <w:rsid w:val="00900E70"/>
    <w:rsid w:val="0093144C"/>
    <w:rsid w:val="00AE57D2"/>
    <w:rsid w:val="00C1043D"/>
    <w:rsid w:val="00D64C02"/>
    <w:rsid w:val="00D9166E"/>
    <w:rsid w:val="00E25A8B"/>
    <w:rsid w:val="00F3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AEF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6533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5330"/>
    <w:rPr>
      <w:rFonts w:ascii="Times New Roman" w:hAnsi="Times New Roman" w:cs="Times New Roman"/>
      <w:sz w:val="18"/>
      <w:szCs w:val="18"/>
    </w:rPr>
  </w:style>
  <w:style w:type="paragraph" w:styleId="Header">
    <w:name w:val="header"/>
    <w:basedOn w:val="Normal"/>
    <w:link w:val="HeaderChar"/>
    <w:uiPriority w:val="99"/>
    <w:unhideWhenUsed/>
    <w:rsid w:val="00AE57D2"/>
    <w:pPr>
      <w:tabs>
        <w:tab w:val="center" w:pos="4680"/>
        <w:tab w:val="right" w:pos="9360"/>
      </w:tabs>
      <w:spacing w:line="240" w:lineRule="auto"/>
    </w:pPr>
  </w:style>
  <w:style w:type="character" w:customStyle="1" w:styleId="HeaderChar">
    <w:name w:val="Header Char"/>
    <w:basedOn w:val="DefaultParagraphFont"/>
    <w:link w:val="Header"/>
    <w:uiPriority w:val="99"/>
    <w:rsid w:val="00AE57D2"/>
  </w:style>
  <w:style w:type="paragraph" w:styleId="Footer">
    <w:name w:val="footer"/>
    <w:basedOn w:val="Normal"/>
    <w:link w:val="FooterChar"/>
    <w:uiPriority w:val="99"/>
    <w:unhideWhenUsed/>
    <w:rsid w:val="00AE57D2"/>
    <w:pPr>
      <w:tabs>
        <w:tab w:val="center" w:pos="4680"/>
        <w:tab w:val="right" w:pos="9360"/>
      </w:tabs>
      <w:spacing w:line="240" w:lineRule="auto"/>
    </w:pPr>
  </w:style>
  <w:style w:type="character" w:customStyle="1" w:styleId="FooterChar">
    <w:name w:val="Footer Char"/>
    <w:basedOn w:val="DefaultParagraphFont"/>
    <w:link w:val="Footer"/>
    <w:uiPriority w:val="99"/>
    <w:rsid w:val="00AE57D2"/>
  </w:style>
  <w:style w:type="table" w:styleId="PlainTable2">
    <w:name w:val="Plain Table 2"/>
    <w:basedOn w:val="TableNormal"/>
    <w:uiPriority w:val="42"/>
    <w:rsid w:val="004E5819"/>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E5819"/>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E5819"/>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4E5819"/>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4E5819"/>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9166E"/>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718</Words>
  <Characters>4094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lanyue</cp:lastModifiedBy>
  <cp:revision>9</cp:revision>
  <dcterms:created xsi:type="dcterms:W3CDTF">2018-01-28T22:16:00Z</dcterms:created>
  <dcterms:modified xsi:type="dcterms:W3CDTF">2018-01-29T00:05:00Z</dcterms:modified>
</cp:coreProperties>
</file>