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ction"/>
      <w:r>
        <w:t xml:space="preserve">19.</w:t>
      </w:r>
      <w:bookmarkEnd w:id="20"/>
    </w:p>
    <w:p>
      <w:pPr>
        <w:pStyle w:val="Heading1"/>
      </w:pPr>
      <w:bookmarkStart w:id="21" w:name="modeling-a-study-in-words-and-meanings"/>
      <w:r>
        <w:t xml:space="preserve">Modeling: A Study in Words and Meanings</w:t>
      </w:r>
      <w:bookmarkEnd w:id="21"/>
    </w:p>
    <w:p>
      <w:pPr>
        <w:pStyle w:val="Heading6"/>
      </w:pPr>
      <w:bookmarkStart w:id="22" w:name="willard-mccarty"/>
      <w:r>
        <w:t xml:space="preserve">Willard McCarty</w:t>
      </w:r>
      <w:bookmarkEnd w:id="22"/>
    </w:p>
    <w:p>
      <w:pPr>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lockText"/>
      </w:pPr>
      <w:r>
        <w:t xml:space="preserve">He knew men who hated the</w:t>
      </w:r>
      <w:r>
        <w:t xml:space="preserve"> </w:t>
      </w:r>
      <w:r>
        <w:rPr>
          <w:i/>
        </w:rPr>
        <w:t xml:space="preserve">variables</w:t>
      </w:r>
      <w:r>
        <w:t xml:space="preserve">. They had their plans and by golly they were going to stick to them. If the site did not match the drawings it was like a personal insult.</w:t>
      </w:r>
    </w:p>
    <w:p>
      <w:pPr>
        <w:pStyle w:val="BlockText"/>
      </w:pPr>
      <w:r>
        <w:t xml:space="preserve">He himself liked the</w:t>
      </w:r>
      <w:r>
        <w:t xml:space="preserve"> </w:t>
      </w:r>
      <w:r>
        <w:rPr>
          <w:i/>
        </w:rPr>
        <w:t xml:space="preserve">variables</w:t>
      </w:r>
      <w:r>
        <w:t xml:space="preserve"> </w:t>
      </w:r>
      <w:r>
        <w:t xml:space="preserve">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lockText"/>
      </w:pPr>
      <w:r>
        <w:t xml:space="preserve">Kate Grenville,</w:t>
      </w:r>
      <w:r>
        <w:t xml:space="preserve"> </w:t>
      </w:r>
      <w:r>
        <w:rPr>
          <w:i/>
        </w:rPr>
        <w:t xml:space="preserve">The Idea of Perfection</w:t>
      </w:r>
      <w:r>
        <w:t xml:space="preserve"> </w:t>
      </w:r>
      <w:r>
        <w:t xml:space="preserve">(Sydney: Picador, 1999): 62–3</w:t>
      </w:r>
    </w:p>
    <w:p>
      <w:pPr>
        <w:pStyle w:val="Heading2"/>
      </w:pPr>
      <w:bookmarkStart w:id="23" w:name="introduction"/>
      <w:r>
        <w:t xml:space="preserve">Introduction</w:t>
      </w:r>
      <w:bookmarkEnd w:id="23"/>
    </w:p>
    <w:p>
      <w:pPr>
        <w:pStyle w:val="FirstParagraph"/>
      </w:pPr>
      <w:r>
        <w:t xml:space="preserve">The question of modeling arises naturally for humanities computing from the prior question of what its practitioners across the disciplines have in common. What are they all</w:t>
      </w:r>
      <w:r>
        <w:t xml:space="preserve"> </w:t>
      </w:r>
      <w:r>
        <w:rPr>
          <w:i/>
        </w:rPr>
        <w:t xml:space="preserve">doing</w:t>
      </w:r>
      <w:r>
        <w:t xml:space="preserve"> </w:t>
      </w:r>
      <w:r>
        <w:t xml:space="preserve">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w:t>
      </w:r>
      <w:r>
        <w:t xml:space="preserve"> </w:t>
      </w:r>
      <w:r>
        <w:rPr>
          <w:i/>
        </w:rPr>
        <w:t xml:space="preserve">of</w:t>
      </w:r>
      <w:r>
        <w:t xml:space="preserve"> </w:t>
      </w:r>
      <w:r>
        <w:t xml:space="preserve">as 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w:t>
      </w:r>
      <w:r>
        <w:t xml:space="preserve"> </w:t>
      </w:r>
      <w:r>
        <w:rPr>
          <w:i/>
        </w:rPr>
        <w:t xml:space="preserve">use the correct word</w:t>
      </w:r>
      <w:r>
        <w:t xml:space="preserve"> </w:t>
      </w:r>
      <w:r>
        <w:t xml:space="preserve">for the activity we share lest our practice go awry for want of understanding (Analects 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2"/>
      </w:pPr>
      <w:bookmarkStart w:id="24" w:name="background"/>
      <w:r>
        <w:t xml:space="preserve">Background</w:t>
      </w:r>
      <w:bookmarkEnd w:id="24"/>
    </w:p>
    <w:p>
      <w:pPr>
        <w:pStyle w:val="FirstParagraph"/>
      </w:pPr>
      <w:r>
        <w:t xml:space="preserve">Let me begin with provisional definitions1. By</w:t>
      </w:r>
      <w:r>
        <w:t xml:space="preserve"> </w:t>
      </w:r>
      <w:r>
        <w:t xml:space="preserve">“</w:t>
      </w:r>
      <w:r>
        <w:t xml:space="preserve">modeling</w:t>
      </w:r>
      <w:r>
        <w:t xml:space="preserve">”</w:t>
      </w:r>
      <w:r>
        <w:t xml:space="preserve"> </w:t>
      </w:r>
      <w:r>
        <w:t xml:space="preserve">I mean</w:t>
      </w:r>
      <w:r>
        <w:t xml:space="preserve"> </w:t>
      </w:r>
      <w:r>
        <w:rPr>
          <w:i/>
        </w:rPr>
        <w:t xml:space="preserve">‘</w:t>
      </w:r>
      <w:r>
        <w:rPr>
          <w:i/>
        </w:rPr>
        <w:t xml:space="preserve">the heuristic process of constructing and manipulating models</w:t>
      </w:r>
      <w:r>
        <w:rPr>
          <w:i/>
        </w:rPr>
        <w:t xml:space="preserve">’</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or</w:t>
      </w:r>
      <w:r>
        <w:t xml:space="preserve"> </w:t>
      </w:r>
      <w:r>
        <w:rPr>
          <w:i/>
        </w:rPr>
        <w:t xml:space="preserve">a design for realizing something new</w:t>
      </w:r>
      <w:r>
        <w:t xml:space="preserve">. These two senses follow Clifford Geertz’s analytic distinction between a denotative</w:t>
      </w:r>
      <w:r>
        <w:t xml:space="preserve"> </w:t>
      </w:r>
      <w:r>
        <w:t xml:space="preserve">“</w:t>
      </w:r>
      <w:r>
        <w:t xml:space="preserve">model</w:t>
      </w:r>
      <w:r>
        <w:t xml:space="preserve"> </w:t>
      </w:r>
      <w:r>
        <w:rPr>
          <w:i/>
        </w:rPr>
        <w:t xml:space="preserve">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 @[Geertz1973, 93] (Geertz 1973: 93)2.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 (Cartwright 1983: 158). By nature modeling defines a ternary relationship in which it mediates epistemologically, between modeler and modeled, researcher and data or theory and the world (Morrison and Morgan 1999). Since modeling is fundamentally relational, the same object may in different contexts play either role: thus, e.g., the grammar may function prescriptively, as a model</w:t>
      </w:r>
      <w:r>
        <w:t xml:space="preserve"> </w:t>
      </w:r>
      <w:r>
        <w:rPr>
          <w:i/>
        </w:rPr>
        <w:t xml:space="preserve">for</w:t>
      </w:r>
      <w:r>
        <w:t xml:space="preserve"> </w:t>
      </w:r>
      <w:r>
        <w:t xml:space="preserve">correct usage, the architectural plan descriptively, as a model</w:t>
      </w:r>
      <w:r>
        <w:t xml:space="preserve"> </w:t>
      </w:r>
      <w:r>
        <w:rPr>
          <w:i/>
        </w:rPr>
        <w:t xml:space="preserve">of</w:t>
      </w:r>
      <w:r>
        <w:t xml:space="preserve"> </w:t>
      </w:r>
      <w:r>
        <w:t xml:space="preserve">an existing style. The distinction also reaches its vanishing point in the convergent purposes of modeling: the model</w:t>
      </w:r>
      <w:r>
        <w:t xml:space="preserve"> </w:t>
      </w:r>
      <w:r>
        <w:rPr>
          <w:i/>
        </w:rPr>
        <w:t xml:space="preserve">of</w:t>
      </w:r>
      <w:r>
        <w:t xml:space="preserve"> </w:t>
      </w:r>
      <w:r>
        <w:t xml:space="preserve">exists to tell us that we do not know, the model</w:t>
      </w:r>
      <w:r>
        <w:t xml:space="preserve"> </w:t>
      </w:r>
      <w:r>
        <w:rPr>
          <w:i/>
        </w:rPr>
        <w:t xml:space="preserve">for</w:t>
      </w:r>
      <w:r>
        <w:t xml:space="preserve"> </w:t>
      </w:r>
      <w:r>
        <w:t xml:space="preserve">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w:t>
      </w:r>
      <w:r>
        <w:t xml:space="preserve"> </w:t>
      </w:r>
      <w:r>
        <w:rPr>
          <w:i/>
        </w:rPr>
        <w:t xml:space="preserve">implicit</w:t>
      </w:r>
      <w:r>
        <w:t xml:space="preserve"> </w:t>
      </w:r>
      <w:r>
        <w:t xml:space="preserve">in scholarly practice (Leff 1972). Leff cites, e.g., the historic-graphical notion of</w:t>
      </w:r>
      <w:r>
        <w:t xml:space="preserve"> </w:t>
      </w:r>
      <w:r>
        <w:t xml:space="preserve">“</w:t>
      </w:r>
      <w:r>
        <w:t xml:space="preserve">epoch</w:t>
      </w:r>
      <w:r>
        <w:t xml:space="preserve">”</w:t>
      </w:r>
      <w:r>
        <w:t xml:space="preserve">, but any well-articulated idea would qualify as a model of its 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w:t>
      </w:r>
      <w:r>
        <w:t xml:space="preserve"> </w:t>
      </w:r>
      <w:r>
        <w:rPr>
          <w:i/>
        </w:rPr>
        <w:t xml:space="preserve">of</w:t>
      </w:r>
      <w:r>
        <w:t xml:space="preserve"> </w:t>
      </w:r>
      <w:r>
        <w:t xml:space="preserve">it; delineating them as models is the scholar’s obvious work @[Mironesco2002] (Mironesco 2002).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(Minsky 1995).</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 * really * have been doing all along. This would, however, be a serious error. As with the relationship of hypertext to earlier ways of referring (McCarty 2002),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w:t>
      </w:r>
      <w:r>
        <w:t xml:space="preserve"> </w:t>
      </w:r>
      <w:r>
        <w:rPr>
          <w:i/>
        </w:rPr>
        <w:t xml:space="preserve">how we know what we know</w:t>
      </w:r>
      <w:r>
        <w:t xml:space="preserve"> </w:t>
      </w:r>
      <w:r>
        <w:t xml:space="preserve">. On the one hand, as Michael Polanyi observed,</w:t>
      </w:r>
      <w:r>
        <w:t xml:space="preserve"> </w:t>
      </w:r>
      <w:r>
        <w:t xml:space="preserve">“</w:t>
      </w:r>
      <w:r>
        <w:t xml:space="preserve">we can know more than we can tell</w:t>
      </w:r>
      <w:r>
        <w:t xml:space="preserve">”</w:t>
      </w:r>
      <w:r>
        <w:t xml:space="preserve"> </w:t>
      </w:r>
      <w:r>
        <w:t xml:space="preserve">(1966: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(OED: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 manus)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 ab wo,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 per se are not the point. What distinguishes computers from other kinds of machines, Smith notes, is that</w:t>
      </w:r>
      <w:r>
        <w:t xml:space="preserve"> </w:t>
      </w:r>
      <w:r>
        <w:t xml:space="preserve">“</w:t>
      </w:r>
      <w:r>
        <w:t xml:space="preserve">they run by manipulating representations, and representations are always formulated in terms of models</w:t>
      </w:r>
      <w:r>
        <w:t xml:space="preserve">”</w:t>
      </w:r>
      <w:r>
        <w:t xml:space="preserve"> </w:t>
      </w:r>
      <w:r>
        <w:t xml:space="preserve">(Smith 1995/1985: 460; cf. Fetzer 1999: 23).</w:t>
      </w:r>
    </w:p>
    <w:p>
      <w:pPr>
        <w:pStyle w:val="BodyText"/>
      </w:pPr>
      <w:r>
        <w:t xml:space="preserve">In other words, computational models, however finely perfected, are better understood as temporary states in a process of coming to know rather than fixed structures of knowledge. It is of course possible to argue ideologically, as some still do, that we are converging on and will achieve such structures,3 but in any case these structures would not then be models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 computers are essentially modeling machines, not knowledge jukeboxes.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 for may be distinct types – because in our terms they are fixed objects. But modeling of something readily turns into modeling for better or more detailed knowledge of it; similarly, the knowledge gained from realizing a model for something feeds or can feed into an improved version. This characteristic blurring of design into use and use into (re)design is what denies modeling of any sense of closure. Modeling for, Utopian by definition, is denied it in any case.</w:t>
      </w:r>
    </w:p>
    <w:p>
      <w:pPr>
        <w:pStyle w:val="Heading2"/>
      </w:pPr>
      <w:bookmarkStart w:id="25" w:name="learned-complaints"/>
      <w:r>
        <w:t xml:space="preserve">Learned Complaints</w:t>
      </w:r>
      <w:bookmarkEnd w:id="25"/>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(1960: 98). The philosopher Peter Achinstein has warned us away even from attempting a systematic theory (1968: 203).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 inter alia 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 (Ziman 2000: 126–38, 147–50; Toulmin 1953: 94–109). Goodman would have us collapse modeling into diagramming, which he thinks less troublesome (1976: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 and connote that the others do not, and vice versa? What do all have in common? What are their individual tendencies of mind, and which of these best suits computing as we are learning to conceive it?</w:t>
      </w:r>
    </w:p>
    <w:p>
      <w:pPr>
        <w:pStyle w:val="Heading2"/>
      </w:pPr>
      <w:bookmarkStart w:id="26" w:name="philological-analysis-of-related-terms"/>
      <w:r>
        <w:t xml:space="preserve">Philological Analysis of Related Terms</w:t>
      </w:r>
      <w:bookmarkEnd w:id="26"/>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 of and the exemplary model for,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 present-participial strength of</w:t>
      </w:r>
      <w:r>
        <w:t xml:space="preserve"> </w:t>
      </w:r>
      <w:r>
        <w:t xml:space="preserve">“</w:t>
      </w:r>
      <w:r>
        <w:t xml:space="preserve">modeling.</w:t>
      </w:r>
      <w:r>
        <w:t xml:space="preserve">”</w:t>
      </w:r>
      <w:r>
        <w:t xml:space="preserve">4 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3"/>
      </w:pPr>
      <w:bookmarkStart w:id="27" w:name="analogy"/>
      <w:r>
        <w:t xml:space="preserve">Analogy</w:t>
      </w:r>
      <w:bookmarkEnd w:id="27"/>
    </w:p>
    <w:p>
      <w:pPr>
        <w:pStyle w:val="FirstParagraph"/>
      </w:pPr>
      <w:r>
        <w:t xml:space="preserve">“</w:t>
      </w:r>
      <w:r>
        <w:t xml:space="preserve">Analogy</w:t>
      </w:r>
      <w:r>
        <w:t xml:space="preserve">”</w:t>
      </w:r>
      <w:r>
        <w:t xml:space="preserve"> </w:t>
      </w:r>
      <w:r>
        <w:t xml:space="preserve">(Gk. ναλoγα,</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career5. John Stuart Mill complained that</w:t>
      </w:r>
      <w:r>
        <w:t xml:space="preserve"> </w:t>
      </w:r>
      <w:r>
        <w:t xml:space="preserve">“</w:t>
      </w:r>
      <w:r>
        <w:t xml:space="preserve">no word … is used more loosely, or in a greater variety of senses, than Analogy</w:t>
      </w:r>
      <w:r>
        <w:t xml:space="preserve">”</w:t>
      </w:r>
      <w:r>
        <w:t xml:space="preserve"> </w:t>
      </w:r>
      <w:r>
        <w:t xml:space="preserve">(A System of Logic,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 vis matrix, or cause of planetary motion, by reasoning that as the sun radiated light, so it must also radiate this motive power (Gentner 2002).</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 does B, so C does D</w:t>
      </w:r>
      <w:r>
        <w:t xml:space="preserve">”</w:t>
      </w:r>
      <w:r>
        <w:t xml:space="preserve"> </w:t>
      </w:r>
      <w:r>
        <w:t xml:space="preserve">– but acting 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 (Hoffman 1995). Because modeling is analogical, this work is potentially relevant to questions raised in computing the artifacts of the humanities. We need to pay attention here.</w:t>
      </w:r>
    </w:p>
    <w:p>
      <w:pPr>
        <w:pStyle w:val="Heading3"/>
      </w:pPr>
      <w:bookmarkStart w:id="28" w:name="representation"/>
      <w:r>
        <w:t xml:space="preserve">Representation</w:t>
      </w:r>
      <w:bookmarkEnd w:id="28"/>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 (1976: 3–41)6.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 OED:</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 trompe I’oeil, remains a habit of mind. If in aesthetics, why not in computer science?</w:t>
      </w:r>
    </w:p>
    <w:p>
      <w:pPr>
        <w:pStyle w:val="BodyText"/>
      </w:pPr>
      <w:r>
        <w:t xml:space="preserve">A well-attested present participle and a full complement of verbal forms establishes the action of representing,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 of is representational but not modeling for. In fact a model of is a manipulable variety of representation – which any representation in software would of course be. The crucial difference between model 0/and representation is the quality of the action implied. Unlike representing, modeling of is denied closure, as I noted earlier. It has no satisfactory trompe I’oeil 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form.7</w:t>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 value-judgement ….</w:t>
      </w:r>
    </w:p>
    <w:p>
      <w:pPr>
        <w:pStyle w:val="BlockText"/>
      </w:pPr>
      <w:r>
        <w:t xml:space="preserve">This normative dimension distinguishes philosophical theories ofknowledge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BlockText"/>
      </w:pPr>
      <w:r>
        <w:t xml:space="preserve">(2001: 11–12)</w:t>
      </w:r>
      <w:r>
        <w:t xml:space="preserve"> </w:t>
      </w:r>
      <w:r>
        <w:t xml:space="preserve">Projects such as Cyc, based on what Northrop Frye characterized as the discredited Wissenscbaft-theory of knowledge – that its accumulation in vast quantities will one day, somehow, result in understanding8 – clearly assume if not perfect closure, then a threshold beyond which lack of perfection ceases to matter. But to whom, and for what purposes?9 Apart from such questions, and the serious doubts within computer science on the wisdom of building massive knowledge-bases for expert systems10 –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t xml:space="preserve"> </w:t>
      </w:r>
      <w:r>
        <w:t xml:space="preserve">(Sowa 2000: 12), our intellectual claustrophobia tells an important tale. Not, of course, the only one. If the point of modeling is to fail well, then KR has a vital quality-control function to serve.</w:t>
      </w:r>
    </w:p>
    <w:p>
      <w:pPr>
        <w:pStyle w:val="Heading3"/>
      </w:pPr>
      <w:bookmarkStart w:id="29" w:name="diagram"/>
      <w:r>
        <w:t xml:space="preserve">Diagram</w:t>
      </w:r>
      <w:bookmarkEnd w:id="29"/>
    </w:p>
    <w:p>
      <w:pPr>
        <w:pStyle w:val="FirstParagraph"/>
      </w:pPr>
      <w:r>
        <w:t xml:space="preserve">A diagram (Gk. διγραμμα,</w:t>
      </w:r>
      <w:r>
        <w:t xml:space="preserve"> </w:t>
      </w:r>
      <w:r>
        <w:t xml:space="preserve">“</w:t>
      </w:r>
      <w:r>
        <w:t xml:space="preserve">that which is marked out by lines, a geometrical figure, written list, register, the gamut or scale in music</w:t>
      </w:r>
      <w:r>
        <w:t xml:space="preserve">”</w:t>
      </w:r>
      <w:r>
        <w:t xml:space="preserve">)11 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 (1911). Such a diagram ranges from the precisely drawn schematic, whose measurements are significant, to the rough sketch intended to express symbolic relations only. But what makes a graphic a diagram, properly so called, is the way in which it is read, not its resemblance to anything12. 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(1999: 33–5).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 per se, the role of manipulation where diagramming is heuristic and the kinaesthetics of the action suggest the close relationship between diagramming and modeling for which Goodman argues. Models of,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(1972: 172–3).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importance.13 That is changing very rapidly now. As a cognitive, reasoning process it is studied in relation to Greek mathematics and geometry in particular (Netz 1999). Modern philosophical attention can be traced from Descartes’s</w:t>
      </w:r>
      <w:r>
        <w:t xml:space="preserve"> </w:t>
      </w:r>
      <w:r>
        <w:t xml:space="preserve">“</w:t>
      </w:r>
      <w:r>
        <w:t xml:space="preserve">La Geometric</w:t>
      </w:r>
      <w:r>
        <w:t xml:space="preserve">”</w:t>
      </w:r>
      <w:r>
        <w:t xml:space="preserve"> </w:t>
      </w:r>
      <w:r>
        <w:t xml:space="preserve">(1637) and Kant’s Critique of Pure Reason 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Heading2"/>
      </w:pPr>
      <w:bookmarkStart w:id="30" w:name="map"/>
      <w:r>
        <w:t xml:space="preserve">Map</w:t>
      </w:r>
      <w:bookmarkEnd w:id="30"/>
    </w:p>
    <w:p>
      <w:pPr>
        <w:pStyle w:val="FirstParagraph"/>
      </w:pPr>
      <w:r>
        <w:t xml:space="preserve">A map may be defined as a schematic spatial representation, or following Maxwell, a diagram of</w:t>
      </w:r>
      <w:r>
        <w:t xml:space="preserve"> </w:t>
      </w:r>
      <w:r>
        <w:t xml:space="preserve">“</w:t>
      </w:r>
      <w:r>
        <w:t xml:space="preserve">anything that can be spatially conceived.</w:t>
      </w:r>
      <w:r>
        <w:t xml:space="preserve">”</w:t>
      </w:r>
      <w:r>
        <w:t xml:space="preserve">14 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 of or for 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data15).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 (Toulmin 1958), which suggests techniques of automated inferencing in AI. (Maps of argument look like flowcharts.) As a form of data-visualization, mapping also connects with a very strong, recent interest in humanities computing (Kirschenbaum 2002), and so connects this interest with modeling.</w:t>
      </w:r>
    </w:p>
    <w:p>
      <w:pPr>
        <w:pStyle w:val="Heading3"/>
      </w:pPr>
      <w:bookmarkStart w:id="31" w:name="simulation"/>
      <w:r>
        <w:t xml:space="preserve">Simulation</w:t>
      </w:r>
      <w:bookmarkEnd w:id="31"/>
    </w:p>
    <w:p>
      <w:pPr>
        <w:pStyle w:val="FirstParagraph"/>
      </w:pPr>
      <w:r>
        <w:t xml:space="preserve">“</w:t>
      </w:r>
      <w:r>
        <w:t xml:space="preserve">Simulation</w:t>
      </w:r>
      <w:r>
        <w:t xml:space="preserve">”</w:t>
      </w:r>
      <w:r>
        <w:t xml:space="preserve"> </w:t>
      </w:r>
      <w:r>
        <w:t xml:space="preserve">is</w:t>
      </w:r>
      <w:r>
        <w:t xml:space="preserve"> </w:t>
      </w:r>
      <w:r>
        <w:t xml:space="preserve">“</w:t>
      </w:r>
      <w:r>
        <w:t xml:space="preserve">The technique of imitating the behaviour of some situation or process … by means of a suitably analogous situation or apparatus</w:t>
      </w:r>
      <w:r>
        <w:t xml:space="preserve">”</w:t>
      </w:r>
      <w:r>
        <w:t xml:space="preserve"> </w:t>
      </w:r>
      <w:r>
        <w:t xml:space="preserve">(OED).16 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 (Simon 1969: 15–18), which makes it a kind of representation, subject to the same philosophical argument including the caveat respecting mimesis. But in usage, the connotation, if not denotation, of an exact correspondence between simulation and original remains paradoxically alongside knowledge of real difference.17 That knowledge, however uneasily, can be put aside, as in what we now call</w:t>
      </w:r>
      <w:r>
        <w:t xml:space="preserve"> </w:t>
      </w:r>
      <w:r>
        <w:t xml:space="preserve">“</w:t>
      </w:r>
      <w:r>
        <w:t xml:space="preserve">virtual reality</w:t>
      </w:r>
      <w:r>
        <w:t xml:space="preserve">”</w:t>
      </w:r>
      <w:r>
        <w:t xml:space="preserve"> </w:t>
      </w:r>
      <w:r>
        <w:t xml:space="preserve">(VR).18</w:t>
      </w:r>
    </w:p>
    <w:p>
      <w:pPr>
        <w:pStyle w:val="BodyText"/>
      </w:pPr>
      <w: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w:t>
      </w:r>
      <w:r>
        <w:t xml:space="preserve"> </w:t>
      </w:r>
      <w:r>
        <w:t xml:space="preserve">“</w:t>
      </w:r>
      <w:r>
        <w:t xml:space="preserve">Proven on the most complex physical problem that had ever been undertaken in the history of science</w:t>
      </w:r>
      <w:r>
        <w:t xml:space="preserve">”</w:t>
      </w:r>
      <w:r>
        <w:t xml:space="preserve">, Peter Galison notes, simulation came to replace experimental reality, thus blurring multiple boundaries that had previously defined research, redefining it in new terms (1997: 690f). Since then the turn away from traditional analytic methods to simulation has spread to several other fields (Burch 2002). As the biologist Glenn W Rowe points out, with this turn has come the realization that</w:t>
      </w:r>
      <w:r>
        <w:t xml:space="preserve"> </w:t>
      </w:r>
      <w:r>
        <w:t xml:space="preserve">“</w:t>
      </w:r>
      <w:r>
        <w:t xml:space="preserve">a great many systems seem to have an inherent complexity that cannot be simplified</w:t>
      </w:r>
      <w:r>
        <w:t xml:space="preserve">”</w:t>
      </w:r>
      <w:r>
        <w:t xml:space="preserve">19 – and so must be studied as simulations. Thus simulation has opened our eyes to the new problems with which it can deal. In the humanities we have known for some years that computer-based simulations, in the form of pedagogical games, can play a role in teaching. An old but very good example is The Would-Be Gentleman, a re-creation of economic and social life in seventeenth-century France in which the student-player must realize and put aside his or her modern preconceptions in order to win (Lougee 1988). In other words he or she must become a seventeenth-century Frenchman mentally and emotionally. From more recent and far more technically advanced VR applications, such as Richard Beacham’s and Hugh Denard’s reconstruction of the theater of Pompey in Rome (Beacham and Denard 2003), one can predict a scholarly future for simulation in many areas of humanistic research.</w:t>
      </w:r>
    </w:p>
    <w:p>
      <w:pPr>
        <w:pStyle w:val="BodyText"/>
      </w:pPr>
      <w:r>
        <w:t xml:space="preserve">Simulation, like game-playing, tends to forgetfulness of the mechanism by which it is created, so long as its terms of engagement (expressed in parameters and algorithms) are fixed. Unfix them – e.g., in The Would-Be Gentleman by allowing the player to change the encoded attitude toward marrying above or below one’s station – and the simulation becomes a modeling exercise directed to exploring the question of that attitude. Thus simulation crosses over into modeling when the constants of the system become variables. Modeling, one might say, is a self-conscious simulation, and simulation an assimilated modeling.</w:t>
      </w:r>
    </w:p>
    <w:p>
      <w:pPr>
        <w:pStyle w:val="Heading3"/>
      </w:pPr>
      <w:bookmarkStart w:id="32" w:name="experiment"/>
      <w:r>
        <w:t xml:space="preserve">Experiment</w:t>
      </w:r>
      <w:bookmarkEnd w:id="32"/>
    </w:p>
    <w:p>
      <w:pPr>
        <w:pStyle w:val="FirstParagraph"/>
      </w:pPr>
      <w:r>
        <w:t xml:space="preserve">In common usage</w:t>
      </w:r>
      <w:r>
        <w:t xml:space="preserve"> </w:t>
      </w:r>
      <w:r>
        <w:t xml:space="preserve">“</w:t>
      </w:r>
      <w:r>
        <w:t xml:space="preserve">experiment</w:t>
      </w:r>
      <w:r>
        <w:t xml:space="preserve">”</w:t>
      </w:r>
      <w:r>
        <w:t xml:space="preserve"> </w:t>
      </w:r>
      <w:r>
        <w:t xml:space="preserve">(L. experiri, to try) is either</w:t>
      </w:r>
      <w:r>
        <w:t xml:space="preserve"> </w:t>
      </w:r>
      <w:r>
        <w:t xml:space="preserve">“</w:t>
      </w:r>
      <w:r>
        <w:t xml:space="preserve">An action or operation undertaken in order to discover something unknown …</w:t>
      </w:r>
      <w:r>
        <w:t xml:space="preserve">”</w:t>
      </w:r>
      <w:r>
        <w:t xml:space="preserve"> </w:t>
      </w:r>
      <w:r>
        <w:t xml:space="preserve">or</w:t>
      </w:r>
      <w:r>
        <w:t xml:space="preserve"> </w:t>
      </w:r>
      <w:r>
        <w:t xml:space="preserve">“</w:t>
      </w:r>
      <w:r>
        <w:t xml:space="preserve">The action of trying anything, or putting it to proof; a test, trial …</w:t>
      </w:r>
      <w:r>
        <w:t xml:space="preserve">”</w:t>
      </w:r>
      <w:r>
        <w:t xml:space="preserve"> </w:t>
      </w:r>
      <w:r>
        <w:t xml:space="preserve">(OED). In its broadest sense, the word embraces</w:t>
      </w:r>
      <w:r>
        <w:t xml:space="preserve"> </w:t>
      </w:r>
      <w:r>
        <w:t xml:space="preserve">“</w:t>
      </w:r>
      <w:r>
        <w:t xml:space="preserve">modeling</w:t>
      </w:r>
      <w:r>
        <w:t xml:space="preserve">”</w:t>
      </w:r>
      <w:r>
        <w:t xml:space="preserve">, indeed any heuristic experience of the world, especially that which involves conscious purpose, defined procedure, or its material instantiation in equipment. Like</w:t>
      </w:r>
      <w:r>
        <w:t xml:space="preserve"> </w:t>
      </w:r>
      <w:r>
        <w:t xml:space="preserve">“</w:t>
      </w:r>
      <w:r>
        <w:t xml:space="preserve">modeling</w:t>
      </w:r>
      <w:r>
        <w:t xml:space="preserve">”</w:t>
      </w:r>
      <w:r>
        <w:t xml:space="preserve">,</w:t>
      </w:r>
      <w:r>
        <w:t xml:space="preserve"> </w:t>
      </w:r>
      <w:r>
        <w:t xml:space="preserve">“</w:t>
      </w:r>
      <w:r>
        <w:t xml:space="preserve">experiment</w:t>
      </w:r>
      <w:r>
        <w:t xml:space="preserve">”</w:t>
      </w:r>
      <w:r>
        <w:t xml:space="preserve"> </w:t>
      </w:r>
      <w:r>
        <w:t xml:space="preserve">refers to a process whose ending is constructed rather than given: as Peter Galison has argued for the physical sciences, the experimenter decides if and when the attempt has succeeded or failed, in</w:t>
      </w:r>
      <w:r>
        <w:t xml:space="preserve"> </w:t>
      </w:r>
      <w:r>
        <w:t xml:space="preserve">“</w:t>
      </w:r>
      <w:r>
        <w:t xml:space="preserve">that fascinating moment … when instrumentation, experience, theory, calculation, and sociology meet</w:t>
      </w:r>
      <w:r>
        <w:t xml:space="preserve">”</w:t>
      </w:r>
      <w:r>
        <w:t xml:space="preserve"> </w:t>
      </w:r>
      <w:r>
        <w:t xml:space="preserve">(Galison 1987: 1). Modeling and experimenting are by nature open-ended; indeed they are often at the time ill-defined, even quite messy.20</w:t>
      </w:r>
    </w:p>
    <w:p>
      <w:pPr>
        <w:pStyle w:val="BodyText"/>
      </w:pPr>
      <w:r>
        <w:t xml:space="preserve">The semantic overlap of</w:t>
      </w:r>
      <w:r>
        <w:t xml:space="preserve"> </w:t>
      </w:r>
      <w:r>
        <w:t xml:space="preserve">“</w:t>
      </w:r>
      <w:r>
        <w:t xml:space="preserve">modeling</w:t>
      </w:r>
      <w:r>
        <w:t xml:space="preserve">”</w:t>
      </w:r>
      <w:r>
        <w:t xml:space="preserve"> </w:t>
      </w:r>
      <w:r>
        <w:t xml:space="preserve">and</w:t>
      </w:r>
      <w:r>
        <w:t xml:space="preserve"> </w:t>
      </w:r>
      <w:r>
        <w:t xml:space="preserve">“</w:t>
      </w:r>
      <w:r>
        <w:t xml:space="preserve">experiment</w:t>
      </w:r>
      <w:r>
        <w:t xml:space="preserve">”</w:t>
      </w:r>
      <w:r>
        <w:t xml:space="preserve"> </w:t>
      </w:r>
      <w:r>
        <w:t xml:space="preserve">is so close that the two can be quite difficult to separate (Guala 2002). Mary S. Morgan, writing about modeling in economics, has argued that they may be discriminated by the degree to which the former involves hypothesis, the latter reality (2002: 49). But, as she notes, hybrids provide exceptions and thought experiments –</w:t>
      </w:r>
      <w:r>
        <w:t xml:space="preserve"> </w:t>
      </w:r>
      <w:r>
        <w:t xml:space="preserve">“</w:t>
      </w:r>
      <w:r>
        <w:t xml:space="preserve">devices of the imagination used to investigate nature</w:t>
      </w:r>
      <w:r>
        <w:t xml:space="preserve">”</w:t>
      </w:r>
      <w:r>
        <w:t xml:space="preserve"> </w:t>
      </w:r>
      <w:r>
        <w:t xml:space="preserve">(Brown 2002) – a very close analogue to modeling.21 Perhaps the relationship is most clearly stated by saying that in the context of research a model is an experimental device, modeling an experimental technique.</w:t>
      </w:r>
    </w:p>
    <w:p>
      <w:pPr>
        <w:pStyle w:val="BodyText"/>
      </w:pPr>
      <w:r>
        <w:t xml:space="preserve">The point of considering</w:t>
      </w:r>
      <w:r>
        <w:t xml:space="preserve"> </w:t>
      </w:r>
      <w:r>
        <w:t xml:space="preserve">“</w:t>
      </w:r>
      <w:r>
        <w:t xml:space="preserve">experiment</w:t>
      </w:r>
      <w:r>
        <w:t xml:space="preserve">”</w:t>
      </w:r>
      <w:r>
        <w:t xml:space="preserve"> </w:t>
      </w:r>
      <w:r>
        <w:t xml:space="preserve">here is, however, primarily to locate our topic within the context of a particular history of ideas and so to engage with large and important areas of historical and philosophical research. Indeed, as an experimental technique modeling has shared the fate of experiment in the specialist literature, and so also in the popular understanding. Allow me briefly to summarize the background.22</w:t>
      </w:r>
    </w:p>
    <w:p>
      <w:pPr>
        <w:pStyle w:val="BodyText"/>
      </w:pPr>
      <w:r>
        <w:t xml:space="preserve">By the mid-nineteenth century, understanding of scientific work had begun to polarize into two epistemological conditions, which physicist and philosopher Hans Reichenbach later famously named</w:t>
      </w:r>
      <w:r>
        <w:t xml:space="preserve"> </w:t>
      </w:r>
      <w:r>
        <w:t xml:space="preserve">“</w:t>
      </w:r>
      <w:r>
        <w:t xml:space="preserve">the context of discovery</w:t>
      </w:r>
      <w:r>
        <w:t xml:space="preserve">”</w:t>
      </w:r>
      <w:r>
        <w:t xml:space="preserve"> </w:t>
      </w:r>
      <w:r>
        <w:t xml:space="preserve">and</w:t>
      </w:r>
      <w:r>
        <w:t xml:space="preserve"> </w:t>
      </w:r>
      <w:r>
        <w:t xml:space="preserve">“</w:t>
      </w:r>
      <w:r>
        <w:t xml:space="preserve">the context of justification.</w:t>
      </w:r>
      <w:r>
        <w:t xml:space="preserve">”</w:t>
      </w:r>
      <w:r>
        <w:t xml:space="preserve">23 By the early to mid-twentieth century, attention had shifted almost completely to justification and so, as Thomas Nickels has said, discovery was expelled from mainstream epistemology (2000: 87). Experiment, the means of discovery, was in consequence also demoted and theory, the focus of justification, promoted.</w:t>
      </w:r>
      <w:r>
        <w:t xml:space="preserve"> </w:t>
      </w:r>
      <w:r>
        <w:t xml:space="preserve">“</w:t>
      </w:r>
      <w:r>
        <w:t xml:space="preserve">The asymmetric emphasis on theory in the historical literature</w:t>
      </w:r>
      <w:r>
        <w:t xml:space="preserve">”</w:t>
      </w:r>
      <w:r>
        <w:t xml:space="preserve">, Peter Galison explains, meant that attention was confined</w:t>
      </w:r>
      <w:r>
        <w:t xml:space="preserve"> </w:t>
      </w:r>
      <w:r>
        <w:t xml:space="preserve">“</w:t>
      </w:r>
      <w:r>
        <w:t xml:space="preserve">to the invention and testing of theories</w:t>
      </w:r>
      <w:r>
        <w:t xml:space="preserve">”</w:t>
      </w:r>
      <w:r>
        <w:t xml:space="preserve"> </w:t>
      </w:r>
      <w:r>
        <w:t xml:space="preserve">(1987: 8), the actual conduct and intellectual role of experiments being largely overlooked. In philosophy too,</w:t>
      </w:r>
      <w:r>
        <w:t xml:space="preserve"> </w:t>
      </w:r>
      <w:r>
        <w:t xml:space="preserve">“</w:t>
      </w:r>
      <w:r>
        <w:t xml:space="preserve">experiment for theory</w:t>
      </w:r>
      <w:r>
        <w:t xml:space="preserve">”</w:t>
      </w:r>
      <w:r>
        <w:t xml:space="preserve"> </w:t>
      </w:r>
      <w:r>
        <w:t xml:space="preserve">dominated until (in Ian Hacking’s paraphrase of Nietzsche) Thomas Kuhn’s The Structure of Scientific Revolutions</w:t>
      </w:r>
      <w:r>
        <w:t xml:space="preserve"> </w:t>
      </w:r>
      <w:r>
        <w:t xml:space="preserve">“</w:t>
      </w:r>
      <w:r>
        <w:t xml:space="preserve">unwrapped the mummy of science</w:t>
      </w:r>
      <w:r>
        <w:t xml:space="preserve">”</w:t>
      </w:r>
      <w:r>
        <w:t xml:space="preserve"> </w:t>
      </w:r>
      <w:r>
        <w:t xml:space="preserve">by historicizing it (Hacking 1983: If) – What had actually always been happening in experimental work could then become a proper subject of investigation. Furthermore, Kuhn’s ample demonstration of</w:t>
      </w:r>
      <w:r>
        <w:t xml:space="preserve"> </w:t>
      </w:r>
      <w:r>
        <w:t xml:space="preserve">“</w:t>
      </w:r>
      <w:r>
        <w:t xml:space="preserve">the essential role theory plays in the conduct of experimentation, the interpretation of data, and in the definition of</w:t>
      </w:r>
      <w:r>
        <w:t xml:space="preserve"> </w:t>
      </w:r>
      <w:r>
        <w:t xml:space="preserve">‘</w:t>
      </w:r>
      <w:r>
        <w:t xml:space="preserve">relevant</w:t>
      </w:r>
      <w:r>
        <w:t xml:space="preserve">’</w:t>
      </w:r>
      <w:r>
        <w:t xml:space="preserve"> </w:t>
      </w:r>
      <w:r>
        <w:t xml:space="preserve">phenomena</w:t>
      </w:r>
      <w:r>
        <w:t xml:space="preserve">”</w:t>
      </w:r>
      <w:r>
        <w:t xml:space="preserve"> </w:t>
      </w:r>
      <w:r>
        <w:t xml:space="preserve">depolarized theory and experiment (Galison 1987: 80- In other words, from an entirely subordinate and observational role, experiment emerged alongside theory as an interdependent partner.</w:t>
      </w:r>
    </w:p>
    <w:p>
      <w:pPr>
        <w:pStyle w:val="BodyText"/>
      </w:pPr>
      <w:r>
        <w:t xml:space="preserve">Subsequently, through the work of Hacking, Feyerabend, Galison, and several others, the fiction of a unitary</w:t>
      </w:r>
      <w:r>
        <w:t xml:space="preserve"> </w:t>
      </w:r>
      <w:r>
        <w:t xml:space="preserve">“</w:t>
      </w:r>
      <w:r>
        <w:t xml:space="preserve">scientific method</w:t>
      </w:r>
      <w:r>
        <w:t xml:space="preserve">”</w:t>
      </w:r>
      <w:r>
        <w:t xml:space="preserve">, in which theory cleanly defines the role of experiment, has been dispelled. As Hacking says, calling for a</w:t>
      </w:r>
      <w:r>
        <w:t xml:space="preserve"> </w:t>
      </w:r>
      <w:r>
        <w:t xml:space="preserve">“</w:t>
      </w:r>
      <w:r>
        <w:t xml:space="preserve">Back-to-Bacon</w:t>
      </w:r>
      <w:r>
        <w:t xml:space="preserve">”</w:t>
      </w:r>
      <w:r>
        <w:t xml:space="preserve"> </w:t>
      </w:r>
      <w:r>
        <w:t xml:space="preserve">movement,</w:t>
      </w:r>
      <w:r>
        <w:t xml:space="preserve"> </w:t>
      </w:r>
      <w:r>
        <w:t xml:space="preserve">“</w:t>
      </w:r>
      <w:r>
        <w:t xml:space="preserve">Experiment has a life of its own</w:t>
      </w:r>
      <w:r>
        <w:t xml:space="preserve">”</w:t>
      </w:r>
      <w:r>
        <w:t xml:space="preserve"> </w:t>
      </w:r>
      <w:r>
        <w:t xml:space="preserve">(1983: 150), sometimes preceded by theory, sometimes not. But the consequent liberation of experiment from the debilitating pretense of grubby handmaiden to</w:t>
      </w:r>
      <w:r>
        <w:t xml:space="preserve"> </w:t>
      </w:r>
      <w:r>
        <w:t xml:space="preserve">“</w:t>
      </w:r>
      <w:r>
        <w:t xml:space="preserve">pure</w:t>
      </w:r>
      <w:r>
        <w:t xml:space="preserve">”</w:t>
      </w:r>
      <w:r>
        <w:t xml:space="preserve"> </w:t>
      </w:r>
      <w:r>
        <w:t xml:space="preserve">theory has at the same time directed attention back to the very hard, old problem of discovery: how does this happen?</w:t>
      </w:r>
    </w:p>
    <w:p>
      <w:pPr>
        <w:pStyle w:val="Heading2"/>
      </w:pPr>
      <w:bookmarkStart w:id="33" w:name="conclusion"/>
      <w:r>
        <w:t xml:space="preserve">Conclusion</w:t>
      </w:r>
      <w:bookmarkEnd w:id="33"/>
    </w:p>
    <w:p>
      <w:pPr>
        <w:pStyle w:val="FirstParagraph"/>
      </w:pPr>
      <w:r>
        <w:t xml:space="preserve">Why do we need an answer to this question? Because, I have argued, ours is an experimental practice, using equipment and instantiating definite methods, for the skilled application of which we need to know what we are doing as well as it can be known. I have labeled the core of this practice</w:t>
      </w:r>
      <w:r>
        <w:t xml:space="preserve"> </w:t>
      </w:r>
      <w:r>
        <w:t xml:space="preserve">“</w:t>
      </w:r>
      <w:r>
        <w:t xml:space="preserve">modeling</w:t>
      </w:r>
      <w:r>
        <w:t xml:space="preserve">”</w:t>
      </w:r>
      <w:r>
        <w:t xml:space="preserve">, and suggested how, properly understood, modeling points the way to a computing that is of as well as in the humanities: a continual process of coming to know by manipulating representations. We are, I have suggested, in good epistemological company. But this only sharpens the epistemological question. The signified of modeling vanishes into the murk because we lack a disciplined way of talking about it. Methods are explicit, actions definite, results forthcoming, yet we have been unable fully and persuasively to articulate the intellectual case for the means by which these results are produced. Hence the just-a-tool status of computing, the not-a-discipline slur, the tradesman’s entrance or other back door into the academy. No one doubts the usefulness of the practice. Rather it’s the intellection of praxis to which the next stage in the argument I have begun here must turn.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2020-11-02T13:45:12Z</dcterms:created>
  <dcterms:modified xsi:type="dcterms:W3CDTF">2020-11-02T13:45:12Z</dcterms:modified>
</cp:coreProperties>
</file>

<file path=docProps/custom.xml><?xml version="1.0" encoding="utf-8"?>
<Properties xmlns="http://schemas.openxmlformats.org/officeDocument/2006/custom-properties" xmlns:vt="http://schemas.openxmlformats.org/officeDocument/2006/docPropsVTypes"/>
</file>