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42"/>
        <w:gridCol w:w="2368"/>
        <w:gridCol w:w="3639"/>
        <w:gridCol w:w="236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median IQR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[22.00, 29.00]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[23.00, 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[23.00, 29.00]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Genders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Nonbinary Genderqueer Gender Expansive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(92.2)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(95.2)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Races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(62.0)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(54.0)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 or 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Hispanic or 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222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(87.3)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57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Associate 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Bachelor 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(55.6)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Grade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 Graduate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(30.8)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(27.0)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Homemaker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Employment Statuses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(23.3)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Full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(53.4)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(46.0)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Part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100 000  150 000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(15.9)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150 000 or 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(17.5)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25 000  50 000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(14.3)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50 000  75 000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(20.7)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75 000  100 000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(15.8)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 a Regular Physician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176 (66.2)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(62.0)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(73.0)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Given Birth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Nicotine Usage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617" w:hRule="auto"/>
        </w:trPr>
        body44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THC Marijuana Usage Yes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(50.0)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(49.6)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(39.7)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2026-06-08T11:43:12Z</dcterms:modified>
  <cp:category/>
</cp:coreProperties>
</file>