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40"/>
        <w:gridCol w:w="1800"/>
        <w:gridCol w:w="1800"/>
        <w:gridCol w:w="1800"/>
        <w:gridCol w:w="1800"/>
        <w:gridCol w:w="1800"/>
        <w:gridCol w:w="1800"/>
        <w:gridCol w:w="180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rowname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Dysmenorrhea.plus.Bladder.Pain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Pain.Free.Control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p_dys_dysb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Time.to.FS..mins...median..IQR..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22.50 [14.00, 33.25]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19.00 [12.00, 28.00]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21.00 [15.00, 36.00]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Time.to.FU..mins...median..IQR..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43.00 [33.00, 55.00]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42.50 [31.25, 53.75]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50.00 [35.00, 63.50]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0.761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Time.to.MT..mins...median..IQR..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70.00 [55.00, 87.00]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57.50 [45.00, 74.00]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75.00 [56.00, 84.00]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FS.bladder.urgency..VAS...median..IQR..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16.00 [9.00, 25.00]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25.00 [16.00, 38.00]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 [6.00, 20.00]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FS.bladder.pain..VAS...median..IQR..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 [2.00, 23.50]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FU.bladder.urgency..VAS...median..IQR..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40.00 [30.00, 50.00]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50.00 [38.50, 62.00]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37.50 [27.00, 50.00]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FU.bladder.pain..VAS...median..IQR..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27.50 [20.00, 49.75]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MT.bladder.urgency..VAS...median..IQR..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84.00 [74.00, 90.00]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86.00 [78.00, 93.00]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83.00 [78.00, 89.00]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0.089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MT.bladder.pain..VAS...median..IQR..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 [3.00, 31.50]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58.00 [39.75, 70.00]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9.00 [1.00, 27.00]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MT.sharp.pain..VAS...median..IQR..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[0.00, 14.00]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35.50 [10.75, 59.00]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14.50]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MT.pressing.pain..VAS...median..IQR..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28.00 [7.00, 58.00]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62.00 [44.00, 76.00]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11.00 [1.00, 43.50]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Understanding.of.bladder.task....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0.642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254 (98.1)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119 (96.7)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 (96.7)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Focus.during.bladder.task..VAS...median..IQR..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78.00 [66.00, 90.00]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80.00 [71.00, 90.00]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76.00 [61.00, 88.50]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0.531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Capped.out.of.bladder.task....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215 (83.0)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 (78.0)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 (73.8)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0.306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 (17.0)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 (22.0)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(26.2)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2026-04-14T12:44:39Z</dcterms:modified>
  <cp:category/>
</cp:coreProperties>
</file>