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40"/>
        <w:gridCol w:w="1800"/>
        <w:gridCol w:w="1800"/>
        <w:gridCol w:w="1800"/>
        <w:gridCol w:w="1800"/>
        <w:gridCol w:w="1800"/>
        <w:gridCol w:w="1800"/>
        <w:gridCol w:w="180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rowname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Dysmenorrhea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Dysmenorrhea.plus.Bladder.Pain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Pain.Free.Control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p_dys_dysb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123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Urine Volume (ml) (median [IQR])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450.00 [300.00, 650.00]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400.00 [250.00, 590.00]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500.00 [350.00, 700.00]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0.035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0.033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2026-04-14T12:45:45Z</dcterms:modified>
  <cp:category/>
</cp:coreProperties>
</file>