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42"/>
        <w:gridCol w:w="2368"/>
        <w:gridCol w:w="2368"/>
        <w:gridCol w:w="2368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median IQR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 [23.00, 29.00]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 [22.00, 29.00]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 [23.00, 28.00]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Genders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Nonbinary Genderqueer Gender Expansive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243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(92.2%)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(15.5%)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(18.6%)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Races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(54.0%)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(53.5%)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 or 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(22.5%)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Hispanic or 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222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(75.2%)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(2.3%)</w:t>
            </w:r>
          </w:p>
        </w:tc>
      </w:tr>
      <w:tr>
        <w:trPr>
          <w:trHeight w:val="57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Associate 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Bachelor 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 (54.3%)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Grade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(10.1%)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 Graduate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(19.4%)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(13.2%)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Homemaker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Employment Statuses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(14.7%)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(18.6%)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Work Full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(46.0%)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(45.0%)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Work Part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(14.7%)</w:t>
            </w:r>
          </w:p>
        </w:tc>
      </w:tr>
      <w:tr>
        <w:trPr>
          <w:trHeight w:val="57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100 000  150 000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(8.5%)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150 000 or 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(7.8%)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25 000  50 000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(26.4%)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50 000  75 000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(17.1%)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75 000  100 000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(17.1%)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(18.6%)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Has Medical Insurance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251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 (89.1%)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Has a Regular Physician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(73.0%)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176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 (62.0%)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Given Birth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(8.5%)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Nicotine Usage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(8.5%)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THC Marijuana Usage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 (49.6%)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Prior Problem with Drugs or Alcohol Yes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2026-06-11T11:55:19Z</dcterms:modified>
  <cp:category/>
</cp:coreProperties>
</file>