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46"/>
        <w:gridCol w:w="2735"/>
        <w:gridCol w:w="2735"/>
        <w:gridCol w:w="2735"/>
        <w:gridCol w:w="1090"/>
        <w:gridCol w:w="1585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Dysmenorrhea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DYSB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p_dys_dysb</w:t>
            </w:r>
          </w:p>
        </w:tc>
      </w:tr>
      <w:tr>
        <w:trPr>
          <w:trHeight w:val="572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Time to FS (mins)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21.00 [14.00, 35.50]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22.00 [14.25, 32.75]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19.00 [13.00, 28.50]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0.085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Time to FU (mins)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47.00 [35.00, 63.00]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43.00 [33.00, 54.00]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44.00 [35.00, 54.00]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0.702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Time to MT (mins)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75.00 [57.50, 86.50]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71.50 [55.00, 87.00]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62.00 [49.50, 83.50]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0.024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FS bladder urgency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14.00 [6.00, 20.00]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16.00 [9.00, 25.00]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26.00 [16.75, 40.25]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FS bladder pain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10.00 [3.00, 24.25]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FU bladder urgency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38.00 [27.00, 50.00]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40.00 [31.00, 50.00]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51.00 [40.00, 62.00]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FU bladder pain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7.00]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30.00 [22.00, 50.00]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MT bladder urgency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83.00 [77.50, 89.00]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83.00 [74.00, 90.00]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84.50 [76.00, 90.75]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0.391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MT bladder pain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9.00 [0.50, 33.50]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14.00 [3.00, 32.50]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58.00 [40.00, 71.00]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MT sharp pain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16.00]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 [0.00, 14.50]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35.50 [10.00, 59.00]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MT pressing pain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11.50 [1.50, 48.75]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29.50 [8.00, 58.75]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62.00 [46.00, 76.00]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Capped out of bladder task = 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0.880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Urine Volume (ml)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500.00 [335.00, 700.00]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450.00 [300.00, 647.50]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400.00 [247.50, 582.50]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0.017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Pain with tampon test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3.00 [1.00,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Understanding of bladder task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0.423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 (96.8%)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262 (98.5%)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125 (96.9%)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Focus during bladder task (median [IQR])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76.00 [62.00, 88.00]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78.00 [66.00, 90.00]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80.00 [71.00, 90.25]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0.191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0.425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2026-06-11T13:27:44Z</dcterms:modified>
  <cp:category/>
</cp:coreProperties>
</file>