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23"/>
        <w:gridCol w:w="2368"/>
        <w:gridCol w:w="2368"/>
        <w:gridCol w:w="2368"/>
        <w:gridCol w:w="1090"/>
        <w:gridCol w:w="158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Period in the last 6 months?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0.711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Ever had painful periods?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263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 (97.7%)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0.635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Painful periods at time of menarche?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had painful periods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117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(45.0%)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146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What age did your painful periods start, if not menarche?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16.00 [15.00, 18.00]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18.00 [15.00, 21.00]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17.50 [15.25, 21.00]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0.603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Years since menarche without a period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2.75]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[1.75,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[2.00,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 with menstrual pelvic pain &gt;= 4 in an average month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[2.00,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0.049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 of missed work, school, or activities due to painful period in last 3 months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0.126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 spent in bed due to painful period in last 3 months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0.084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pain during worst day of period when not taking pain relievers in last 3 months (VAS)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13.00 [2.00, 21.50]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72.00 [63.00, 82.00]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77.00 [65.00, 85.00]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0.036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pain during worst day of period when taking NSAID pain relievers in last 3 months (VAS)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[2.00, 16.00]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39.00 [22.00, 59.00]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51.00 [35.00, 65.50]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pain during worst day of period when taking acetaminophen pain relievers in last 3 months (VAS)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[0.00, 11.00]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47.00 [28.50, 63.00]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[35.00, 69.25]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Menstrual Cycle Regularity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0.795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Always 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198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Sometimes 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Using a type of birth control that prevents periods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Usually or always 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Menstrual Cycle Length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0.040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22-35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231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101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Greater than 35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Menstrual Cycle Phase at time of Assessment = Luteal Phase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 (75.2%)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0.237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bleeding days per period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0.557</w:t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 hormonal therapy to treat menstrual pain = Yes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 (35.7%)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(36.4%)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2026-06-11T11:56:05Z</dcterms:modified>
  <cp:category/>
</cp:coreProperties>
</file>