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71"/>
        <w:gridCol w:w="2001"/>
        <w:gridCol w:w="2123"/>
        <w:gridCol w:w="2246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NMPP, last 7 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[2.00, 34.00]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dysuria, last 7 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[0.00, 16.00]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pain with bowel movements, last 7 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[0.00, 16.00]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17.00 [5.00, 36.00]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Had sexual intercourse, last 7 days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 had sexual intercourse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228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dyspareunia, last 7 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8.00 [0.00,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[1.75, 28.00]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0.157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 criteria for BPS/IC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Meets criteria for IBS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 bodily pain sites, last 30 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[2.00,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[3.00,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Persistent fatigue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Sensitivity to sounds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0.708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Sensitivity to odors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Sensitivity to chemicals = Yes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(12.8%)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(14.0%)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2026-06-11T12:00:36Z</dcterms:modified>
  <cp:category/>
</cp:coreProperties>
</file>