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50"/>
        <w:gridCol w:w="2001"/>
        <w:gridCol w:w="2001"/>
        <w:gridCol w:w="2001"/>
        <w:gridCol w:w="1090"/>
        <w:gridCol w:w="1585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of moderate to heavy bleeding reported (5 days max)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pelvic pain (24 hours before period onset)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with menstrual pain &gt; 3 (5 days max)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 menstrual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 [0.00,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 [2.40,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3.80 [2.80, 5.20]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 menstrual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[6.00,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[6.00,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 bowel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 bladder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Days of pain reliever usage (5 days max) (median [IQR])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2026-06-11T13:25:59Z</dcterms:modified>
  <cp:category/>
</cp:coreProperties>
</file>