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71"/>
        <w:gridCol w:w="2123"/>
        <w:gridCol w:w="3639"/>
        <w:gridCol w:w="2135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NMPP, last 7 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[2.00, 34.00]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dysuria, last 7 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 [0.00,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with bowel movements, last 7 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[0.00,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[4.75, 34.50]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Had sexual intercourse, last 7 days = 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(48.3)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(37.5)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(44.4)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 had sexual intercourse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227 (85.7)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(82.5)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dyspareunia, last 7 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 [0.00, 25.00]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[1.50, 27.50]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 criteria for BPS/IC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(34.0)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(43.0)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Meets criteria for IBS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(46.0)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(66.4)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 bodily pain sites, last 30 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[2.00,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[3.00,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Persistent fatigue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 (36.2)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(39.1)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 to sounds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(25.7)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(22.7)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0.601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 to odors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Sensitivity to chemicals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(12.8)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(14.1)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2026-04-27T17:01:03Z</dcterms:modified>
  <cp:category/>
</cp:coreProperties>
</file>