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204"/>
        <w:gridCol w:w="1853"/>
        <w:gridCol w:w="3639"/>
        <w:gridCol w:w="2135"/>
        <w:gridCol w:w="961"/>
        <w:gridCol w:w="1585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 plus Bladder Pain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 Free Control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p_dys_dysb</w:t>
            </w:r>
          </w:p>
        </w:tc>
      </w:tr>
      <w:tr>
        <w:trPr>
          <w:trHeight w:val="572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 with persistent ovarian cysts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0.711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 with pelvic inflammatory disease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0.710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 with chronic constipation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 with chronic diarrhea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0.403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 with repeated UTIs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 with repeated vaginal infections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0.585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 with childhood pelvic health problem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 with chronic heart condition (needing treatment)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 with chronic lung condition (needing treatment)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Diagnosed with chronic liver condition (needing treatment)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Fibroid removal surgery = No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265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 (100.0)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Vaginal surgery = Yes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0.518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 major pelvic surgery = Yes (%)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(2.6)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0.449</w:t>
            </w:r>
          </w:p>
        </w:tc>
        <w:tc>
          <w:tcPr>
            <w:tcBorders>
              <w:bottom w:val="single" w:sz="12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0.399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2026-04-27T18:22:10Z</dcterms:modified>
  <cp:category/>
</cp:coreProperties>
</file>