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650"/>
        <w:gridCol w:w="2001"/>
        <w:gridCol w:w="3639"/>
        <w:gridCol w:w="2135"/>
        <w:gridCol w:w="1090"/>
        <w:gridCol w:w="1585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of moderate to heavy bleeding reported (5 days max)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pelvic pain (24 hours before period onset)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with menstrual pain &gt; 3 (5 days max)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4.00]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 menstrual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3.20 [2.40, 4.40]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3.80 [2.80, 5.20]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 [0.00, 0.60]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 menstrual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[6.00,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[6.00, 8.00]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 bowel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Max bladder pain (median [IQR])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 of pain reliever usage (5 days max) (median [IQR])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2026-04-27T18:45:18Z</dcterms:modified>
  <cp:category/>
</cp:coreProperties>
</file>