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83"/>
        <w:gridCol w:w="2368"/>
        <w:gridCol w:w="3639"/>
        <w:gridCol w:w="2368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 had dyspareunia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(58.1)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(66.0)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0.217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when dyspareunia began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[18.25, 23.75]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[19.00, 23.25]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[18.00, 21.75]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Dyspareunia during most recent sexual intercourse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181 (68.8)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(61.7)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both during and in the 24 hours following intercourse/penetration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during intercourse/penetration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in the 24 hours following intercourse/penetration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 severity of dyspareunia during most recent sexual intercourse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Frequency of dyspareunia, last 12 months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Always (every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(23.0)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Occasionally (less than a quarter of times)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154 (58.1)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(60.3)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Often (a quarter to half of the times)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Usually (more than half of the times)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Dyspareunia resulting in disruption of sexual intercourse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(29.8)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(30.5)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 criteria for Vulvodynia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(11.3)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(13.3)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(7.9)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2026-04-27T19:06:55Z</dcterms:modified>
  <cp:category/>
</cp:coreProperties>
</file>