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42"/>
        <w:gridCol w:w="2368"/>
        <w:gridCol w:w="2368"/>
        <w:gridCol w:w="2368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median 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26.00 [23.00, 29.00]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 [22.00, 29.00]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 [23.00, 28.00]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Genders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Nonbinary Genderqueer Gender Expansive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243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(92.2%)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(15.5%)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(18.6%)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Races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165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(53.5%)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or 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(22.5%)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Hispanic or 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222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(75.2%)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Associate 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Bachelor 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 (54.3%)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Grade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(10.1%)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 Graduate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(19.4%)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(13.2%)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Homemaker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Employment Statuses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(14.7%)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(18.6%)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Work Full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(46.0%)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(45.0%)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Work Part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(14.7%)</w:t>
            </w:r>
          </w:p>
        </w:tc>
      </w:tr>
      <w:tr>
        <w:trPr>
          <w:trHeight w:val="57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100 000  150 000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(8.5%)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150 000 or greater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(7.8%)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25 000  50 000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(26.4%)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50 000  75 000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(17.1%)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75 000  100 000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(17.1%)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(18.6%)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Has Medical Insurance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251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 (89.1%)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Has a Regular Physician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176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(62.0%)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Given Birth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(8.5%)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Nicotine Usage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(8.5%)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THC Marijuana Usage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 (49.6%)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Prior Problem with Drugs or Alcohol Yes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2026-06-08T12:56:42Z</dcterms:modified>
  <cp:category/>
</cp:coreProperties>
</file>