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Average.NMPP..last.7.days..median..IQR..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 [2.00, 34.75]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Average.dysuria..last.7.days..median..IQR..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3.50 [0.00, 16.75]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Average.pain.with.bowel.movements..last.7.days..median..IQR..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[0.00, 17.00]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17.00 [4.00, 36.50]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Sexual.intercourse..last.7.days....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 (52.3)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 (61.7)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(55.6)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135 (47.7)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(38.3)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(44.4)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Average.dyspareunia..last.7.days..median..IQR..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8.00 [0.00, 25.00]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[1.50, 27.50]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4.50]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0.209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Meets.criteria.for.BPS.IC....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 (66.8)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(57.0)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(82.5)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 (33.2)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(43.0)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Meets.criteria.for.IBS....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 (55.1)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(32.8)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(82.5)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(44.9)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 (67.2)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Number.bodily.pain.sites..last.30.days..median..IQR..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[2.00, 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4.50 [3.00,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Persistent.fatigue....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183 (64.7)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 (60.2)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(77.8)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(35.3)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(39.8)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Sensitivity.to.sounds....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208 (73.5)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(78.1)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(81.0)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0.379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(26.5)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(21.9)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Sensitivity.to.odors....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240 (84.8)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 (85.2)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(88.9)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(15.2)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Sensitivity.to.chemicals....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248 (87.6)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 (85.2)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(93.7)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0.596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(12.4)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Ever.had.sexual.intercourse....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(14.8)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0.215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241 (85.2)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 (79.7)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(82.5)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Ever.had.dyspareunia....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 (43.6)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(35.3)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(62.7)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0.192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136 (56.4)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 (64.7)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(37.3)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Age.when.dyspareunia.began..median..IQR..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 [18.00, 23.75]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 [19.00, 23.00]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20.00 [18.00, 21.75]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0.680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Dyspareunia.during.most.recent.sexual.intercourse....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197 (70.1)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 (61.7)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(88.9)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0.385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Yes, both during and in the 24 hours following intercourse/penetration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Yes, during intercourse/penetration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(15.3)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Yes, in the 24 hours following intercourse/penetration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(10.9)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Max.severity.of.dyspareunia.during.most.recent.sexual.intercourse..median..IQR..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Frequency.of.dyspareunia..last.12.months....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Always (every time)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(24.0)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(25.0)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Occasionally (less than a quarter of times)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162 (57.2)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 (54.7)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(60.3)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Often (a quarter to half of the times)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(11.7)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(7.9)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Usually (more than half of the times)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Dyspareunia.resulting.in.disruption.of.sexual.intercourse....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 (71.4)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(68.8)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(81.0)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0.671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 (28.6)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(31.2)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Days.of.complete.menstrual.diary.data..median..IQR..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0.666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Days.of.bleeding.reported.on.diary..median..IQR..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0.360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Days.of.moderate.to.heavy.bleeding.reported.on.diary..median..IQR..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0.788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Average.pelvic.pain..24.hours.before.period.onset..median..IQR..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Days.with.menstrual.pain...3.reported.on.diary..median..IQR..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Average.menstrual.pain.reported.on.diary..median..IQR..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3.20 [2.40, 4.40]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3.90 [2.80, 5.20]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 [0.00, 0.60]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Max.menstrual.pain.reported.on.diary..median..IQR..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[6.00, 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[6.00, 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Max.bowel.pain.reported.on.diary..median..IQR..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Max.bladder.pain.reported.on.diary..median..IQR..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Days.of.pain.reliever.usage.reported.on.diary..median..IQR..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[0.25,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0.269</w:t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Meets.criteria.for.Vulvodynia....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251 (88.7)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 (87.5)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(92.1)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0.855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(11.3)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(7.9)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Meets.criteria.for.Diagnosed.Endometriosis....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 (100.0)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(100.0)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2026-04-21T14:20:17Z</dcterms:modified>
  <cp:category/>
</cp:coreProperties>
</file>