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223"/>
        <w:gridCol w:w="2368"/>
        <w:gridCol w:w="2368"/>
        <w:gridCol w:w="2368"/>
        <w:gridCol w:w="1090"/>
        <w:gridCol w:w="1585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DYSB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572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266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129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Period in the last 6 months? = 1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266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 (99.2%)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0.711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Ever had painful periods?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263 (98.9%)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126 (97.7%)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0.635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Painful periods at time of menarche?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0.633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had painful periods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117 (44.0%)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(45.0%)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146 (54.9%)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What age did your painful periods start, if not menarche?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16.00 [15.00, 18.00]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18.00 [15.00, 21.00]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17.50 [15.25, 21.00]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0.603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Years since menarche without a period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[1.00, 2.75]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[1.75,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[2.00,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0.911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Days with menstrual pelvic pain &gt;= 4 in an average month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[2.00,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[2.00,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0.049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Days of missed work, school, or activities due to painful period in last 3 months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0.126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Days spent in bed due to painful period in last 3 months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0.084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 pain during worst day of period when not taking pain relievers in last 3 months (VAS)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13.00 [2.00, 21.50]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72.00 [63.00, 82.00]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77.00 [65.00, 85.00]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0.036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 pain during worst day of period when taking NSAID pain relievers in last 3 months (VAS)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[2.00, 16.00]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39.00 [22.00, 59.00]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51.00 [35.00, 65.50]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 pain during worst day of period when taking acetaminophen pain relievers in last 3 months (VAS)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[0.00, 11.00]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47.00 [28.50, 63.00]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[35.00, 69.25]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Menstrual Cycle Regularity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0.795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Always regular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 (77.5%)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Sometimes irregular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Using a type of birth control that prevents periods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Usually or always irregular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Menstrual Cycle Length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1-21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(17.8%)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22-35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231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101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Greater than 35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Menstrual Cycle Phase at time of Assessment = Luteal Phase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 (76.2%)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200 (75.2%)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0.237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 bleeding days per period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[5.00, 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[5.00, 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0.557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Used hormonal therapy to treat menstrual pain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0.978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Bladder, bowel, or abdomino-pelvic pain outside of period in last 3 months = Yes (%)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(12.7%)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 (29.7%)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 (44.2%)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2026-06-11T16:20:35Z</dcterms:modified>
  <cp:category/>
</cp:coreProperties>
</file>